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0" w:firstLineChars="200"/>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政府采购框架协议项目采购方案范本</w:t>
      </w:r>
    </w:p>
    <w:p>
      <w:pPr>
        <w:rPr>
          <w:rFonts w:hint="eastAsia" w:ascii="仿宋_GB2312" w:hAnsi="仿宋_GB2312" w:eastAsia="仿宋_GB2312" w:cs="仿宋_GB2312"/>
          <w:sz w:val="32"/>
          <w:szCs w:val="32"/>
          <w:lang w:eastAsia="zh-CN"/>
        </w:rPr>
      </w:pPr>
    </w:p>
    <w:p>
      <w:pPr>
        <w:numPr>
          <w:ilvl w:val="0"/>
          <w:numId w:val="0"/>
        </w:numPr>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一、征集人基本情况</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包括集中采购机构或者主管预算单位的名称、单位性质、地址和联系方式等基本信息。</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注：特殊情况下，除集中采购机构和主管预算单位外的其他预算单位需要采用框架协议采购方式的，应当经批准后实施。</w:t>
      </w:r>
    </w:p>
    <w:p>
      <w:pPr>
        <w:numPr>
          <w:ilvl w:val="0"/>
          <w:numId w:val="1"/>
        </w:numPr>
        <w:ind w:left="-10" w:leftChars="0" w:firstLine="640" w:firstLineChars="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采购项目概况</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包括采购项目名称、采购内容、采购品目以及该项目适用的法定情形（符合《政府采购框架协议采购方式管理暂行办法》第三条规定的情形）等。</w:t>
      </w:r>
    </w:p>
    <w:p>
      <w:pPr>
        <w:numPr>
          <w:ilvl w:val="0"/>
          <w:numId w:val="1"/>
        </w:numPr>
        <w:ind w:left="-10" w:leftChars="0" w:firstLine="640" w:firstLineChars="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适用主体范围</w:t>
      </w:r>
    </w:p>
    <w:p>
      <w:pPr>
        <w:numPr>
          <w:ilvl w:val="0"/>
          <w:numId w:val="0"/>
        </w:numPr>
        <w:ind w:left="630" w:left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适用框架协议的采购人或者服务对象范围。</w:t>
      </w:r>
    </w:p>
    <w:p>
      <w:pPr>
        <w:numPr>
          <w:ilvl w:val="0"/>
          <w:numId w:val="1"/>
        </w:numPr>
        <w:ind w:left="-10" w:leftChars="0" w:firstLine="640" w:firstLineChars="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框架协议采购类型</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根据项目特点和法定适用情形，准确确定框架协议采购项目的类型，包括封闭式框架协议和开放式框架协议。</w:t>
      </w:r>
    </w:p>
    <w:p>
      <w:pPr>
        <w:numPr>
          <w:ilvl w:val="0"/>
          <w:numId w:val="1"/>
        </w:numPr>
        <w:ind w:left="-10" w:leftChars="0" w:firstLine="640" w:firstLineChars="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框架协议有效期</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征集人应当根据工作需要和采购标的市场供应及价格变化情况，科学合理确定框架协议期限。（货物项目框架协议有效期一般不超过1年，服务项目框架协议有效期一般不超过2年）</w:t>
      </w:r>
      <w:bookmarkStart w:id="0" w:name="_GoBack"/>
      <w:bookmarkEnd w:id="0"/>
    </w:p>
    <w:p>
      <w:pPr>
        <w:numPr>
          <w:ilvl w:val="0"/>
          <w:numId w:val="1"/>
        </w:numPr>
        <w:ind w:left="-10" w:leftChars="0" w:firstLine="640" w:firstLineChars="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需求管理情况</w:t>
      </w:r>
    </w:p>
    <w:p>
      <w:pPr>
        <w:widowControl w:val="0"/>
        <w:numPr>
          <w:ilvl w:val="0"/>
          <w:numId w:val="0"/>
        </w:numPr>
        <w:ind w:firstLine="640" w:firstLineChars="200"/>
        <w:jc w:val="both"/>
        <w:rPr>
          <w:rFonts w:hint="eastAsia" w:ascii="仿宋_GB2312" w:hAnsi="仿宋_GB2312" w:eastAsia="仿宋_GB2312" w:cs="仿宋_GB2312"/>
          <w:i w:val="0"/>
          <w:iCs w:val="0"/>
          <w:caps w:val="0"/>
          <w:color w:val="auto"/>
          <w:spacing w:val="0"/>
          <w:sz w:val="32"/>
          <w:szCs w:val="32"/>
          <w:shd w:val="clear" w:fill="FFFFFF"/>
        </w:rPr>
      </w:pPr>
      <w:r>
        <w:rPr>
          <w:rFonts w:hint="eastAsia" w:ascii="楷体_GB2312" w:hAnsi="楷体_GB2312" w:eastAsia="楷体_GB2312" w:cs="楷体_GB2312"/>
          <w:i w:val="0"/>
          <w:iCs w:val="0"/>
          <w:caps w:val="0"/>
          <w:color w:val="auto"/>
          <w:spacing w:val="0"/>
          <w:sz w:val="32"/>
          <w:szCs w:val="32"/>
          <w:shd w:val="clear" w:fill="FFFFFF"/>
          <w:lang w:eastAsia="zh-CN"/>
        </w:rPr>
        <w:t>（一）</w:t>
      </w:r>
      <w:r>
        <w:rPr>
          <w:rFonts w:hint="eastAsia" w:ascii="楷体_GB2312" w:hAnsi="楷体_GB2312" w:eastAsia="楷体_GB2312" w:cs="楷体_GB2312"/>
          <w:i w:val="0"/>
          <w:iCs w:val="0"/>
          <w:caps w:val="0"/>
          <w:color w:val="auto"/>
          <w:spacing w:val="0"/>
          <w:sz w:val="32"/>
          <w:szCs w:val="32"/>
          <w:shd w:val="clear" w:fill="FFFFFF"/>
        </w:rPr>
        <w:t>开展需求调查</w:t>
      </w:r>
      <w:r>
        <w:rPr>
          <w:rFonts w:hint="eastAsia" w:ascii="楷体_GB2312" w:hAnsi="楷体_GB2312" w:eastAsia="楷体_GB2312" w:cs="楷体_GB2312"/>
          <w:i w:val="0"/>
          <w:iCs w:val="0"/>
          <w:caps w:val="0"/>
          <w:color w:val="auto"/>
          <w:spacing w:val="0"/>
          <w:sz w:val="32"/>
          <w:szCs w:val="32"/>
          <w:shd w:val="clear" w:fill="FFFFFF"/>
          <w:lang w:eastAsia="zh-CN"/>
        </w:rPr>
        <w:t>情况。</w:t>
      </w:r>
      <w:r>
        <w:rPr>
          <w:rFonts w:hint="eastAsia" w:ascii="仿宋_GB2312" w:hAnsi="仿宋_GB2312" w:eastAsia="仿宋_GB2312" w:cs="仿宋_GB2312"/>
          <w:i w:val="0"/>
          <w:iCs w:val="0"/>
          <w:caps w:val="0"/>
          <w:color w:val="auto"/>
          <w:spacing w:val="0"/>
          <w:sz w:val="32"/>
          <w:szCs w:val="32"/>
          <w:shd w:val="clear" w:fill="FFFFFF"/>
          <w:lang w:eastAsia="zh-CN"/>
        </w:rPr>
        <w:t>通过咨询、论证和调查问卷等方式</w:t>
      </w:r>
      <w:r>
        <w:rPr>
          <w:rFonts w:hint="eastAsia" w:ascii="仿宋_GB2312" w:hAnsi="仿宋_GB2312" w:eastAsia="仿宋_GB2312" w:cs="仿宋_GB2312"/>
          <w:i w:val="0"/>
          <w:iCs w:val="0"/>
          <w:caps w:val="0"/>
          <w:color w:val="auto"/>
          <w:spacing w:val="0"/>
          <w:sz w:val="32"/>
          <w:szCs w:val="32"/>
          <w:shd w:val="clear" w:fill="FFFFFF"/>
        </w:rPr>
        <w:t>听取采购人、供应商和专家等意见。面向采购人和供应商开展需求调查时，应当选择具有代表性的调查对象，调查对象一般各不少于3个。</w:t>
      </w:r>
    </w:p>
    <w:p>
      <w:pPr>
        <w:widowControl w:val="0"/>
        <w:numPr>
          <w:ilvl w:val="0"/>
          <w:numId w:val="0"/>
        </w:numPr>
        <w:ind w:firstLine="640" w:firstLineChars="200"/>
        <w:jc w:val="both"/>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楷体_GB2312" w:hAnsi="楷体_GB2312" w:eastAsia="楷体_GB2312" w:cs="楷体_GB2312"/>
          <w:i w:val="0"/>
          <w:iCs w:val="0"/>
          <w:caps w:val="0"/>
          <w:color w:val="auto"/>
          <w:spacing w:val="0"/>
          <w:sz w:val="32"/>
          <w:szCs w:val="32"/>
          <w:shd w:val="clear" w:fill="FFFFFF"/>
          <w:lang w:val="en-US" w:eastAsia="zh-CN"/>
        </w:rPr>
        <w:t>（二）采购需求内容。</w:t>
      </w:r>
      <w:r>
        <w:rPr>
          <w:rFonts w:hint="eastAsia" w:ascii="仿宋_GB2312" w:hAnsi="仿宋_GB2312" w:eastAsia="仿宋_GB2312" w:cs="仿宋_GB2312"/>
          <w:i w:val="0"/>
          <w:iCs w:val="0"/>
          <w:caps w:val="0"/>
          <w:color w:val="auto"/>
          <w:spacing w:val="0"/>
          <w:sz w:val="32"/>
          <w:szCs w:val="32"/>
          <w:shd w:val="clear" w:fill="FFFFFF"/>
          <w:lang w:val="en-US" w:eastAsia="zh-CN"/>
        </w:rPr>
        <w:t>包括采购标的及其需要满足的技术、商务要求。（需明确供应商资格条件、评审标准等内容）</w:t>
      </w:r>
    </w:p>
    <w:p>
      <w:pPr>
        <w:numPr>
          <w:ilvl w:val="0"/>
          <w:numId w:val="0"/>
        </w:numPr>
        <w:ind w:left="630" w:leftChars="0"/>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黑体" w:hAnsi="黑体" w:eastAsia="黑体" w:cs="黑体"/>
          <w:sz w:val="32"/>
          <w:szCs w:val="32"/>
          <w:lang w:val="en-US" w:eastAsia="zh-CN"/>
        </w:rPr>
        <w:t>七、定价机制</w:t>
      </w:r>
    </w:p>
    <w:p>
      <w:pPr>
        <w:numPr>
          <w:ilvl w:val="0"/>
          <w:numId w:val="0"/>
        </w:numPr>
        <w:ind w:firstLine="640" w:firstLineChars="200"/>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楷体_GB2312" w:hAnsi="楷体_GB2312" w:eastAsia="楷体_GB2312" w:cs="楷体_GB2312"/>
          <w:i w:val="0"/>
          <w:iCs w:val="0"/>
          <w:caps w:val="0"/>
          <w:color w:val="auto"/>
          <w:spacing w:val="0"/>
          <w:sz w:val="32"/>
          <w:szCs w:val="32"/>
          <w:shd w:val="clear" w:fill="FFFFFF"/>
          <w:lang w:val="en-US" w:eastAsia="zh-CN"/>
        </w:rPr>
        <w:t>（一）采购包划分、采购标的及对应的品目。</w:t>
      </w:r>
      <w:r>
        <w:rPr>
          <w:rFonts w:hint="eastAsia" w:ascii="仿宋_GB2312" w:hAnsi="仿宋_GB2312" w:eastAsia="仿宋_GB2312" w:cs="仿宋_GB2312"/>
          <w:i w:val="0"/>
          <w:iCs w:val="0"/>
          <w:caps w:val="0"/>
          <w:color w:val="auto"/>
          <w:spacing w:val="0"/>
          <w:sz w:val="32"/>
          <w:szCs w:val="32"/>
          <w:shd w:val="clear" w:fill="FFFFFF"/>
          <w:lang w:val="en-US" w:eastAsia="zh-CN"/>
        </w:rPr>
        <w:t>按照财政部《政府采购品目分类目录》，将采购标的细化到底级品目，并细分不同等次、规格或者标准的采购需求，合理设置采购包。同时，要把握好各品目分级、分类、分包的合理性，防止品目拆分过细带来的竞争不充分等问题。</w:t>
      </w:r>
    </w:p>
    <w:p>
      <w:pPr>
        <w:numPr>
          <w:ilvl w:val="0"/>
          <w:numId w:val="0"/>
        </w:numPr>
        <w:ind w:firstLine="640" w:firstLineChars="200"/>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楷体_GB2312" w:hAnsi="楷体_GB2312" w:eastAsia="楷体_GB2312" w:cs="楷体_GB2312"/>
          <w:i w:val="0"/>
          <w:iCs w:val="0"/>
          <w:caps w:val="0"/>
          <w:color w:val="auto"/>
          <w:spacing w:val="0"/>
          <w:sz w:val="32"/>
          <w:szCs w:val="32"/>
          <w:shd w:val="clear" w:fill="FFFFFF"/>
          <w:lang w:val="en-US" w:eastAsia="zh-CN"/>
        </w:rPr>
        <w:t>（二）最高限制单价。</w:t>
      </w:r>
      <w:r>
        <w:rPr>
          <w:rFonts w:hint="eastAsia" w:ascii="仿宋_GB2312" w:hAnsi="仿宋_GB2312" w:eastAsia="仿宋_GB2312" w:cs="仿宋_GB2312"/>
          <w:i w:val="0"/>
          <w:iCs w:val="0"/>
          <w:caps w:val="0"/>
          <w:color w:val="333333"/>
          <w:spacing w:val="0"/>
          <w:sz w:val="32"/>
          <w:szCs w:val="32"/>
          <w:shd w:val="clear" w:fill="FFFFFF"/>
        </w:rPr>
        <w:t>确定最高限制</w:t>
      </w:r>
      <w:r>
        <w:rPr>
          <w:rFonts w:hint="eastAsia" w:ascii="仿宋_GB2312" w:hAnsi="仿宋_GB2312" w:eastAsia="仿宋_GB2312" w:cs="仿宋_GB2312"/>
          <w:i w:val="0"/>
          <w:iCs w:val="0"/>
          <w:caps w:val="0"/>
          <w:color w:val="auto"/>
          <w:spacing w:val="0"/>
          <w:sz w:val="32"/>
          <w:szCs w:val="32"/>
          <w:shd w:val="clear" w:fill="FFFFFF"/>
          <w:lang w:val="en-US" w:eastAsia="zh-CN"/>
        </w:rPr>
        <w:t>单价时，有政府定价的，执行政府定价；没有政府定价的，应当通过需求调查，并根据需求标准科学确定。货物项目单价按照台（套）等计量单位确定，其中包含售后服务等相关服务费用。服务项目单价按照单位采购标的价格或者人工单价等确定。服务项目所涉及的货物的费用，能够折算入服务项目单价的应当折入，需要按实结算的应当明确结算规则。</w:t>
      </w:r>
    </w:p>
    <w:p>
      <w:pPr>
        <w:numPr>
          <w:ilvl w:val="0"/>
          <w:numId w:val="0"/>
        </w:numPr>
        <w:ind w:left="630" w:leftChars="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八、评审方法</w:t>
      </w:r>
    </w:p>
    <w:p>
      <w:pPr>
        <w:numPr>
          <w:ilvl w:val="0"/>
          <w:numId w:val="0"/>
        </w:numPr>
        <w:ind w:firstLine="640" w:firstLineChars="200"/>
        <w:rPr>
          <w:rFonts w:hint="eastAsia" w:ascii="仿宋_GB2312" w:hAnsi="仿宋_GB2312" w:eastAsia="仿宋_GB2312" w:cs="仿宋_GB2312"/>
          <w:i w:val="0"/>
          <w:iCs w:val="0"/>
          <w:caps w:val="0"/>
          <w:color w:val="auto"/>
          <w:spacing w:val="0"/>
          <w:sz w:val="32"/>
          <w:szCs w:val="32"/>
          <w:u w:val="none"/>
          <w:shd w:val="clear" w:fill="FFFFFF"/>
          <w:lang w:eastAsia="zh-CN"/>
        </w:rPr>
      </w:pPr>
      <w:r>
        <w:rPr>
          <w:rFonts w:hint="eastAsia" w:ascii="仿宋_GB2312" w:hAnsi="仿宋_GB2312" w:eastAsia="仿宋_GB2312" w:cs="仿宋_GB2312"/>
          <w:i w:val="0"/>
          <w:iCs w:val="0"/>
          <w:caps w:val="0"/>
          <w:color w:val="auto"/>
          <w:spacing w:val="0"/>
          <w:sz w:val="32"/>
          <w:szCs w:val="32"/>
          <w:u w:val="none"/>
          <w:shd w:val="clear" w:fill="FFFFFF"/>
        </w:rPr>
        <w:t>确定第一阶段入围供应商的评审方法包括价格优先法和质量优先法</w:t>
      </w:r>
      <w:r>
        <w:rPr>
          <w:rFonts w:hint="eastAsia" w:ascii="仿宋_GB2312" w:hAnsi="仿宋_GB2312" w:eastAsia="仿宋_GB2312" w:cs="仿宋_GB2312"/>
          <w:i w:val="0"/>
          <w:iCs w:val="0"/>
          <w:caps w:val="0"/>
          <w:color w:val="auto"/>
          <w:spacing w:val="0"/>
          <w:sz w:val="32"/>
          <w:szCs w:val="32"/>
          <w:u w:val="none"/>
          <w:shd w:val="clear" w:fill="FFFFFF"/>
          <w:lang w:eastAsia="zh-CN"/>
        </w:rPr>
        <w:t>，其中</w:t>
      </w:r>
      <w:r>
        <w:rPr>
          <w:rFonts w:hint="eastAsia" w:ascii="仿宋_GB2312" w:hAnsi="仿宋_GB2312" w:eastAsia="仿宋_GB2312" w:cs="仿宋_GB2312"/>
          <w:i w:val="0"/>
          <w:iCs w:val="0"/>
          <w:caps w:val="0"/>
          <w:color w:val="auto"/>
          <w:spacing w:val="0"/>
          <w:sz w:val="32"/>
          <w:szCs w:val="32"/>
          <w:u w:val="none"/>
          <w:shd w:val="clear" w:fill="FFFFFF"/>
        </w:rPr>
        <w:t>有政府定价、政府指导价的项目，以及对质量有特别要求的检测、实验等仪器设备，可以采用质量优先法，其他项目应当采用价格优先法</w:t>
      </w:r>
      <w:r>
        <w:rPr>
          <w:rFonts w:hint="eastAsia" w:ascii="仿宋_GB2312" w:hAnsi="仿宋_GB2312" w:eastAsia="仿宋_GB2312" w:cs="仿宋_GB2312"/>
          <w:i w:val="0"/>
          <w:iCs w:val="0"/>
          <w:caps w:val="0"/>
          <w:color w:val="auto"/>
          <w:spacing w:val="0"/>
          <w:sz w:val="32"/>
          <w:szCs w:val="32"/>
          <w:u w:val="none"/>
          <w:shd w:val="clear" w:fill="FFFFFF"/>
          <w:lang w:eastAsia="zh-CN"/>
        </w:rPr>
        <w:t>。</w:t>
      </w:r>
    </w:p>
    <w:p>
      <w:pPr>
        <w:numPr>
          <w:ilvl w:val="0"/>
          <w:numId w:val="2"/>
        </w:numPr>
        <w:spacing w:afterAutospacing="0"/>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淘汰率（入围供应商数量上限）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黑体" w:hAnsi="黑体" w:eastAsia="黑体" w:cs="黑体"/>
          <w:sz w:val="32"/>
          <w:szCs w:val="32"/>
          <w:lang w:val="en-US" w:eastAsia="zh-CN"/>
        </w:rPr>
        <w:t xml:space="preserve">   </w:t>
      </w: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 xml:space="preserve"> 确定第一阶段入围供应商时，提交响应文件和符合资格条件、实质性要求的供应商应当均不少于2家，淘汰比例一般不得低于20%，且至少淘汰一家供应商。 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采用质量优先法的检测、实验等仪器设备采购，淘汰比例不得低于40%，且至少淘汰一家供应商。 </w:t>
      </w:r>
    </w:p>
    <w:p>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640" w:firstLineChars="200"/>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确定第二阶段成交供应商的方法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default"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确定第二阶段成交供应商的方式包括直接选定、二次竞价和顺序轮候。直接选定方式是确定第二阶段成交供应商的主要方式。</w:t>
      </w:r>
    </w:p>
    <w:p>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640" w:firstLineChars="200"/>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入围供应商清退和补充规则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仿宋_GB2312" w:hAnsi="仿宋_GB2312" w:eastAsia="仿宋_GB2312" w:cs="仿宋_GB2312"/>
          <w:b/>
          <w:bCs/>
          <w:i w:val="0"/>
          <w:iCs w:val="0"/>
          <w:caps w:val="0"/>
          <w:color w:val="auto"/>
          <w:spacing w:val="0"/>
          <w:kern w:val="2"/>
          <w:sz w:val="32"/>
          <w:szCs w:val="32"/>
          <w:u w:val="none"/>
          <w:shd w:val="clear" w:fill="FFFFFF"/>
          <w:lang w:val="en-US" w:eastAsia="zh-CN" w:bidi="ar-SA"/>
        </w:rPr>
        <w:t>清退：</w:t>
      </w: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入围供应商有</w:t>
      </w:r>
      <w:r>
        <w:rPr>
          <w:rFonts w:hint="eastAsia" w:ascii="仿宋_GB2312" w:hAnsi="仿宋_GB2312" w:eastAsia="仿宋_GB2312" w:cs="仿宋_GB2312"/>
          <w:sz w:val="32"/>
          <w:szCs w:val="32"/>
          <w:lang w:val="en-US" w:eastAsia="zh-CN"/>
        </w:rPr>
        <w:t>《政府采购框架协议采购方式管理暂行办法》（财政部令第110号）</w:t>
      </w: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第十九条第一款规定情形之一，尚未签订框架协议的，取消其入围资格；已经签订框架协议的，解除与其签订的框架协议。 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黑体" w:hAnsi="黑体" w:eastAsia="黑体" w:cs="黑体"/>
          <w:kern w:val="2"/>
          <w:sz w:val="32"/>
          <w:szCs w:val="32"/>
          <w:lang w:val="en-US" w:eastAsia="zh-CN" w:bidi="ar-SA"/>
        </w:rPr>
      </w:pPr>
      <w:r>
        <w:rPr>
          <w:rFonts w:hint="eastAsia" w:ascii="仿宋_GB2312" w:hAnsi="仿宋_GB2312" w:eastAsia="仿宋_GB2312" w:cs="仿宋_GB2312"/>
          <w:b/>
          <w:bCs/>
          <w:i w:val="0"/>
          <w:iCs w:val="0"/>
          <w:caps w:val="0"/>
          <w:color w:val="auto"/>
          <w:spacing w:val="0"/>
          <w:kern w:val="2"/>
          <w:sz w:val="32"/>
          <w:szCs w:val="32"/>
          <w:u w:val="none"/>
          <w:shd w:val="clear" w:fill="FFFFFF"/>
          <w:lang w:val="en-US" w:eastAsia="zh-CN" w:bidi="ar-SA"/>
        </w:rPr>
        <w:t>补充：</w:t>
      </w: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除剩余入围供应商不足入围供应商总数70%且影响框架协议执行的情形外，框架协议有效期内，征集人不得补充征集供应商。征集人补充征集供应商的，补充征集规则应当在框架协议中约定，补充征集的条件、程序、评审方法和淘汰比例应当与初次征集相同。补充征集应当遵守原框架协议的有效期。补充征集期间，原框架协议继续履行。 </w:t>
      </w:r>
    </w:p>
    <w:p>
      <w:pPr>
        <w:numPr>
          <w:ilvl w:val="0"/>
          <w:numId w:val="0"/>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十二、落实政府采购政策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框架协议采购项目应当落实政府采购政策，如促进中小企业发展、绿色采购等，并细化政策执行措施。政府绿色采购、促进中小企业发展等采购政策原则上在框架协议采购的第一阶段落实，第二阶段交易不再作要求；政府采购进口产品管理要求在第二阶段落实。</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十三、其他事项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r>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t>其他需要特殊说明的事项内容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i w:val="0"/>
          <w:iCs w:val="0"/>
          <w:caps w:val="0"/>
          <w:color w:val="auto"/>
          <w:spacing w:val="0"/>
          <w:kern w:val="2"/>
          <w:sz w:val="32"/>
          <w:szCs w:val="32"/>
          <w:u w:val="none"/>
          <w:shd w:val="clear" w:fill="FFFFFF"/>
          <w:lang w:val="en-US" w:eastAsia="zh-CN" w:bidi="ar-SA"/>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iCs/>
          <w:caps w:val="0"/>
          <w:color w:val="auto"/>
          <w:spacing w:val="0"/>
          <w:kern w:val="2"/>
          <w:sz w:val="32"/>
          <w:szCs w:val="32"/>
          <w:u w:val="none"/>
          <w:shd w:val="clear" w:fill="FFFFFF"/>
          <w:lang w:val="en-US" w:eastAsia="zh-CN" w:bidi="ar-SA"/>
        </w:rPr>
      </w:pPr>
      <w:r>
        <w:rPr>
          <w:rFonts w:hint="eastAsia" w:ascii="黑体" w:hAnsi="黑体" w:eastAsia="黑体" w:cs="黑体"/>
          <w:i/>
          <w:iCs/>
          <w:caps w:val="0"/>
          <w:color w:val="auto"/>
          <w:spacing w:val="0"/>
          <w:kern w:val="2"/>
          <w:sz w:val="32"/>
          <w:szCs w:val="32"/>
          <w:u w:val="none"/>
          <w:shd w:val="clear" w:fill="FFFFFF"/>
          <w:lang w:val="en-US" w:eastAsia="zh-CN" w:bidi="ar-SA"/>
        </w:rPr>
        <w:t>注：</w:t>
      </w:r>
      <w:r>
        <w:rPr>
          <w:rFonts w:hint="eastAsia" w:ascii="仿宋_GB2312" w:hAnsi="仿宋_GB2312" w:eastAsia="仿宋_GB2312" w:cs="仿宋_GB2312"/>
          <w:i/>
          <w:iCs/>
          <w:caps w:val="0"/>
          <w:color w:val="auto"/>
          <w:spacing w:val="0"/>
          <w:kern w:val="2"/>
          <w:sz w:val="32"/>
          <w:szCs w:val="32"/>
          <w:u w:val="none"/>
          <w:shd w:val="clear" w:fill="FFFFFF"/>
          <w:lang w:val="en-US" w:eastAsia="zh-CN" w:bidi="ar-SA"/>
        </w:rPr>
        <w:t>1.开放式框架协议项目不涉及第八至第十一项目内容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default" w:ascii="仿宋_GB2312" w:hAnsi="仿宋_GB2312" w:eastAsia="仿宋_GB2312" w:cs="仿宋_GB2312"/>
          <w:i/>
          <w:iCs/>
          <w:caps w:val="0"/>
          <w:color w:val="auto"/>
          <w:spacing w:val="0"/>
          <w:kern w:val="2"/>
          <w:sz w:val="32"/>
          <w:szCs w:val="32"/>
          <w:u w:val="none"/>
          <w:shd w:val="clear" w:fill="FFFFFF"/>
          <w:lang w:val="en-US" w:eastAsia="zh-CN" w:bidi="ar-SA"/>
        </w:rPr>
      </w:pPr>
      <w:r>
        <w:rPr>
          <w:rFonts w:hint="eastAsia" w:ascii="仿宋_GB2312" w:hAnsi="仿宋_GB2312" w:eastAsia="仿宋_GB2312" w:cs="仿宋_GB2312"/>
          <w:i/>
          <w:iCs/>
          <w:caps w:val="0"/>
          <w:color w:val="auto"/>
          <w:spacing w:val="0"/>
          <w:kern w:val="2"/>
          <w:sz w:val="32"/>
          <w:szCs w:val="32"/>
          <w:u w:val="none"/>
          <w:shd w:val="clear" w:fill="FFFFFF"/>
          <w:lang w:val="en-US" w:eastAsia="zh-CN" w:bidi="ar-SA"/>
        </w:rPr>
        <w:t>2.此范本将根据框架协议采购项目执行情况适时调整</w:t>
      </w:r>
    </w:p>
    <w:sectPr>
      <w:footerReference r:id="rId3" w:type="default"/>
      <w:pgSz w:w="11906" w:h="16838"/>
      <w:pgMar w:top="2154"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23061D"/>
    <w:multiLevelType w:val="singleLevel"/>
    <w:tmpl w:val="0123061D"/>
    <w:lvl w:ilvl="0" w:tentative="0">
      <w:start w:val="9"/>
      <w:numFmt w:val="chineseCounting"/>
      <w:suff w:val="nothing"/>
      <w:lvlText w:val="%1、"/>
      <w:lvlJc w:val="left"/>
      <w:rPr>
        <w:rFonts w:hint="eastAsia"/>
      </w:rPr>
    </w:lvl>
  </w:abstractNum>
  <w:abstractNum w:abstractNumId="1">
    <w:nsid w:val="4EA85745"/>
    <w:multiLevelType w:val="singleLevel"/>
    <w:tmpl w:val="4EA85745"/>
    <w:lvl w:ilvl="0" w:tentative="0">
      <w:start w:val="2"/>
      <w:numFmt w:val="chineseCounting"/>
      <w:suff w:val="nothing"/>
      <w:lvlText w:val="%1、"/>
      <w:lvlJc w:val="left"/>
      <w:pPr>
        <w:ind w:left="-1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wNTc2ODcwNzM1OWVmYzI1YmIzYzJlOWM3MjE5ZDIifQ=="/>
  </w:docVars>
  <w:rsids>
    <w:rsidRoot w:val="12220CD5"/>
    <w:rsid w:val="09625299"/>
    <w:rsid w:val="12220CD5"/>
    <w:rsid w:val="1D471A04"/>
    <w:rsid w:val="201370E3"/>
    <w:rsid w:val="3DEF58C0"/>
    <w:rsid w:val="5B936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1545</Words>
  <Characters>1555</Characters>
  <Lines>0</Lines>
  <Paragraphs>0</Paragraphs>
  <TotalTime>995</TotalTime>
  <ScaleCrop>false</ScaleCrop>
  <LinksUpToDate>false</LinksUpToDate>
  <CharactersWithSpaces>1559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2023-05-23T23:53:00Z</dcterms:created>
  <dc:creator>追梦</dc:creator>
  <cp:lastModifiedBy>追梦</cp:lastModifiedBy>
  <cp:lastPrinted>2023-07-11T23:59:00Z</cp:lastPrinted>
  <dcterms:modified xsi:type="dcterms:W3CDTF">2023-07-12T01:54:16Z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72B5F035429243DC995F75F79283C871_11</vt:lpwstr>
  </property>
</Properties>
</file>