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bCs/>
          <w:sz w:val="28"/>
          <w:szCs w:val="28"/>
        </w:rPr>
      </w:pPr>
      <w:r>
        <w:rPr>
          <w:rFonts w:hint="eastAsia"/>
          <w:b/>
          <w:bCs/>
          <w:sz w:val="28"/>
          <w:szCs w:val="28"/>
        </w:rPr>
        <w:t>附件1</w:t>
      </w:r>
    </w:p>
    <w:p>
      <w:pPr>
        <w:jc w:val="center"/>
        <w:rPr>
          <w:b/>
          <w:bCs/>
          <w:sz w:val="28"/>
          <w:szCs w:val="28"/>
        </w:rPr>
      </w:pPr>
      <w:r>
        <w:rPr>
          <w:rFonts w:hint="eastAsia"/>
          <w:b/>
          <w:bCs/>
          <w:sz w:val="28"/>
          <w:szCs w:val="28"/>
        </w:rPr>
        <w:t>浙江省注册会计师</w:t>
      </w:r>
      <w:r>
        <w:rPr>
          <w:rFonts w:hint="eastAsia"/>
          <w:b/>
          <w:bCs/>
          <w:sz w:val="28"/>
          <w:szCs w:val="28"/>
          <w:lang w:val="en-US" w:eastAsia="zh-CN"/>
        </w:rPr>
        <w:t xml:space="preserve"> </w:t>
      </w:r>
      <w:r>
        <w:rPr>
          <w:rFonts w:hint="eastAsia"/>
          <w:b/>
          <w:bCs/>
          <w:sz w:val="28"/>
          <w:szCs w:val="28"/>
        </w:rPr>
        <w:t>资产评估行业 政采云专享方案</w:t>
      </w:r>
    </w:p>
    <w:p/>
    <w:p/>
    <w:p>
      <w:pPr>
        <w:rPr>
          <w:rFonts w:ascii="仿宋" w:hAnsi="仿宋" w:eastAsia="仿宋" w:cs="仿宋"/>
          <w:b/>
          <w:bCs/>
          <w:color w:val="000000"/>
          <w:sz w:val="28"/>
          <w:szCs w:val="28"/>
        </w:rPr>
      </w:pPr>
      <w:r>
        <w:rPr>
          <w:rFonts w:hint="eastAsia" w:ascii="仿宋" w:hAnsi="仿宋" w:eastAsia="仿宋" w:cs="仿宋"/>
          <w:b/>
          <w:bCs/>
          <w:color w:val="000000"/>
          <w:sz w:val="28"/>
          <w:szCs w:val="28"/>
        </w:rPr>
        <w:t>一、政采云平台介绍</w:t>
      </w:r>
    </w:p>
    <w:p>
      <w:pPr>
        <w:spacing w:before="156" w:beforeLines="50" w:after="156" w:afterLines="50"/>
        <w:ind w:firstLine="480"/>
        <w:rPr>
          <w:rFonts w:ascii="仿宋" w:hAnsi="仿宋" w:eastAsia="仿宋" w:cs="仿宋"/>
          <w:color w:val="000000"/>
          <w:sz w:val="28"/>
          <w:szCs w:val="28"/>
        </w:rPr>
      </w:pPr>
      <w:r>
        <w:rPr>
          <w:rFonts w:hint="eastAsia" w:ascii="仿宋" w:hAnsi="仿宋" w:eastAsia="仿宋" w:cs="仿宋"/>
          <w:color w:val="000000"/>
          <w:sz w:val="28"/>
          <w:szCs w:val="28"/>
        </w:rPr>
        <w:t>政采云有限公司由浙江省财政厅与阿里巴巴集团共同合作推动成立。公司坚持独立、开放、共享、公正的原则，以全球领先的互联网技术、云计算能力、大数据服务为核心，遵循法定的交易规则，独立开发建设，独立运营管理，致力于培育和发展新型的政企采购云服务生态。政采云有限公司不仅仅是一家软件开发公司，也是一家互联网科技公司和</w:t>
      </w:r>
      <w:r>
        <w:rPr>
          <w:rFonts w:ascii="仿宋" w:hAnsi="仿宋" w:eastAsia="仿宋" w:cs="仿宋"/>
          <w:color w:val="000000"/>
          <w:sz w:val="28"/>
          <w:szCs w:val="28"/>
        </w:rPr>
        <w:t>一家平台</w:t>
      </w:r>
      <w:r>
        <w:rPr>
          <w:rFonts w:hint="eastAsia" w:ascii="仿宋" w:hAnsi="仿宋" w:eastAsia="仿宋" w:cs="仿宋"/>
          <w:color w:val="000000"/>
          <w:sz w:val="28"/>
          <w:szCs w:val="28"/>
        </w:rPr>
        <w:t>运</w:t>
      </w:r>
      <w:r>
        <w:rPr>
          <w:rFonts w:ascii="仿宋" w:hAnsi="仿宋" w:eastAsia="仿宋" w:cs="仿宋"/>
          <w:color w:val="000000"/>
          <w:sz w:val="28"/>
          <w:szCs w:val="28"/>
        </w:rPr>
        <w:t>营公司</w:t>
      </w:r>
      <w:r>
        <w:rPr>
          <w:rFonts w:hint="eastAsia" w:ascii="仿宋" w:hAnsi="仿宋" w:eastAsia="仿宋" w:cs="仿宋"/>
          <w:color w:val="000000"/>
          <w:sz w:val="28"/>
          <w:szCs w:val="28"/>
        </w:rPr>
        <w:t>。</w:t>
      </w:r>
    </w:p>
    <w:p>
      <w:pPr>
        <w:spacing w:before="156" w:beforeLines="50" w:after="156" w:afterLines="50"/>
        <w:ind w:firstLine="480"/>
        <w:rPr>
          <w:rFonts w:ascii="仿宋" w:hAnsi="仿宋" w:eastAsia="仿宋" w:cs="仿宋"/>
          <w:color w:val="000000"/>
          <w:sz w:val="28"/>
          <w:szCs w:val="28"/>
        </w:rPr>
      </w:pPr>
      <w:r>
        <w:rPr>
          <w:rFonts w:hint="eastAsia" w:ascii="仿宋" w:hAnsi="仿宋" w:eastAsia="仿宋" w:cs="仿宋"/>
          <w:color w:val="000000"/>
          <w:sz w:val="28"/>
          <w:szCs w:val="28"/>
        </w:rPr>
        <w:t>政采云平台是政府采购云计算服务平台的简称，是“互联网+”背景下顺应政府采购改革要求和电商化采购趋势，以大数据、云计算为依托构建的集网上交易、监管和服务于一体，覆盖政府采购各领域、全流程、多用户的综合性的云服务平台。平台定位为政府采购数字化基础设施，汇聚政府采购领域各类主体要素，基于云计算开放机构，支持向电商、供应链、金融、数据、交易系统开发商等行业领域的各类伙伴开放接入，共享平台资源，共同打造新型的政府采购云服务生态圈。</w:t>
      </w:r>
    </w:p>
    <w:p>
      <w:pPr>
        <w:spacing w:before="156" w:beforeLines="50" w:after="156" w:afterLines="50"/>
        <w:ind w:firstLine="480"/>
        <w:rPr>
          <w:rFonts w:ascii="仿宋" w:hAnsi="仿宋" w:eastAsia="仿宋" w:cs="仿宋"/>
          <w:color w:val="000000"/>
          <w:sz w:val="28"/>
          <w:szCs w:val="28"/>
        </w:rPr>
      </w:pPr>
      <w:r>
        <w:rPr>
          <w:rFonts w:hint="eastAsia" w:ascii="仿宋" w:hAnsi="仿宋" w:eastAsia="仿宋" w:cs="仿宋"/>
          <w:color w:val="000000"/>
          <w:sz w:val="28"/>
          <w:szCs w:val="28"/>
        </w:rPr>
        <w:t>政采云平台已在浙江、广西、重庆等8个省、自治区、直辖市推广使用，还有多个省市正在落地洽谈中。中央垂管单位方面，全国税务系统已全面推广上线政采云网上超市，海关、人行系统部分单位正在试用。</w:t>
      </w:r>
    </w:p>
    <w:p>
      <w:pPr>
        <w:spacing w:before="156" w:beforeLines="50" w:after="156" w:afterLines="50"/>
        <w:ind w:firstLine="480"/>
        <w:rPr>
          <w:rFonts w:ascii="仿宋" w:hAnsi="仿宋" w:eastAsia="仿宋" w:cs="仿宋"/>
          <w:color w:val="000000"/>
          <w:sz w:val="28"/>
          <w:szCs w:val="28"/>
        </w:rPr>
      </w:pPr>
      <w:r>
        <w:rPr>
          <w:rFonts w:hint="eastAsia" w:ascii="仿宋" w:hAnsi="仿宋" w:eastAsia="仿宋" w:cs="仿宋"/>
          <w:color w:val="000000"/>
          <w:sz w:val="28"/>
          <w:szCs w:val="28"/>
        </w:rPr>
        <w:t>政采云平台已于2017年6月通过公安部门信息系统安全三级等保备案。同时，也是国内首个主动申请并正在接受中央网信办网络安全审查的Saas/Paas云平台。</w:t>
      </w:r>
    </w:p>
    <w:p>
      <w:pPr>
        <w:spacing w:before="156" w:beforeLines="50" w:after="156" w:afterLines="50"/>
        <w:ind w:firstLine="480"/>
        <w:rPr>
          <w:rFonts w:ascii="仿宋" w:hAnsi="仿宋" w:eastAsia="仿宋" w:cs="仿宋"/>
          <w:color w:val="000000"/>
          <w:sz w:val="28"/>
          <w:szCs w:val="28"/>
        </w:rPr>
      </w:pPr>
      <w:r>
        <w:rPr>
          <w:rFonts w:hint="eastAsia" w:ascii="仿宋" w:hAnsi="仿宋" w:eastAsia="仿宋" w:cs="仿宋"/>
          <w:color w:val="000000"/>
          <w:sz w:val="28"/>
          <w:szCs w:val="28"/>
        </w:rPr>
        <w:t>目前政采云企业购平台共入驻国企采购人1400余家，包括宁波、温州、湖州等各区划国企及杭州钢铁集团、省担保集团等省属国企，开通的应用主要有网上超市、在线询价、项目采购等。截止3月，政企区累计共产生交易54262.96万元，其中网上超市共产生交易额2097.07万元。</w:t>
      </w:r>
    </w:p>
    <w:p>
      <w:pPr>
        <w:widowControl/>
        <w:numPr>
          <w:ilvl w:val="0"/>
          <w:numId w:val="1"/>
        </w:numPr>
        <w:ind w:firstLine="562" w:firstLineChars="200"/>
        <w:jc w:val="left"/>
        <w:rPr>
          <w:rFonts w:ascii="仿宋" w:hAnsi="仿宋" w:eastAsia="仿宋" w:cs="仿宋"/>
          <w:b/>
          <w:bCs/>
          <w:color w:val="000000"/>
          <w:sz w:val="28"/>
          <w:szCs w:val="28"/>
        </w:rPr>
      </w:pPr>
      <w:r>
        <w:rPr>
          <w:rFonts w:hint="eastAsia" w:ascii="仿宋" w:hAnsi="仿宋" w:eastAsia="仿宋" w:cs="仿宋"/>
          <w:b/>
          <w:bCs/>
          <w:color w:val="000000"/>
          <w:sz w:val="28"/>
          <w:szCs w:val="28"/>
        </w:rPr>
        <w:t>专享服务方案</w:t>
      </w:r>
    </w:p>
    <w:p>
      <w:pPr>
        <w:ind w:firstLine="562" w:firstLineChars="200"/>
        <w:rPr>
          <w:rFonts w:ascii="仿宋" w:hAnsi="仿宋" w:eastAsia="仿宋" w:cs="仿宋"/>
          <w:b/>
          <w:bCs/>
          <w:sz w:val="28"/>
          <w:szCs w:val="28"/>
        </w:rPr>
      </w:pPr>
      <w:r>
        <w:rPr>
          <w:rFonts w:hint="eastAsia" w:ascii="仿宋" w:hAnsi="仿宋" w:eastAsia="仿宋" w:cs="仿宋"/>
          <w:b/>
          <w:bCs/>
          <w:color w:val="000000"/>
          <w:sz w:val="28"/>
          <w:szCs w:val="28"/>
        </w:rPr>
        <w:t>（一）</w:t>
      </w:r>
      <w:r>
        <w:rPr>
          <w:rFonts w:hint="eastAsia" w:ascii="仿宋" w:hAnsi="仿宋" w:eastAsia="仿宋" w:cs="仿宋"/>
          <w:b/>
          <w:bCs/>
          <w:sz w:val="28"/>
          <w:szCs w:val="28"/>
        </w:rPr>
        <w:t>总体目标</w:t>
      </w:r>
    </w:p>
    <w:p>
      <w:pPr>
        <w:ind w:firstLine="420"/>
        <w:rPr>
          <w:rFonts w:ascii="仿宋" w:hAnsi="仿宋" w:eastAsia="仿宋" w:cs="仿宋"/>
          <w:b/>
          <w:bCs/>
          <w:color w:val="000000"/>
          <w:sz w:val="28"/>
          <w:szCs w:val="28"/>
        </w:rPr>
      </w:pPr>
      <w:r>
        <w:rPr>
          <w:rFonts w:hint="eastAsia" w:ascii="仿宋" w:hAnsi="仿宋" w:eastAsia="仿宋" w:cs="仿宋"/>
          <w:sz w:val="28"/>
          <w:szCs w:val="28"/>
        </w:rPr>
        <w:t>依托政采云目前现有丰富的政府机关事业单位采购供应商及商品资源，打造与浙江省注册会计师协会(以下简称省注协)会员单位需求相匹配、解决各会员单位采购痛点，符合信息技术发展趋势，并具有一定前瞻性的，高效、低碳、质优的电子采购平台。</w:t>
      </w:r>
    </w:p>
    <w:p>
      <w:pPr>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 xml:space="preserve">（二）平台入驻模式   </w:t>
      </w:r>
    </w:p>
    <w:p>
      <w:pPr>
        <w:ind w:firstLine="420"/>
        <w:rPr>
          <w:rFonts w:ascii="仿宋" w:hAnsi="仿宋" w:eastAsia="仿宋" w:cs="仿宋"/>
          <w:color w:val="000000"/>
          <w:sz w:val="28"/>
          <w:szCs w:val="28"/>
        </w:rPr>
      </w:pPr>
      <w:r>
        <w:rPr>
          <w:rFonts w:hint="eastAsia" w:ascii="仿宋" w:hAnsi="仿宋" w:eastAsia="仿宋" w:cs="仿宋"/>
          <w:color w:val="000000"/>
          <w:sz w:val="28"/>
          <w:szCs w:val="28"/>
        </w:rPr>
        <w:t>政采云将为省注协单独开设子系统（区划），专门面对全省会计师事务所</w:t>
      </w:r>
      <w:r>
        <w:rPr>
          <w:rFonts w:hint="eastAsia" w:ascii="仿宋" w:hAnsi="仿宋" w:eastAsia="仿宋" w:cs="仿宋"/>
          <w:sz w:val="28"/>
          <w:szCs w:val="28"/>
        </w:rPr>
        <w:t>和</w:t>
      </w:r>
      <w:r>
        <w:rPr>
          <w:rFonts w:hint="eastAsia" w:ascii="仿宋" w:hAnsi="仿宋" w:eastAsia="仿宋" w:cs="仿宋"/>
          <w:color w:val="000000"/>
          <w:sz w:val="28"/>
          <w:szCs w:val="28"/>
        </w:rPr>
        <w:t>资产评估机构(以下简称事务所)开放，首先开启网上超市应用，供事务所直接采购（模式类似淘宝、京东个人购物）,，系统上所有商家、商品均为事务所定制化入驻、引用，后续根据事务所需求开通其他应用：</w:t>
      </w:r>
    </w:p>
    <w:p>
      <w:pPr>
        <w:ind w:firstLine="420"/>
        <w:rPr>
          <w:rFonts w:ascii="仿宋" w:hAnsi="仿宋" w:eastAsia="仿宋" w:cs="仿宋"/>
          <w:color w:val="000000"/>
          <w:sz w:val="28"/>
          <w:szCs w:val="28"/>
        </w:rPr>
      </w:pPr>
      <w:r>
        <w:rPr>
          <w:rFonts w:hint="eastAsia" w:ascii="仿宋" w:hAnsi="仿宋" w:eastAsia="仿宋" w:cs="仿宋"/>
          <w:b/>
          <w:bCs/>
          <w:color w:val="000000"/>
          <w:sz w:val="28"/>
          <w:szCs w:val="28"/>
        </w:rPr>
        <w:t>（三）专享服务</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事务所采购人通过政采云平台可享受特定的资源，政采云商家针对事务所重点采购类目、货品等，在保证质量、服务的前提下，提供最优价格。采购人可通过平台采购商品，供应商在线响应，收货后在线发起合同、确认、验收。具体如下：</w:t>
      </w:r>
    </w:p>
    <w:p>
      <w:pPr>
        <w:ind w:firstLine="280" w:firstLineChars="100"/>
        <w:rPr>
          <w:rFonts w:ascii="仿宋" w:hAnsi="仿宋" w:eastAsia="仿宋" w:cs="仿宋"/>
          <w:color w:val="000000"/>
          <w:sz w:val="28"/>
          <w:szCs w:val="28"/>
        </w:rPr>
      </w:pPr>
      <w:r>
        <w:rPr>
          <w:rFonts w:ascii="仿宋" w:hAnsi="仿宋" w:eastAsia="仿宋" w:cs="仿宋"/>
          <w:color w:val="000000"/>
          <w:sz w:val="28"/>
          <w:szCs w:val="28"/>
        </w:rPr>
        <w:t>1</w:t>
      </w:r>
      <w:r>
        <w:rPr>
          <w:rFonts w:hint="eastAsia" w:ascii="仿宋" w:hAnsi="仿宋" w:eastAsia="仿宋" w:cs="仿宋"/>
          <w:color w:val="000000"/>
          <w:sz w:val="28"/>
          <w:szCs w:val="28"/>
        </w:rPr>
        <w:t>、供应商资源专享：目前政采云企业购平台网上超市模块的供应商，是在省本级、杭州市本级等财政采购中心集中入围的供应商基础上，精选了一批服务优、评价好的供应商入驻，注协区划可筛选一批入驻。由政采云对供应商服务、价格等进行监管，并承接相关咨询。</w:t>
      </w:r>
    </w:p>
    <w:p>
      <w:pPr>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2、重点品类专享服务：针对事务所重点采购品类（如纸张），政采云向现有平台合作供应商征集报价，且经过前期调研摸底，以事务所目前采购价格最低价作为最高限价，在此基础上给出一定优惠，并将此价格共享给所有事务所，并保证服务、质量不低于原渠道采购。</w:t>
      </w:r>
    </w:p>
    <w:p>
      <w:pPr>
        <w:keepNext/>
        <w:keepLines/>
        <w:rPr>
          <w:b/>
          <w:bCs/>
          <w:sz w:val="30"/>
          <w:szCs w:val="30"/>
        </w:rPr>
      </w:pPr>
      <w:r>
        <w:rPr>
          <w:rFonts w:hint="eastAsia"/>
          <w:b/>
          <w:bCs/>
          <w:sz w:val="30"/>
          <w:szCs w:val="30"/>
        </w:rPr>
        <w:t>行业重点品类专享优惠情况</w:t>
      </w:r>
    </w:p>
    <w:tbl>
      <w:tblPr>
        <w:tblStyle w:val="6"/>
        <w:tblpPr w:leftFromText="180" w:rightFromText="180" w:vertAnchor="text" w:horzAnchor="page" w:tblpX="2109" w:tblpY="110"/>
        <w:tblOverlap w:val="never"/>
        <w:tblW w:w="77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695"/>
        <w:gridCol w:w="1563"/>
        <w:gridCol w:w="1276"/>
        <w:gridCol w:w="1559"/>
        <w:gridCol w:w="1418"/>
        <w:gridCol w:w="118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2" w:hRule="atLeast"/>
        </w:trPr>
        <w:tc>
          <w:tcPr>
            <w:tcW w:w="695" w:type="dxa"/>
            <w:tcBorders>
              <w:tl2br w:val="nil"/>
              <w:tr2bl w:val="nil"/>
            </w:tcBorders>
            <w:vAlign w:val="center"/>
          </w:tcPr>
          <w:p>
            <w:pPr>
              <w:jc w:val="center"/>
              <w:textAlignment w:val="center"/>
              <w:rPr>
                <w:b/>
              </w:rPr>
            </w:pPr>
            <w:r>
              <w:rPr>
                <w:rFonts w:hint="eastAsia"/>
                <w:b/>
                <w:lang w:bidi="ar"/>
              </w:rPr>
              <w:t>序号</w:t>
            </w:r>
          </w:p>
        </w:tc>
        <w:tc>
          <w:tcPr>
            <w:tcW w:w="1563" w:type="dxa"/>
            <w:tcBorders>
              <w:tl2br w:val="nil"/>
              <w:tr2bl w:val="nil"/>
            </w:tcBorders>
            <w:vAlign w:val="center"/>
          </w:tcPr>
          <w:p>
            <w:pPr>
              <w:jc w:val="center"/>
              <w:textAlignment w:val="center"/>
              <w:rPr>
                <w:b/>
              </w:rPr>
            </w:pPr>
            <w:r>
              <w:rPr>
                <w:rFonts w:hint="eastAsia"/>
                <w:b/>
                <w:lang w:bidi="ar"/>
              </w:rPr>
              <w:t>项  目</w:t>
            </w:r>
          </w:p>
        </w:tc>
        <w:tc>
          <w:tcPr>
            <w:tcW w:w="1276" w:type="dxa"/>
            <w:tcBorders>
              <w:tl2br w:val="nil"/>
              <w:tr2bl w:val="nil"/>
            </w:tcBorders>
            <w:vAlign w:val="center"/>
          </w:tcPr>
          <w:p>
            <w:pPr>
              <w:jc w:val="center"/>
              <w:textAlignment w:val="center"/>
              <w:rPr>
                <w:b/>
              </w:rPr>
            </w:pPr>
            <w:r>
              <w:rPr>
                <w:rFonts w:hint="eastAsia"/>
                <w:b/>
              </w:rPr>
              <w:t>品牌</w:t>
            </w:r>
          </w:p>
        </w:tc>
        <w:tc>
          <w:tcPr>
            <w:tcW w:w="1559" w:type="dxa"/>
            <w:tcBorders>
              <w:tl2br w:val="nil"/>
              <w:tr2bl w:val="nil"/>
            </w:tcBorders>
            <w:vAlign w:val="center"/>
          </w:tcPr>
          <w:p>
            <w:pPr>
              <w:jc w:val="center"/>
              <w:textAlignment w:val="center"/>
              <w:rPr>
                <w:b/>
              </w:rPr>
            </w:pPr>
            <w:r>
              <w:rPr>
                <w:rFonts w:hint="eastAsia"/>
                <w:b/>
              </w:rPr>
              <w:t>型号</w:t>
            </w:r>
          </w:p>
        </w:tc>
        <w:tc>
          <w:tcPr>
            <w:tcW w:w="1418" w:type="dxa"/>
            <w:tcBorders>
              <w:tl2br w:val="nil"/>
              <w:tr2bl w:val="nil"/>
            </w:tcBorders>
            <w:vAlign w:val="center"/>
          </w:tcPr>
          <w:p>
            <w:pPr>
              <w:jc w:val="center"/>
              <w:textAlignment w:val="center"/>
              <w:rPr>
                <w:b/>
                <w:lang w:bidi="ar"/>
              </w:rPr>
            </w:pPr>
            <w:r>
              <w:rPr>
                <w:rFonts w:hint="eastAsia"/>
                <w:b/>
                <w:lang w:bidi="ar"/>
              </w:rPr>
              <w:t>优惠价</w:t>
            </w:r>
          </w:p>
        </w:tc>
        <w:tc>
          <w:tcPr>
            <w:tcW w:w="1189" w:type="dxa"/>
            <w:tcBorders>
              <w:tl2br w:val="nil"/>
              <w:tr2bl w:val="nil"/>
            </w:tcBorders>
            <w:vAlign w:val="center"/>
          </w:tcPr>
          <w:p>
            <w:pPr>
              <w:jc w:val="center"/>
              <w:textAlignment w:val="center"/>
              <w:rPr>
                <w:b/>
                <w:lang w:bidi="ar"/>
              </w:rPr>
            </w:pPr>
            <w:r>
              <w:rPr>
                <w:rFonts w:hint="eastAsia"/>
                <w:b/>
                <w:lang w:bidi="ar"/>
              </w:rPr>
              <w:t>优惠率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2" w:hRule="atLeast"/>
        </w:trPr>
        <w:tc>
          <w:tcPr>
            <w:tcW w:w="695" w:type="dxa"/>
            <w:vMerge w:val="restart"/>
            <w:tcBorders>
              <w:tl2br w:val="nil"/>
              <w:tr2bl w:val="nil"/>
            </w:tcBorders>
            <w:vAlign w:val="center"/>
          </w:tcPr>
          <w:p>
            <w:pPr>
              <w:jc w:val="center"/>
              <w:textAlignment w:val="center"/>
              <w:rPr>
                <w:b/>
                <w:lang w:bidi="ar"/>
              </w:rPr>
            </w:pPr>
            <w:r>
              <w:rPr>
                <w:rFonts w:hint="eastAsia"/>
                <w:bCs/>
                <w:lang w:bidi="ar"/>
              </w:rPr>
              <w:t>1</w:t>
            </w:r>
          </w:p>
        </w:tc>
        <w:tc>
          <w:tcPr>
            <w:tcW w:w="1563" w:type="dxa"/>
            <w:vMerge w:val="restart"/>
            <w:tcBorders>
              <w:tl2br w:val="nil"/>
              <w:tr2bl w:val="nil"/>
            </w:tcBorders>
            <w:vAlign w:val="center"/>
          </w:tcPr>
          <w:p>
            <w:pPr>
              <w:textAlignment w:val="center"/>
              <w:rPr>
                <w:b/>
                <w:lang w:bidi="ar"/>
              </w:rPr>
            </w:pPr>
            <w:r>
              <w:rPr>
                <w:lang w:bidi="ar"/>
              </w:rPr>
              <w:t>打印/复印纸</w:t>
            </w:r>
          </w:p>
        </w:tc>
        <w:tc>
          <w:tcPr>
            <w:tcW w:w="1276" w:type="dxa"/>
            <w:tcBorders>
              <w:tl2br w:val="nil"/>
              <w:tr2bl w:val="nil"/>
            </w:tcBorders>
            <w:vAlign w:val="center"/>
          </w:tcPr>
          <w:p>
            <w:pPr>
              <w:jc w:val="center"/>
              <w:textAlignment w:val="center"/>
              <w:rPr>
                <w:b/>
                <w:lang w:bidi="ar"/>
              </w:rPr>
            </w:pPr>
            <w:r>
              <w:rPr>
                <w:lang w:bidi="ar"/>
              </w:rPr>
              <w:t>佳能</w:t>
            </w:r>
          </w:p>
        </w:tc>
        <w:tc>
          <w:tcPr>
            <w:tcW w:w="1559" w:type="dxa"/>
            <w:tcBorders>
              <w:tl2br w:val="nil"/>
              <w:tr2bl w:val="nil"/>
            </w:tcBorders>
            <w:vAlign w:val="center"/>
          </w:tcPr>
          <w:p>
            <w:pPr>
              <w:jc w:val="center"/>
              <w:textAlignment w:val="center"/>
              <w:rPr>
                <w:lang w:bidi="ar"/>
              </w:rPr>
            </w:pPr>
            <w:r>
              <w:rPr>
                <w:rFonts w:hint="eastAsia"/>
                <w:lang w:bidi="ar"/>
              </w:rPr>
              <w:t>A</w:t>
            </w:r>
            <w:r>
              <w:rPr>
                <w:lang w:bidi="ar"/>
              </w:rPr>
              <w:t>4</w:t>
            </w:r>
          </w:p>
        </w:tc>
        <w:tc>
          <w:tcPr>
            <w:tcW w:w="1418" w:type="dxa"/>
            <w:tcBorders>
              <w:tl2br w:val="nil"/>
              <w:tr2bl w:val="nil"/>
            </w:tcBorders>
            <w:vAlign w:val="center"/>
          </w:tcPr>
          <w:p>
            <w:pPr>
              <w:jc w:val="center"/>
              <w:textAlignment w:val="center"/>
              <w:rPr>
                <w:b/>
                <w:lang w:bidi="ar"/>
              </w:rPr>
            </w:pPr>
            <w:r>
              <w:rPr>
                <w:bCs/>
                <w:lang w:bidi="ar"/>
              </w:rPr>
              <w:t>19/</w:t>
            </w:r>
            <w:r>
              <w:rPr>
                <w:rFonts w:hint="eastAsia"/>
                <w:bCs/>
                <w:lang w:bidi="ar"/>
              </w:rPr>
              <w:t>包</w:t>
            </w:r>
          </w:p>
        </w:tc>
        <w:tc>
          <w:tcPr>
            <w:tcW w:w="1189" w:type="dxa"/>
            <w:tcBorders>
              <w:tl2br w:val="nil"/>
              <w:tr2bl w:val="nil"/>
            </w:tcBorders>
            <w:vAlign w:val="center"/>
          </w:tcPr>
          <w:p>
            <w:pPr>
              <w:jc w:val="center"/>
              <w:textAlignment w:val="center"/>
              <w:rPr>
                <w:b/>
                <w:lang w:bidi="ar"/>
              </w:rPr>
            </w:pPr>
            <w:r>
              <w:rPr>
                <w:rFonts w:hint="eastAsia"/>
                <w:bCs/>
                <w:lang w:bidi="ar"/>
              </w:rPr>
              <w:t>3</w:t>
            </w:r>
            <w:r>
              <w:rPr>
                <w:bCs/>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44" w:hRule="atLeast"/>
        </w:trPr>
        <w:tc>
          <w:tcPr>
            <w:tcW w:w="695" w:type="dxa"/>
            <w:vMerge w:val="continue"/>
            <w:tcBorders>
              <w:tl2br w:val="nil"/>
              <w:tr2bl w:val="nil"/>
            </w:tcBorders>
            <w:vAlign w:val="center"/>
          </w:tcPr>
          <w:p>
            <w:pPr>
              <w:jc w:val="center"/>
              <w:textAlignment w:val="center"/>
            </w:pPr>
          </w:p>
        </w:tc>
        <w:tc>
          <w:tcPr>
            <w:tcW w:w="1563" w:type="dxa"/>
            <w:vMerge w:val="continue"/>
            <w:tcBorders>
              <w:tl2br w:val="nil"/>
              <w:tr2bl w:val="nil"/>
            </w:tcBorders>
            <w:vAlign w:val="center"/>
          </w:tcPr>
          <w:p>
            <w:pPr>
              <w:textAlignment w:val="center"/>
            </w:pPr>
          </w:p>
        </w:tc>
        <w:tc>
          <w:tcPr>
            <w:tcW w:w="1276" w:type="dxa"/>
            <w:tcBorders>
              <w:tl2br w:val="nil"/>
              <w:tr2bl w:val="nil"/>
            </w:tcBorders>
            <w:vAlign w:val="center"/>
          </w:tcPr>
          <w:p>
            <w:pPr>
              <w:jc w:val="center"/>
              <w:textAlignment w:val="center"/>
            </w:pPr>
            <w:r>
              <w:rPr>
                <w:lang w:bidi="ar"/>
              </w:rPr>
              <w:t>未来</w:t>
            </w:r>
          </w:p>
        </w:tc>
        <w:tc>
          <w:tcPr>
            <w:tcW w:w="1559" w:type="dxa"/>
            <w:tcBorders>
              <w:tl2br w:val="nil"/>
              <w:tr2bl w:val="nil"/>
            </w:tcBorders>
            <w:vAlign w:val="center"/>
          </w:tcPr>
          <w:p>
            <w:pPr>
              <w:jc w:val="center"/>
              <w:textAlignment w:val="center"/>
              <w:rPr>
                <w:lang w:bidi="ar"/>
              </w:rPr>
            </w:pPr>
            <w:r>
              <w:rPr>
                <w:rFonts w:hint="eastAsia"/>
                <w:lang w:bidi="ar"/>
              </w:rPr>
              <w:t>A</w:t>
            </w:r>
            <w:r>
              <w:rPr>
                <w:lang w:bidi="ar"/>
              </w:rPr>
              <w:t>4</w:t>
            </w:r>
          </w:p>
        </w:tc>
        <w:tc>
          <w:tcPr>
            <w:tcW w:w="1418" w:type="dxa"/>
            <w:tcBorders>
              <w:tl2br w:val="nil"/>
              <w:tr2bl w:val="nil"/>
            </w:tcBorders>
            <w:vAlign w:val="center"/>
          </w:tcPr>
          <w:p>
            <w:pPr>
              <w:jc w:val="center"/>
            </w:pPr>
            <w:r>
              <w:t>19.5/</w:t>
            </w:r>
            <w:r>
              <w:rPr>
                <w:rFonts w:hint="eastAsia"/>
              </w:rPr>
              <w:t>包</w:t>
            </w:r>
          </w:p>
        </w:tc>
        <w:tc>
          <w:tcPr>
            <w:tcW w:w="1189" w:type="dxa"/>
            <w:tcBorders>
              <w:tl2br w:val="nil"/>
              <w:tr2bl w:val="nil"/>
            </w:tcBorders>
            <w:vAlign w:val="center"/>
          </w:tcPr>
          <w:p>
            <w:pPr>
              <w:jc w:val="center"/>
            </w:pPr>
            <w:r>
              <w:t>17.39%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44" w:hRule="atLeast"/>
        </w:trPr>
        <w:tc>
          <w:tcPr>
            <w:tcW w:w="695" w:type="dxa"/>
            <w:vMerge w:val="continue"/>
            <w:tcBorders>
              <w:tl2br w:val="nil"/>
              <w:tr2bl w:val="nil"/>
            </w:tcBorders>
            <w:vAlign w:val="center"/>
          </w:tcPr>
          <w:p>
            <w:pPr>
              <w:jc w:val="center"/>
              <w:textAlignment w:val="center"/>
              <w:rPr>
                <w:lang w:bidi="ar"/>
              </w:rPr>
            </w:pPr>
          </w:p>
        </w:tc>
        <w:tc>
          <w:tcPr>
            <w:tcW w:w="1563" w:type="dxa"/>
            <w:vMerge w:val="continue"/>
            <w:tcBorders>
              <w:tl2br w:val="nil"/>
              <w:tr2bl w:val="nil"/>
            </w:tcBorders>
            <w:vAlign w:val="center"/>
          </w:tcPr>
          <w:p>
            <w:pPr>
              <w:textAlignment w:val="center"/>
              <w:rPr>
                <w:lang w:bidi="ar"/>
              </w:rPr>
            </w:pPr>
          </w:p>
        </w:tc>
        <w:tc>
          <w:tcPr>
            <w:tcW w:w="1276" w:type="dxa"/>
            <w:tcBorders>
              <w:tl2br w:val="nil"/>
              <w:tr2bl w:val="nil"/>
            </w:tcBorders>
            <w:vAlign w:val="center"/>
          </w:tcPr>
          <w:p>
            <w:pPr>
              <w:jc w:val="center"/>
              <w:textAlignment w:val="center"/>
              <w:rPr>
                <w:lang w:bidi="ar"/>
              </w:rPr>
            </w:pPr>
            <w:r>
              <w:rPr>
                <w:lang w:bidi="ar"/>
              </w:rPr>
              <w:t>世纪佳印</w:t>
            </w:r>
          </w:p>
        </w:tc>
        <w:tc>
          <w:tcPr>
            <w:tcW w:w="1559" w:type="dxa"/>
            <w:tcBorders>
              <w:tl2br w:val="nil"/>
              <w:tr2bl w:val="nil"/>
            </w:tcBorders>
            <w:vAlign w:val="center"/>
          </w:tcPr>
          <w:p>
            <w:pPr>
              <w:jc w:val="center"/>
              <w:rPr>
                <w:lang w:bidi="ar"/>
              </w:rPr>
            </w:pPr>
            <w:r>
              <w:t>特白 80g A4复印纸</w:t>
            </w:r>
          </w:p>
        </w:tc>
        <w:tc>
          <w:tcPr>
            <w:tcW w:w="1418" w:type="dxa"/>
            <w:tcBorders>
              <w:tl2br w:val="nil"/>
              <w:tr2bl w:val="nil"/>
            </w:tcBorders>
            <w:vAlign w:val="center"/>
          </w:tcPr>
          <w:p>
            <w:pPr>
              <w:jc w:val="center"/>
            </w:pPr>
            <w:r>
              <w:t>23.5/</w:t>
            </w:r>
            <w:r>
              <w:rPr>
                <w:rFonts w:hint="eastAsia"/>
              </w:rPr>
              <w:t>包</w:t>
            </w:r>
          </w:p>
        </w:tc>
        <w:tc>
          <w:tcPr>
            <w:tcW w:w="1189" w:type="dxa"/>
            <w:tcBorders>
              <w:tl2br w:val="nil"/>
              <w:tr2bl w:val="nil"/>
            </w:tcBorders>
            <w:vAlign w:val="center"/>
          </w:tcPr>
          <w:p>
            <w:pPr>
              <w:jc w:val="center"/>
            </w:pPr>
            <w:r>
              <w:t>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44" w:hRule="atLeast"/>
        </w:trPr>
        <w:tc>
          <w:tcPr>
            <w:tcW w:w="695" w:type="dxa"/>
            <w:vMerge w:val="continue"/>
            <w:tcBorders>
              <w:tl2br w:val="nil"/>
              <w:tr2bl w:val="nil"/>
            </w:tcBorders>
            <w:vAlign w:val="center"/>
          </w:tcPr>
          <w:p>
            <w:pPr>
              <w:jc w:val="center"/>
              <w:textAlignment w:val="center"/>
              <w:rPr>
                <w:lang w:bidi="ar"/>
              </w:rPr>
            </w:pPr>
          </w:p>
        </w:tc>
        <w:tc>
          <w:tcPr>
            <w:tcW w:w="1563" w:type="dxa"/>
            <w:vMerge w:val="continue"/>
            <w:tcBorders>
              <w:tl2br w:val="nil"/>
              <w:tr2bl w:val="nil"/>
            </w:tcBorders>
            <w:vAlign w:val="center"/>
          </w:tcPr>
          <w:p>
            <w:pPr>
              <w:textAlignment w:val="center"/>
              <w:rPr>
                <w:lang w:bidi="ar"/>
              </w:rPr>
            </w:pPr>
          </w:p>
        </w:tc>
        <w:tc>
          <w:tcPr>
            <w:tcW w:w="1276" w:type="dxa"/>
            <w:tcBorders>
              <w:tl2br w:val="nil"/>
              <w:tr2bl w:val="nil"/>
            </w:tcBorders>
            <w:vAlign w:val="center"/>
          </w:tcPr>
          <w:p>
            <w:pPr>
              <w:jc w:val="center"/>
              <w:textAlignment w:val="center"/>
              <w:rPr>
                <w:lang w:bidi="ar"/>
              </w:rPr>
            </w:pPr>
            <w:r>
              <w:rPr>
                <w:lang w:bidi="ar"/>
              </w:rPr>
              <w:t>HP</w:t>
            </w:r>
          </w:p>
        </w:tc>
        <w:tc>
          <w:tcPr>
            <w:tcW w:w="1559" w:type="dxa"/>
            <w:tcBorders>
              <w:tl2br w:val="nil"/>
              <w:tr2bl w:val="nil"/>
            </w:tcBorders>
            <w:vAlign w:val="center"/>
          </w:tcPr>
          <w:p>
            <w:pPr>
              <w:jc w:val="center"/>
            </w:pPr>
            <w:r>
              <w:t>高白 70g A4打印纸</w:t>
            </w:r>
          </w:p>
        </w:tc>
        <w:tc>
          <w:tcPr>
            <w:tcW w:w="1418" w:type="dxa"/>
            <w:tcBorders>
              <w:tl2br w:val="nil"/>
              <w:tr2bl w:val="nil"/>
            </w:tcBorders>
            <w:vAlign w:val="center"/>
          </w:tcPr>
          <w:p>
            <w:pPr>
              <w:jc w:val="center"/>
            </w:pPr>
            <w:r>
              <w:t>19.8/</w:t>
            </w:r>
            <w:r>
              <w:rPr>
                <w:rFonts w:hint="eastAsia"/>
              </w:rPr>
              <w:t>包</w:t>
            </w:r>
          </w:p>
        </w:tc>
        <w:tc>
          <w:tcPr>
            <w:tcW w:w="1189" w:type="dxa"/>
            <w:tcBorders>
              <w:tl2br w:val="nil"/>
              <w:tr2bl w:val="nil"/>
            </w:tcBorders>
            <w:vAlign w:val="center"/>
          </w:tcPr>
          <w:p>
            <w:pPr>
              <w:jc w:val="center"/>
            </w:pPr>
            <w:r>
              <w:rPr>
                <w:rFonts w:hint="eastAsia"/>
              </w:rPr>
              <w:t>4</w:t>
            </w:r>
            <w: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44" w:hRule="atLeast"/>
        </w:trPr>
        <w:tc>
          <w:tcPr>
            <w:tcW w:w="695" w:type="dxa"/>
            <w:vMerge w:val="continue"/>
            <w:tcBorders>
              <w:tl2br w:val="nil"/>
              <w:tr2bl w:val="nil"/>
            </w:tcBorders>
            <w:vAlign w:val="center"/>
          </w:tcPr>
          <w:p>
            <w:pPr>
              <w:jc w:val="center"/>
              <w:textAlignment w:val="center"/>
              <w:rPr>
                <w:lang w:bidi="ar"/>
              </w:rPr>
            </w:pPr>
          </w:p>
        </w:tc>
        <w:tc>
          <w:tcPr>
            <w:tcW w:w="1563" w:type="dxa"/>
            <w:vMerge w:val="continue"/>
            <w:tcBorders>
              <w:tl2br w:val="nil"/>
              <w:tr2bl w:val="nil"/>
            </w:tcBorders>
            <w:vAlign w:val="center"/>
          </w:tcPr>
          <w:p>
            <w:pPr>
              <w:textAlignment w:val="center"/>
              <w:rPr>
                <w:lang w:bidi="ar"/>
              </w:rPr>
            </w:pPr>
          </w:p>
        </w:tc>
        <w:tc>
          <w:tcPr>
            <w:tcW w:w="1276" w:type="dxa"/>
            <w:tcBorders>
              <w:tl2br w:val="nil"/>
              <w:tr2bl w:val="nil"/>
            </w:tcBorders>
            <w:vAlign w:val="center"/>
          </w:tcPr>
          <w:p>
            <w:pPr>
              <w:jc w:val="center"/>
              <w:textAlignment w:val="center"/>
              <w:rPr>
                <w:lang w:bidi="ar"/>
              </w:rPr>
            </w:pPr>
            <w:r>
              <w:rPr>
                <w:lang w:bidi="ar"/>
              </w:rPr>
              <w:t>亚龙纸</w:t>
            </w:r>
          </w:p>
        </w:tc>
        <w:tc>
          <w:tcPr>
            <w:tcW w:w="1559" w:type="dxa"/>
            <w:tcBorders>
              <w:tl2br w:val="nil"/>
              <w:tr2bl w:val="nil"/>
            </w:tcBorders>
            <w:vAlign w:val="center"/>
          </w:tcPr>
          <w:p>
            <w:pPr>
              <w:jc w:val="center"/>
            </w:pPr>
            <w:r>
              <w:rPr>
                <w:lang w:bidi="ar"/>
              </w:rPr>
              <w:t>A3小钢炮</w:t>
            </w:r>
          </w:p>
        </w:tc>
        <w:tc>
          <w:tcPr>
            <w:tcW w:w="1418" w:type="dxa"/>
            <w:tcBorders>
              <w:tl2br w:val="nil"/>
              <w:tr2bl w:val="nil"/>
            </w:tcBorders>
            <w:vAlign w:val="center"/>
          </w:tcPr>
          <w:p>
            <w:pPr>
              <w:jc w:val="center"/>
            </w:pPr>
            <w:r>
              <w:t>225/</w:t>
            </w:r>
            <w:r>
              <w:rPr>
                <w:rFonts w:hint="eastAsia"/>
              </w:rPr>
              <w:t>箱（1</w:t>
            </w:r>
            <w:r>
              <w:t>0</w:t>
            </w:r>
            <w:r>
              <w:rPr>
                <w:rFonts w:hint="eastAsia"/>
              </w:rPr>
              <w:t>包）</w:t>
            </w:r>
          </w:p>
        </w:tc>
        <w:tc>
          <w:tcPr>
            <w:tcW w:w="1189" w:type="dxa"/>
            <w:tcBorders>
              <w:tl2br w:val="nil"/>
              <w:tr2bl w:val="nil"/>
            </w:tcBorders>
            <w:vAlign w:val="center"/>
          </w:tcPr>
          <w:p>
            <w:pPr>
              <w:jc w:val="center"/>
            </w:pPr>
            <w: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44" w:hRule="atLeast"/>
        </w:trPr>
        <w:tc>
          <w:tcPr>
            <w:tcW w:w="695" w:type="dxa"/>
            <w:vMerge w:val="continue"/>
            <w:tcBorders>
              <w:tl2br w:val="nil"/>
              <w:tr2bl w:val="nil"/>
            </w:tcBorders>
            <w:vAlign w:val="center"/>
          </w:tcPr>
          <w:p>
            <w:pPr>
              <w:jc w:val="center"/>
              <w:textAlignment w:val="center"/>
            </w:pPr>
          </w:p>
        </w:tc>
        <w:tc>
          <w:tcPr>
            <w:tcW w:w="1563" w:type="dxa"/>
            <w:vMerge w:val="continue"/>
            <w:tcBorders>
              <w:tl2br w:val="nil"/>
              <w:tr2bl w:val="nil"/>
            </w:tcBorders>
            <w:vAlign w:val="center"/>
          </w:tcPr>
          <w:p>
            <w:pPr>
              <w:textAlignment w:val="center"/>
            </w:pPr>
          </w:p>
        </w:tc>
        <w:tc>
          <w:tcPr>
            <w:tcW w:w="1276" w:type="dxa"/>
            <w:tcBorders>
              <w:tl2br w:val="nil"/>
              <w:tr2bl w:val="nil"/>
            </w:tcBorders>
            <w:vAlign w:val="center"/>
          </w:tcPr>
          <w:p>
            <w:pPr>
              <w:jc w:val="center"/>
              <w:textAlignment w:val="center"/>
            </w:pPr>
            <w:r>
              <w:rPr>
                <w:lang w:bidi="ar"/>
              </w:rPr>
              <w:t>亚龙纸</w:t>
            </w:r>
          </w:p>
        </w:tc>
        <w:tc>
          <w:tcPr>
            <w:tcW w:w="1559" w:type="dxa"/>
            <w:tcBorders>
              <w:tl2br w:val="nil"/>
              <w:tr2bl w:val="nil"/>
            </w:tcBorders>
            <w:vAlign w:val="center"/>
          </w:tcPr>
          <w:p>
            <w:pPr>
              <w:jc w:val="center"/>
            </w:pPr>
            <w:r>
              <w:rPr>
                <w:lang w:bidi="ar"/>
              </w:rPr>
              <w:t>A4蓝旗舰</w:t>
            </w:r>
          </w:p>
        </w:tc>
        <w:tc>
          <w:tcPr>
            <w:tcW w:w="1418" w:type="dxa"/>
            <w:tcBorders>
              <w:tl2br w:val="nil"/>
              <w:tr2bl w:val="nil"/>
            </w:tcBorders>
            <w:vAlign w:val="center"/>
          </w:tcPr>
          <w:p>
            <w:pPr>
              <w:jc w:val="center"/>
            </w:pPr>
            <w:r>
              <w:t>220/</w:t>
            </w:r>
            <w:r>
              <w:rPr>
                <w:rFonts w:hint="eastAsia"/>
              </w:rPr>
              <w:t>箱（1</w:t>
            </w:r>
            <w:r>
              <w:t>0</w:t>
            </w:r>
            <w:r>
              <w:rPr>
                <w:rFonts w:hint="eastAsia"/>
              </w:rPr>
              <w:t>包）</w:t>
            </w:r>
          </w:p>
        </w:tc>
        <w:tc>
          <w:tcPr>
            <w:tcW w:w="1189" w:type="dxa"/>
            <w:tcBorders>
              <w:tl2br w:val="nil"/>
              <w:tr2bl w:val="nil"/>
            </w:tcBorders>
            <w:vAlign w:val="center"/>
          </w:tcPr>
          <w:p>
            <w:pPr>
              <w:jc w:val="center"/>
            </w:pPr>
            <w:r>
              <w:t>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44" w:hRule="atLeast"/>
        </w:trPr>
        <w:tc>
          <w:tcPr>
            <w:tcW w:w="695" w:type="dxa"/>
            <w:vMerge w:val="restart"/>
            <w:tcBorders>
              <w:tl2br w:val="nil"/>
              <w:tr2bl w:val="nil"/>
            </w:tcBorders>
            <w:vAlign w:val="center"/>
          </w:tcPr>
          <w:p>
            <w:pPr>
              <w:jc w:val="center"/>
              <w:textAlignment w:val="center"/>
            </w:pPr>
            <w:r>
              <w:t>2</w:t>
            </w:r>
          </w:p>
        </w:tc>
        <w:tc>
          <w:tcPr>
            <w:tcW w:w="1563" w:type="dxa"/>
            <w:vMerge w:val="restart"/>
            <w:tcBorders>
              <w:tl2br w:val="nil"/>
              <w:tr2bl w:val="nil"/>
            </w:tcBorders>
            <w:vAlign w:val="center"/>
          </w:tcPr>
          <w:p>
            <w:pPr>
              <w:textAlignment w:val="center"/>
            </w:pPr>
            <w:r>
              <w:rPr>
                <w:rFonts w:hint="eastAsia"/>
              </w:rPr>
              <w:t>办公耗材</w:t>
            </w:r>
          </w:p>
        </w:tc>
        <w:tc>
          <w:tcPr>
            <w:tcW w:w="1276" w:type="dxa"/>
            <w:tcBorders>
              <w:tl2br w:val="nil"/>
              <w:tr2bl w:val="nil"/>
            </w:tcBorders>
            <w:vAlign w:val="center"/>
          </w:tcPr>
          <w:p>
            <w:pPr>
              <w:jc w:val="center"/>
              <w:textAlignment w:val="center"/>
            </w:pPr>
            <w:r>
              <w:t>格之格</w:t>
            </w:r>
          </w:p>
        </w:tc>
        <w:tc>
          <w:tcPr>
            <w:tcW w:w="1559" w:type="dxa"/>
            <w:tcBorders>
              <w:tl2br w:val="nil"/>
              <w:tr2bl w:val="nil"/>
            </w:tcBorders>
            <w:vAlign w:val="center"/>
          </w:tcPr>
          <w:p>
            <w:pPr>
              <w:jc w:val="center"/>
            </w:pPr>
            <w:r>
              <w:t>281A</w:t>
            </w:r>
          </w:p>
        </w:tc>
        <w:tc>
          <w:tcPr>
            <w:tcW w:w="1418" w:type="dxa"/>
            <w:tcBorders>
              <w:tl2br w:val="nil"/>
              <w:tr2bl w:val="nil"/>
            </w:tcBorders>
            <w:vAlign w:val="center"/>
          </w:tcPr>
          <w:p>
            <w:pPr>
              <w:jc w:val="center"/>
            </w:pPr>
            <w:r>
              <w:t>260</w:t>
            </w:r>
          </w:p>
        </w:tc>
        <w:tc>
          <w:tcPr>
            <w:tcW w:w="1189" w:type="dxa"/>
            <w:tcBorders>
              <w:tl2br w:val="nil"/>
              <w:tr2bl w:val="nil"/>
            </w:tcBorders>
            <w:vAlign w:val="center"/>
          </w:tcPr>
          <w:p>
            <w:pPr>
              <w:jc w:val="center"/>
            </w:pPr>
            <w:r>
              <w:rPr>
                <w:rFonts w:hint="eastAsia"/>
              </w:rPr>
              <w:t>1</w:t>
            </w:r>
            <w:r>
              <w:t>9.74%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44" w:hRule="atLeast"/>
        </w:trPr>
        <w:tc>
          <w:tcPr>
            <w:tcW w:w="695" w:type="dxa"/>
            <w:vMerge w:val="continue"/>
            <w:tcBorders>
              <w:tl2br w:val="nil"/>
              <w:tr2bl w:val="nil"/>
            </w:tcBorders>
            <w:vAlign w:val="center"/>
          </w:tcPr>
          <w:p>
            <w:pPr>
              <w:jc w:val="center"/>
              <w:textAlignment w:val="center"/>
            </w:pPr>
          </w:p>
        </w:tc>
        <w:tc>
          <w:tcPr>
            <w:tcW w:w="1563" w:type="dxa"/>
            <w:vMerge w:val="continue"/>
            <w:tcBorders>
              <w:tl2br w:val="nil"/>
              <w:tr2bl w:val="nil"/>
            </w:tcBorders>
            <w:vAlign w:val="center"/>
          </w:tcPr>
          <w:p>
            <w:pPr>
              <w:textAlignment w:val="center"/>
            </w:pPr>
          </w:p>
        </w:tc>
        <w:tc>
          <w:tcPr>
            <w:tcW w:w="1276" w:type="dxa"/>
            <w:tcBorders>
              <w:tl2br w:val="nil"/>
              <w:tr2bl w:val="nil"/>
            </w:tcBorders>
            <w:vAlign w:val="center"/>
          </w:tcPr>
          <w:p>
            <w:pPr>
              <w:jc w:val="center"/>
              <w:textAlignment w:val="center"/>
            </w:pPr>
            <w:r>
              <w:t>格之格</w:t>
            </w:r>
          </w:p>
        </w:tc>
        <w:tc>
          <w:tcPr>
            <w:tcW w:w="1559" w:type="dxa"/>
            <w:tcBorders>
              <w:tl2br w:val="nil"/>
              <w:tr2bl w:val="nil"/>
            </w:tcBorders>
            <w:vAlign w:val="center"/>
          </w:tcPr>
          <w:p>
            <w:pPr>
              <w:jc w:val="center"/>
            </w:pPr>
            <w:r>
              <w:t>390A</w:t>
            </w:r>
          </w:p>
        </w:tc>
        <w:tc>
          <w:tcPr>
            <w:tcW w:w="1418" w:type="dxa"/>
            <w:tcBorders>
              <w:tl2br w:val="nil"/>
              <w:tr2bl w:val="nil"/>
            </w:tcBorders>
            <w:vAlign w:val="center"/>
          </w:tcPr>
          <w:p>
            <w:pPr>
              <w:jc w:val="center"/>
            </w:pPr>
            <w:r>
              <w:t>290</w:t>
            </w:r>
          </w:p>
        </w:tc>
        <w:tc>
          <w:tcPr>
            <w:tcW w:w="1189" w:type="dxa"/>
            <w:tcBorders>
              <w:tl2br w:val="nil"/>
              <w:tr2bl w:val="nil"/>
            </w:tcBorders>
            <w:vAlign w:val="center"/>
          </w:tcPr>
          <w:p>
            <w:pPr>
              <w:jc w:val="center"/>
            </w:pPr>
            <w:r>
              <w:rPr>
                <w:rFonts w:hint="eastAsia"/>
              </w:rPr>
              <w:t>1</w:t>
            </w:r>
            <w:r>
              <w:t>2.15%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44" w:hRule="atLeast"/>
        </w:trPr>
        <w:tc>
          <w:tcPr>
            <w:tcW w:w="695" w:type="dxa"/>
            <w:vMerge w:val="continue"/>
            <w:tcBorders>
              <w:tl2br w:val="nil"/>
              <w:tr2bl w:val="nil"/>
            </w:tcBorders>
            <w:vAlign w:val="center"/>
          </w:tcPr>
          <w:p>
            <w:pPr>
              <w:jc w:val="center"/>
              <w:textAlignment w:val="center"/>
            </w:pPr>
          </w:p>
        </w:tc>
        <w:tc>
          <w:tcPr>
            <w:tcW w:w="1563" w:type="dxa"/>
            <w:vMerge w:val="continue"/>
            <w:tcBorders>
              <w:tl2br w:val="nil"/>
              <w:tr2bl w:val="nil"/>
            </w:tcBorders>
            <w:vAlign w:val="center"/>
          </w:tcPr>
          <w:p>
            <w:pPr>
              <w:textAlignment w:val="center"/>
            </w:pPr>
          </w:p>
        </w:tc>
        <w:tc>
          <w:tcPr>
            <w:tcW w:w="1276" w:type="dxa"/>
            <w:tcBorders>
              <w:tl2br w:val="nil"/>
              <w:tr2bl w:val="nil"/>
            </w:tcBorders>
            <w:vAlign w:val="center"/>
          </w:tcPr>
          <w:p>
            <w:pPr>
              <w:jc w:val="center"/>
              <w:textAlignment w:val="center"/>
            </w:pPr>
            <w:r>
              <w:t>天威</w:t>
            </w:r>
          </w:p>
        </w:tc>
        <w:tc>
          <w:tcPr>
            <w:tcW w:w="1559" w:type="dxa"/>
            <w:tcBorders>
              <w:tl2br w:val="nil"/>
              <w:tr2bl w:val="nil"/>
            </w:tcBorders>
            <w:vAlign w:val="center"/>
          </w:tcPr>
          <w:p>
            <w:pPr>
              <w:jc w:val="center"/>
            </w:pPr>
            <w:r>
              <w:t>281A</w:t>
            </w:r>
          </w:p>
        </w:tc>
        <w:tc>
          <w:tcPr>
            <w:tcW w:w="1418" w:type="dxa"/>
            <w:tcBorders>
              <w:tl2br w:val="nil"/>
              <w:tr2bl w:val="nil"/>
            </w:tcBorders>
            <w:vAlign w:val="center"/>
          </w:tcPr>
          <w:p>
            <w:pPr>
              <w:jc w:val="center"/>
            </w:pPr>
            <w:r>
              <w:t>310</w:t>
            </w:r>
          </w:p>
        </w:tc>
        <w:tc>
          <w:tcPr>
            <w:tcW w:w="1189" w:type="dxa"/>
            <w:tcBorders>
              <w:tl2br w:val="nil"/>
              <w:tr2bl w:val="nil"/>
            </w:tcBorders>
            <w:vAlign w:val="center"/>
          </w:tcPr>
          <w:p>
            <w:pPr>
              <w:jc w:val="center"/>
            </w:pPr>
            <w:r>
              <w:rPr>
                <w:rFonts w:hint="eastAsia"/>
              </w:rPr>
              <w:t>1</w:t>
            </w:r>
            <w:r>
              <w:t>2.04%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44" w:hRule="atLeast"/>
        </w:trPr>
        <w:tc>
          <w:tcPr>
            <w:tcW w:w="695" w:type="dxa"/>
            <w:vMerge w:val="continue"/>
            <w:tcBorders>
              <w:tl2br w:val="nil"/>
              <w:tr2bl w:val="nil"/>
            </w:tcBorders>
            <w:vAlign w:val="center"/>
          </w:tcPr>
          <w:p>
            <w:pPr>
              <w:jc w:val="center"/>
              <w:textAlignment w:val="center"/>
            </w:pPr>
          </w:p>
        </w:tc>
        <w:tc>
          <w:tcPr>
            <w:tcW w:w="1563" w:type="dxa"/>
            <w:vMerge w:val="continue"/>
            <w:tcBorders>
              <w:tl2br w:val="nil"/>
              <w:tr2bl w:val="nil"/>
            </w:tcBorders>
            <w:vAlign w:val="center"/>
          </w:tcPr>
          <w:p>
            <w:pPr>
              <w:textAlignment w:val="center"/>
            </w:pPr>
          </w:p>
        </w:tc>
        <w:tc>
          <w:tcPr>
            <w:tcW w:w="1276" w:type="dxa"/>
            <w:tcBorders>
              <w:tl2br w:val="nil"/>
              <w:tr2bl w:val="nil"/>
            </w:tcBorders>
            <w:vAlign w:val="center"/>
          </w:tcPr>
          <w:p>
            <w:pPr>
              <w:jc w:val="center"/>
              <w:textAlignment w:val="center"/>
            </w:pPr>
            <w:r>
              <w:t>天威</w:t>
            </w:r>
          </w:p>
        </w:tc>
        <w:tc>
          <w:tcPr>
            <w:tcW w:w="1559" w:type="dxa"/>
            <w:tcBorders>
              <w:tl2br w:val="nil"/>
              <w:tr2bl w:val="nil"/>
            </w:tcBorders>
            <w:vAlign w:val="center"/>
          </w:tcPr>
          <w:p>
            <w:pPr>
              <w:jc w:val="center"/>
            </w:pPr>
            <w:r>
              <w:t>390A</w:t>
            </w:r>
          </w:p>
        </w:tc>
        <w:tc>
          <w:tcPr>
            <w:tcW w:w="1418" w:type="dxa"/>
            <w:tcBorders>
              <w:tl2br w:val="nil"/>
              <w:tr2bl w:val="nil"/>
            </w:tcBorders>
            <w:vAlign w:val="center"/>
          </w:tcPr>
          <w:p>
            <w:pPr>
              <w:jc w:val="center"/>
            </w:pPr>
            <w:r>
              <w:t>355</w:t>
            </w:r>
          </w:p>
        </w:tc>
        <w:tc>
          <w:tcPr>
            <w:tcW w:w="1189" w:type="dxa"/>
            <w:tcBorders>
              <w:tl2br w:val="nil"/>
              <w:tr2bl w:val="nil"/>
            </w:tcBorders>
            <w:vAlign w:val="center"/>
          </w:tcPr>
          <w:p>
            <w:pPr>
              <w:jc w:val="center"/>
            </w:pPr>
            <w:r>
              <w:rPr>
                <w:rFonts w:hint="eastAsia"/>
              </w:rPr>
              <w:t>1</w:t>
            </w:r>
            <w:r>
              <w:t>1.15%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44" w:hRule="atLeast"/>
        </w:trPr>
        <w:tc>
          <w:tcPr>
            <w:tcW w:w="695" w:type="dxa"/>
            <w:tcBorders>
              <w:tl2br w:val="nil"/>
              <w:tr2bl w:val="nil"/>
            </w:tcBorders>
            <w:vAlign w:val="center"/>
          </w:tcPr>
          <w:p>
            <w:pPr>
              <w:jc w:val="center"/>
              <w:textAlignment w:val="center"/>
            </w:pPr>
            <w:r>
              <w:t>3</w:t>
            </w:r>
          </w:p>
        </w:tc>
        <w:tc>
          <w:tcPr>
            <w:tcW w:w="1563" w:type="dxa"/>
            <w:tcBorders>
              <w:tl2br w:val="nil"/>
              <w:tr2bl w:val="nil"/>
            </w:tcBorders>
            <w:vAlign w:val="center"/>
          </w:tcPr>
          <w:p>
            <w:pPr>
              <w:textAlignment w:val="center"/>
            </w:pPr>
            <w:r>
              <w:rPr>
                <w:rFonts w:hint="eastAsia"/>
              </w:rPr>
              <w:t>办公用品</w:t>
            </w:r>
          </w:p>
        </w:tc>
        <w:tc>
          <w:tcPr>
            <w:tcW w:w="1276" w:type="dxa"/>
            <w:tcBorders>
              <w:tl2br w:val="nil"/>
              <w:tr2bl w:val="nil"/>
            </w:tcBorders>
            <w:vAlign w:val="center"/>
          </w:tcPr>
          <w:p>
            <w:pPr>
              <w:jc w:val="center"/>
              <w:textAlignment w:val="center"/>
            </w:pPr>
            <w:r>
              <w:rPr>
                <w:rFonts w:hint="eastAsia"/>
              </w:rPr>
              <w:t>得力等</w:t>
            </w:r>
          </w:p>
        </w:tc>
        <w:tc>
          <w:tcPr>
            <w:tcW w:w="1559" w:type="dxa"/>
            <w:tcBorders>
              <w:tl2br w:val="nil"/>
              <w:tr2bl w:val="nil"/>
            </w:tcBorders>
            <w:vAlign w:val="center"/>
          </w:tcPr>
          <w:p>
            <w:pPr>
              <w:jc w:val="center"/>
            </w:pPr>
            <w:r>
              <w:t>/</w:t>
            </w:r>
          </w:p>
        </w:tc>
        <w:tc>
          <w:tcPr>
            <w:tcW w:w="1418" w:type="dxa"/>
            <w:tcBorders>
              <w:tl2br w:val="nil"/>
              <w:tr2bl w:val="nil"/>
            </w:tcBorders>
            <w:vAlign w:val="center"/>
          </w:tcPr>
          <w:p>
            <w:pPr>
              <w:jc w:val="center"/>
            </w:pPr>
            <w:r>
              <w:rPr>
                <w:rFonts w:hint="eastAsia"/>
              </w:rPr>
              <w:t>/</w:t>
            </w:r>
          </w:p>
        </w:tc>
        <w:tc>
          <w:tcPr>
            <w:tcW w:w="1189" w:type="dxa"/>
            <w:tcBorders>
              <w:tl2br w:val="nil"/>
              <w:tr2bl w:val="nil"/>
            </w:tcBorders>
            <w:vAlign w:val="center"/>
          </w:tcPr>
          <w:p>
            <w:pPr>
              <w:jc w:val="center"/>
            </w:pPr>
            <w:r>
              <w:t>4</w:t>
            </w:r>
            <w:r>
              <w:rPr>
                <w:rFonts w:hint="eastAsia"/>
              </w:rPr>
              <w:t>～3</w:t>
            </w:r>
            <w: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44" w:hRule="atLeast"/>
        </w:trPr>
        <w:tc>
          <w:tcPr>
            <w:tcW w:w="695" w:type="dxa"/>
            <w:tcBorders>
              <w:tl2br w:val="nil"/>
              <w:tr2bl w:val="nil"/>
            </w:tcBorders>
            <w:vAlign w:val="center"/>
          </w:tcPr>
          <w:p>
            <w:pPr>
              <w:jc w:val="center"/>
              <w:textAlignment w:val="center"/>
            </w:pPr>
            <w:r>
              <w:t>4</w:t>
            </w:r>
          </w:p>
        </w:tc>
        <w:tc>
          <w:tcPr>
            <w:tcW w:w="1563" w:type="dxa"/>
            <w:tcBorders>
              <w:tl2br w:val="nil"/>
              <w:tr2bl w:val="nil"/>
            </w:tcBorders>
            <w:vAlign w:val="center"/>
          </w:tcPr>
          <w:p>
            <w:pPr>
              <w:textAlignment w:val="center"/>
            </w:pPr>
            <w:r>
              <w:rPr>
                <w:rFonts w:hint="eastAsia"/>
              </w:rPr>
              <w:t>办公设备</w:t>
            </w:r>
          </w:p>
        </w:tc>
        <w:tc>
          <w:tcPr>
            <w:tcW w:w="1276" w:type="dxa"/>
            <w:tcBorders>
              <w:tl2br w:val="nil"/>
              <w:tr2bl w:val="nil"/>
            </w:tcBorders>
            <w:vAlign w:val="center"/>
          </w:tcPr>
          <w:p>
            <w:pPr>
              <w:jc w:val="center"/>
              <w:textAlignment w:val="center"/>
            </w:pPr>
            <w:r>
              <w:rPr>
                <w:rFonts w:hint="eastAsia"/>
              </w:rPr>
              <w:t>联想等</w:t>
            </w:r>
          </w:p>
        </w:tc>
        <w:tc>
          <w:tcPr>
            <w:tcW w:w="1559" w:type="dxa"/>
            <w:tcBorders>
              <w:tl2br w:val="nil"/>
              <w:tr2bl w:val="nil"/>
            </w:tcBorders>
            <w:vAlign w:val="center"/>
          </w:tcPr>
          <w:p>
            <w:pPr>
              <w:jc w:val="center"/>
            </w:pPr>
            <w:r>
              <w:rPr>
                <w:rFonts w:hint="eastAsia"/>
              </w:rPr>
              <w:t>/</w:t>
            </w:r>
          </w:p>
        </w:tc>
        <w:tc>
          <w:tcPr>
            <w:tcW w:w="1418" w:type="dxa"/>
            <w:tcBorders>
              <w:tl2br w:val="nil"/>
              <w:tr2bl w:val="nil"/>
            </w:tcBorders>
            <w:vAlign w:val="center"/>
          </w:tcPr>
          <w:p>
            <w:pPr>
              <w:jc w:val="center"/>
            </w:pPr>
            <w:r>
              <w:rPr>
                <w:rFonts w:hint="eastAsia"/>
              </w:rPr>
              <w:t>/</w:t>
            </w:r>
          </w:p>
        </w:tc>
        <w:tc>
          <w:tcPr>
            <w:tcW w:w="1189" w:type="dxa"/>
            <w:tcBorders>
              <w:tl2br w:val="nil"/>
              <w:tr2bl w:val="nil"/>
            </w:tcBorders>
            <w:vAlign w:val="center"/>
          </w:tcPr>
          <w:p>
            <w:pPr>
              <w:jc w:val="center"/>
            </w:pPr>
            <w:r>
              <w:rPr>
                <w:rFonts w:hint="eastAsia"/>
              </w:rPr>
              <w:t>2～5</w:t>
            </w:r>
            <w:r>
              <w:t>%</w:t>
            </w:r>
          </w:p>
        </w:tc>
      </w:tr>
    </w:tbl>
    <w:p>
      <w:pPr>
        <w:rPr>
          <w:rFonts w:ascii="仿宋" w:hAnsi="仿宋" w:eastAsia="仿宋" w:cs="仿宋"/>
          <w:color w:val="000000"/>
          <w:sz w:val="28"/>
          <w:szCs w:val="28"/>
        </w:rPr>
      </w:pPr>
    </w:p>
    <w:p>
      <w:pPr>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3、账期服务：按照平台供应商入驻协议，可为事务所提供先货后款服务，账期目前为一个月。可省去采购经办人垫资再报销等流程，方便各采购经办人及财务经办人。</w:t>
      </w:r>
    </w:p>
    <w:p>
      <w:pPr>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4、会议、酒店等服务类采购：货物类采购推广后，平台会根据事务所会议、差旅类需求，进行广泛调研，整合行业需求，对目标酒店及会议场所进行战略谈判，为事务所提供专属优惠价格及其他优势商务条件。</w:t>
      </w:r>
    </w:p>
    <w:p>
      <w:pPr>
        <w:ind w:firstLine="280" w:firstLineChars="100"/>
        <w:jc w:val="left"/>
        <w:rPr>
          <w:rFonts w:ascii="仿宋" w:hAnsi="仿宋" w:eastAsia="仿宋" w:cs="仿宋"/>
          <w:color w:val="000000"/>
          <w:sz w:val="28"/>
          <w:szCs w:val="28"/>
        </w:rPr>
      </w:pPr>
      <w:r>
        <w:rPr>
          <w:rFonts w:ascii="仿宋" w:hAnsi="仿宋" w:eastAsia="仿宋" w:cs="仿宋"/>
          <w:color w:val="000000"/>
          <w:sz w:val="28"/>
          <w:szCs w:val="28"/>
        </w:rPr>
        <w:t>5</w:t>
      </w:r>
      <w:r>
        <w:rPr>
          <w:rFonts w:hint="eastAsia" w:ascii="仿宋" w:hAnsi="仿宋" w:eastAsia="仿宋" w:cs="仿宋"/>
          <w:color w:val="000000"/>
          <w:sz w:val="28"/>
          <w:szCs w:val="28"/>
        </w:rPr>
        <w:t>、在线寻源：</w:t>
      </w:r>
    </w:p>
    <w:p>
      <w:pPr>
        <w:jc w:val="left"/>
        <w:rPr>
          <w:rFonts w:ascii="仿宋" w:hAnsi="仿宋" w:eastAsia="仿宋" w:cs="仿宋"/>
          <w:color w:val="000000"/>
          <w:sz w:val="28"/>
          <w:szCs w:val="28"/>
        </w:rPr>
      </w:pPr>
      <w:r>
        <w:rPr>
          <w:rFonts w:hint="eastAsia" w:ascii="仿宋" w:hAnsi="仿宋" w:eastAsia="仿宋" w:cs="仿宋"/>
          <w:color w:val="000000"/>
          <w:sz w:val="28"/>
          <w:szCs w:val="28"/>
        </w:rPr>
        <w:t>针对部分金额大、标的物市场价格混乱需要大范围询价、竞价的采购</w:t>
      </w:r>
    </w:p>
    <w:p>
      <w:pPr>
        <w:jc w:val="left"/>
        <w:rPr>
          <w:rFonts w:ascii="仿宋" w:hAnsi="仿宋" w:eastAsia="仿宋" w:cs="仿宋"/>
          <w:color w:val="000000"/>
          <w:sz w:val="28"/>
          <w:szCs w:val="28"/>
        </w:rPr>
      </w:pPr>
      <w:r>
        <w:rPr>
          <w:rFonts w:hint="eastAsia" w:ascii="仿宋" w:hAnsi="仿宋" w:eastAsia="仿宋" w:cs="仿宋"/>
          <w:color w:val="000000"/>
          <w:sz w:val="28"/>
          <w:szCs w:val="28"/>
        </w:rPr>
        <w:t>（1）可以将原有线下供应商引导到平台上通过在线询价的流量杠杆挤压报价水分，获得更佳合理的优惠报价；</w:t>
      </w:r>
    </w:p>
    <w:p>
      <w:pPr>
        <w:jc w:val="left"/>
        <w:rPr>
          <w:rFonts w:ascii="仿宋" w:hAnsi="仿宋" w:eastAsia="仿宋" w:cs="仿宋"/>
          <w:color w:val="000000"/>
          <w:sz w:val="28"/>
          <w:szCs w:val="28"/>
        </w:rPr>
      </w:pPr>
      <w:r>
        <w:rPr>
          <w:rFonts w:hint="eastAsia" w:ascii="仿宋" w:hAnsi="仿宋" w:eastAsia="仿宋" w:cs="仿宋"/>
          <w:color w:val="000000"/>
          <w:sz w:val="28"/>
          <w:szCs w:val="28"/>
        </w:rPr>
        <w:t>（2）提升采购寻源效率，如会员采购一些偏业务用途、专业性强的标的，本地缺乏商家资源或者商家资源不够丰富，可将需求直接在在线询价模块中公布，政采云通过产品及运营的方式，同步到省政府采购网、自有流量、</w:t>
      </w:r>
      <w:r>
        <w:rPr>
          <w:rFonts w:ascii="仿宋" w:hAnsi="仿宋" w:eastAsia="仿宋" w:cs="仿宋"/>
          <w:color w:val="000000"/>
          <w:sz w:val="28"/>
          <w:szCs w:val="28"/>
        </w:rPr>
        <w:t>sns</w:t>
      </w:r>
      <w:r>
        <w:rPr>
          <w:rFonts w:hint="eastAsia" w:ascii="仿宋" w:hAnsi="仿宋" w:eastAsia="仿宋" w:cs="仿宋"/>
          <w:color w:val="000000"/>
          <w:sz w:val="28"/>
          <w:szCs w:val="28"/>
        </w:rPr>
        <w:t>传播，通过流量杠杆短时间内完成采购寻源与比价工作；</w:t>
      </w:r>
    </w:p>
    <w:p>
      <w:pPr>
        <w:ind w:firstLine="280" w:firstLineChars="100"/>
        <w:jc w:val="left"/>
        <w:rPr>
          <w:rFonts w:ascii="仿宋" w:hAnsi="仿宋" w:eastAsia="仿宋" w:cs="仿宋"/>
          <w:color w:val="000000"/>
          <w:sz w:val="28"/>
          <w:szCs w:val="28"/>
        </w:rPr>
      </w:pPr>
      <w:r>
        <w:rPr>
          <w:rFonts w:ascii="仿宋" w:hAnsi="仿宋" w:eastAsia="仿宋" w:cs="仿宋"/>
          <w:color w:val="000000"/>
          <w:sz w:val="28"/>
          <w:szCs w:val="28"/>
        </w:rPr>
        <w:t>6</w:t>
      </w:r>
      <w:r>
        <w:rPr>
          <w:rFonts w:hint="eastAsia" w:ascii="仿宋" w:hAnsi="仿宋" w:eastAsia="仿宋" w:cs="仿宋"/>
          <w:color w:val="000000"/>
          <w:sz w:val="28"/>
          <w:szCs w:val="28"/>
        </w:rPr>
        <w:t>、云架构的在线采购管理系统</w:t>
      </w:r>
    </w:p>
    <w:p>
      <w:pPr>
        <w:jc w:val="left"/>
        <w:rPr>
          <w:rFonts w:ascii="仿宋" w:hAnsi="仿宋" w:eastAsia="仿宋" w:cs="仿宋"/>
          <w:color w:val="000000"/>
          <w:sz w:val="28"/>
          <w:szCs w:val="28"/>
        </w:rPr>
      </w:pPr>
      <w:r>
        <w:rPr>
          <w:rFonts w:hint="eastAsia" w:ascii="仿宋" w:hAnsi="仿宋" w:eastAsia="仿宋" w:cs="仿宋"/>
          <w:color w:val="000000"/>
          <w:sz w:val="28"/>
          <w:szCs w:val="28"/>
        </w:rPr>
        <w:t>（1）信息集成、事前审批、事中监控、事后追查</w:t>
      </w:r>
    </w:p>
    <w:p>
      <w:pPr>
        <w:jc w:val="left"/>
        <w:rPr>
          <w:rFonts w:ascii="仿宋" w:hAnsi="仿宋" w:eastAsia="仿宋" w:cs="仿宋"/>
          <w:color w:val="000000"/>
          <w:sz w:val="28"/>
          <w:szCs w:val="28"/>
        </w:rPr>
      </w:pPr>
      <w:r>
        <w:rPr>
          <w:rFonts w:hint="eastAsia" w:ascii="仿宋" w:hAnsi="仿宋" w:eastAsia="仿宋" w:cs="仿宋"/>
          <w:color w:val="000000"/>
          <w:sz w:val="28"/>
          <w:szCs w:val="28"/>
        </w:rPr>
        <w:t>集团采购或财务部门可监控下属主体的采购活动，区划内所有采购数据全部集成到平台，采购管理部门可设置账号随时查看，进行实时监控，可省去线下审查、对账工作，对于记录异常的单位可以事后追查；</w:t>
      </w:r>
    </w:p>
    <w:p>
      <w:pPr>
        <w:jc w:val="left"/>
        <w:rPr>
          <w:rFonts w:ascii="仿宋" w:hAnsi="仿宋" w:eastAsia="仿宋" w:cs="仿宋"/>
          <w:color w:val="000000"/>
          <w:sz w:val="28"/>
          <w:szCs w:val="28"/>
        </w:rPr>
      </w:pPr>
      <w:r>
        <w:rPr>
          <w:rFonts w:hint="eastAsia" w:ascii="仿宋" w:hAnsi="仿宋" w:eastAsia="仿宋" w:cs="仿宋"/>
          <w:color w:val="000000"/>
          <w:sz w:val="28"/>
          <w:szCs w:val="28"/>
        </w:rPr>
        <w:t>（2）沉淀数据、提供规划决策参考</w:t>
      </w:r>
    </w:p>
    <w:p>
      <w:pPr>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采购活动作为信息集成在平台后可以数据化，通过平台数据分析（报表）功能，进行各种分析，透视各个分支机构采购成本、资金使用效率，可对未来总体资金安排、规划提供决策参考</w:t>
      </w:r>
      <w:r>
        <w:rPr>
          <w:rFonts w:hint="eastAsia" w:ascii="仿宋" w:hAnsi="仿宋" w:eastAsia="仿宋" w:cs="仿宋"/>
          <w:color w:val="000000"/>
          <w:sz w:val="28"/>
          <w:szCs w:val="28"/>
          <w:lang w:val="en-US" w:eastAsia="zh-CN"/>
        </w:rPr>
        <w:t>。</w:t>
      </w:r>
    </w:p>
    <w:p>
      <w:pPr>
        <w:pStyle w:val="2"/>
        <w:rPr>
          <w:rFonts w:hint="eastAsia" w:ascii="仿宋" w:hAnsi="仿宋" w:eastAsia="仿宋" w:cs="仿宋"/>
          <w:color w:val="000000"/>
          <w:sz w:val="28"/>
          <w:szCs w:val="28"/>
          <w:lang w:val="en-US" w:eastAsia="zh-CN"/>
        </w:rPr>
      </w:pPr>
    </w:p>
    <w:p>
      <w:pPr>
        <w:pStyle w:val="2"/>
        <w:rPr>
          <w:rFonts w:hint="eastAsia" w:ascii="仿宋" w:hAnsi="仿宋" w:eastAsia="仿宋" w:cs="仿宋"/>
          <w:color w:val="000000"/>
          <w:sz w:val="28"/>
          <w:szCs w:val="28"/>
          <w:lang w:val="en-US" w:eastAsia="zh-CN"/>
        </w:rPr>
      </w:pPr>
    </w:p>
    <w:p>
      <w:pPr>
        <w:pStyle w:val="2"/>
        <w:rPr>
          <w:rFonts w:hint="eastAsia" w:ascii="仿宋" w:hAnsi="仿宋" w:eastAsia="仿宋" w:cs="仿宋"/>
          <w:color w:val="000000"/>
          <w:sz w:val="28"/>
          <w:szCs w:val="28"/>
          <w:lang w:val="en-US" w:eastAsia="zh-CN"/>
        </w:rPr>
      </w:pPr>
    </w:p>
    <w:p>
      <w:pPr>
        <w:pStyle w:val="2"/>
        <w:rPr>
          <w:rFonts w:hint="eastAsia" w:ascii="仿宋" w:hAnsi="仿宋" w:eastAsia="仿宋" w:cs="仿宋"/>
          <w:color w:val="000000"/>
          <w:sz w:val="28"/>
          <w:szCs w:val="28"/>
          <w:lang w:val="en-US" w:eastAsia="zh-CN"/>
        </w:rPr>
      </w:pPr>
    </w:p>
    <w:p>
      <w:pPr>
        <w:pStyle w:val="2"/>
        <w:rPr>
          <w:rFonts w:hint="eastAsia" w:ascii="仿宋" w:hAnsi="仿宋" w:eastAsia="仿宋" w:cs="仿宋"/>
          <w:color w:val="000000"/>
          <w:sz w:val="28"/>
          <w:szCs w:val="28"/>
          <w:lang w:val="en-US" w:eastAsia="zh-CN"/>
        </w:rPr>
      </w:pPr>
    </w:p>
    <w:p>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0"/>
      <w:jc w:val="right"/>
      <w:rPr>
        <w:rFonts w:ascii="黑体" w:eastAsia="黑体"/>
        <w:sz w:val="24"/>
        <w:szCs w:val="24"/>
      </w:rPr>
    </w:pPr>
    <w:r>
      <w:rPr>
        <w:rFonts w:hint="eastAsia"/>
      </w:rPr>
      <w:t xml:space="preserve">                           </w:t>
    </w:r>
    <w:r>
      <w:rPr>
        <w:rFonts w:hint="eastAsia"/>
        <w:sz w:val="21"/>
        <w:szCs w:val="21"/>
      </w:rPr>
      <w:t xml:space="preserve">  </w:t>
    </w:r>
    <w:r>
      <w:rPr>
        <w:sz w:val="21"/>
        <w:szCs w:val="21"/>
      </w:rPr>
      <w:t xml:space="preserve">     </w:t>
    </w:r>
    <w:r>
      <w:rPr>
        <w:rFonts w:hint="eastAsia" w:ascii="黑体" w:eastAsia="黑体"/>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D80C3"/>
    <w:multiLevelType w:val="singleLevel"/>
    <w:tmpl w:val="5CBD80C3"/>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5E"/>
    <w:rsid w:val="00181E9F"/>
    <w:rsid w:val="0060113F"/>
    <w:rsid w:val="0078555E"/>
    <w:rsid w:val="00A1476B"/>
    <w:rsid w:val="00DF409A"/>
    <w:rsid w:val="06EA28B0"/>
    <w:rsid w:val="18103AD2"/>
    <w:rsid w:val="4A570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customStyle="1" w:styleId="2">
    <w:name w:val="正文1"/>
    <w:basedOn w:val="1"/>
    <w:qFormat/>
    <w:uiPriority w:val="0"/>
    <w:pPr>
      <w:spacing w:line="318" w:lineRule="atLeast"/>
      <w:ind w:left="369" w:firstLine="369"/>
    </w:pPr>
    <w:rPr>
      <w:rFonts w:ascii="宋体"/>
    </w:rPr>
  </w:style>
  <w:style w:type="paragraph" w:styleId="3">
    <w:name w:val="footer"/>
    <w:basedOn w:val="1"/>
    <w:link w:val="7"/>
    <w:qFormat/>
    <w:uiPriority w:val="0"/>
    <w:pPr>
      <w:tabs>
        <w:tab w:val="center" w:pos="4153"/>
        <w:tab w:val="right" w:pos="8306"/>
      </w:tabs>
      <w:snapToGrid w:val="0"/>
      <w:jc w:val="left"/>
    </w:pPr>
    <w:rPr>
      <w:rFonts w:asciiTheme="minorHAnsi" w:hAnsiTheme="minorHAnsi" w:eastAsiaTheme="minorEastAsia"/>
      <w:sz w:val="18"/>
      <w:szCs w:val="18"/>
    </w:rPr>
  </w:style>
  <w:style w:type="character" w:styleId="5">
    <w:name w:val="Hyperlink"/>
    <w:qFormat/>
    <w:uiPriority w:val="0"/>
    <w:rPr>
      <w:color w:val="0000FF"/>
      <w:u w:val="single"/>
    </w:rPr>
  </w:style>
  <w:style w:type="character" w:customStyle="1" w:styleId="7">
    <w:name w:val="页脚 字符1"/>
    <w:link w:val="3"/>
    <w:qFormat/>
    <w:uiPriority w:val="0"/>
    <w:rPr>
      <w:rFonts w:cs="Times New Roman"/>
      <w:sz w:val="18"/>
      <w:szCs w:val="18"/>
    </w:rPr>
  </w:style>
  <w:style w:type="character" w:customStyle="1" w:styleId="8">
    <w:name w:val="页脚 字符"/>
    <w:basedOn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462</Words>
  <Characters>2638</Characters>
  <Lines>21</Lines>
  <Paragraphs>6</Paragraphs>
  <TotalTime>3</TotalTime>
  <ScaleCrop>false</ScaleCrop>
  <LinksUpToDate>false</LinksUpToDate>
  <CharactersWithSpaces>3094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2019-06-20T09:05:00Z</dcterms:created>
  <dc:creator>Microsoft Office 用户</dc:creator>
  <cp:lastModifiedBy>admin</cp:lastModifiedBy>
  <dcterms:modified xsi:type="dcterms:W3CDTF">2019-09-18T09:03:19Z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