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color w:val="auto"/>
          <w:sz w:val="32"/>
          <w:szCs w:val="32"/>
          <w:highlight w:val="none"/>
          <w:lang w:eastAsia="zh-CN"/>
        </w:rPr>
      </w:pPr>
      <w:bookmarkStart w:id="620" w:name="_GoBack"/>
    </w:p>
    <w:p w14:paraId="7E039B8B">
      <w:pPr>
        <w:jc w:val="center"/>
        <w:rPr>
          <w:rFonts w:hint="eastAsia" w:ascii="黑体" w:hAnsi="黑体" w:eastAsia="黑体"/>
          <w:color w:val="auto"/>
          <w:spacing w:val="5760"/>
          <w:w w:val="100"/>
          <w:kern w:val="0"/>
          <w:sz w:val="36"/>
          <w:szCs w:val="36"/>
          <w:highlight w:val="none"/>
          <w:fitText w:val="6120" w:id="-1002138880"/>
          <w:lang w:val="en-US" w:eastAsia="zh-CN"/>
        </w:rPr>
      </w:pPr>
    </w:p>
    <w:p w14:paraId="2DD0582A">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1B00BC94">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rPr>
        <w:t>竞争性</w:t>
      </w:r>
      <w:r>
        <w:rPr>
          <w:rFonts w:hint="eastAsia" w:cs="宋体"/>
          <w:b/>
          <w:bCs/>
          <w:color w:val="auto"/>
          <w:sz w:val="60"/>
          <w:szCs w:val="60"/>
          <w:highlight w:val="none"/>
          <w:lang w:val="en-US" w:eastAsia="zh-CN"/>
        </w:rPr>
        <w:t>谈判</w:t>
      </w:r>
      <w:r>
        <w:rPr>
          <w:rFonts w:hint="eastAsia" w:ascii="宋体" w:hAnsi="宋体" w:eastAsia="宋体" w:cs="宋体"/>
          <w:b/>
          <w:bCs/>
          <w:color w:val="auto"/>
          <w:sz w:val="60"/>
          <w:szCs w:val="60"/>
          <w:highlight w:val="none"/>
        </w:rPr>
        <w:t>文件</w:t>
      </w:r>
      <w:r>
        <w:rPr>
          <w:rFonts w:hint="eastAsia" w:ascii="宋体" w:hAnsi="宋体" w:eastAsia="宋体" w:cs="宋体"/>
          <w:b/>
          <w:bCs/>
          <w:color w:val="auto"/>
          <w:sz w:val="60"/>
          <w:szCs w:val="60"/>
          <w:highlight w:val="none"/>
          <w:lang w:val="en-US" w:eastAsia="zh-CN"/>
        </w:rPr>
        <w:t>示范文本</w:t>
      </w:r>
    </w:p>
    <w:p w14:paraId="4E1FA335">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lang w:val="en-US" w:eastAsia="zh-CN"/>
        </w:rPr>
        <w:t>（货物）</w:t>
      </w:r>
    </w:p>
    <w:p w14:paraId="08B3A613">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（202</w:t>
      </w:r>
      <w:r>
        <w:rPr>
          <w:rFonts w:hint="eastAsia" w:ascii="宋体" w:hAnsi="宋体" w:eastAsia="宋体" w:cs="宋体"/>
          <w:b/>
          <w:bCs/>
          <w:color w:val="auto"/>
          <w:sz w:val="60"/>
          <w:szCs w:val="60"/>
          <w:highlight w:val="none"/>
          <w:lang w:val="en-US" w:eastAsia="zh-CN"/>
        </w:rPr>
        <w:t>5年</w:t>
      </w:r>
      <w:r>
        <w:rPr>
          <w:rFonts w:hint="eastAsia" w:ascii="宋体" w:hAnsi="宋体" w:eastAsia="宋体" w:cs="宋体"/>
          <w:b/>
          <w:bCs/>
          <w:color w:val="auto"/>
          <w:sz w:val="60"/>
          <w:szCs w:val="60"/>
          <w:highlight w:val="none"/>
        </w:rPr>
        <w:t>版）</w:t>
      </w:r>
    </w:p>
    <w:p w14:paraId="6C8C8A47">
      <w:pPr>
        <w:jc w:val="center"/>
        <w:rPr>
          <w:rFonts w:ascii="黑体" w:hAnsi="黑体" w:eastAsia="黑体"/>
          <w:color w:val="auto"/>
          <w:sz w:val="72"/>
          <w:szCs w:val="72"/>
          <w:highlight w:val="none"/>
        </w:rPr>
      </w:pPr>
    </w:p>
    <w:p w14:paraId="281ECC9C">
      <w:pPr>
        <w:jc w:val="center"/>
        <w:rPr>
          <w:rFonts w:ascii="黑体" w:hAnsi="黑体" w:eastAsia="黑体"/>
          <w:color w:val="auto"/>
          <w:sz w:val="72"/>
          <w:szCs w:val="72"/>
          <w:highlight w:val="none"/>
        </w:rPr>
      </w:pPr>
    </w:p>
    <w:p w14:paraId="450CD3A6">
      <w:pPr>
        <w:jc w:val="center"/>
        <w:rPr>
          <w:rFonts w:ascii="黑体" w:hAnsi="黑体" w:eastAsia="黑体"/>
          <w:color w:val="auto"/>
          <w:sz w:val="72"/>
          <w:szCs w:val="72"/>
          <w:highlight w:val="none"/>
        </w:rPr>
      </w:pPr>
    </w:p>
    <w:p w14:paraId="7A2B5886">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ED656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728E52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rPr>
          <w:rFonts w:ascii="黑体" w:hAnsi="黑体" w:eastAsia="黑体"/>
          <w:color w:val="auto"/>
          <w:highlight w:val="none"/>
        </w:rPr>
      </w:pPr>
    </w:p>
    <w:p w14:paraId="02F7A154">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p>
    <w:p w14:paraId="27E04485">
      <w:pPr>
        <w:rPr>
          <w:rFonts w:ascii="黑体" w:hAnsi="黑体" w:eastAsia="黑体"/>
          <w:color w:val="auto"/>
          <w:sz w:val="32"/>
          <w:szCs w:val="32"/>
          <w:highlight w:val="none"/>
        </w:rPr>
      </w:pPr>
    </w:p>
    <w:p w14:paraId="07CC1862">
      <w:pPr>
        <w:jc w:val="center"/>
        <w:rPr>
          <w:rFonts w:hint="eastAsia" w:ascii="黑体" w:hAnsi="黑体" w:eastAsia="黑体"/>
          <w:color w:val="auto"/>
          <w:sz w:val="48"/>
          <w:szCs w:val="48"/>
          <w:highlight w:val="none"/>
        </w:rPr>
      </w:pPr>
    </w:p>
    <w:p w14:paraId="1F37BEF8">
      <w:pPr>
        <w:jc w:val="center"/>
        <w:rPr>
          <w:rFonts w:hint="eastAsia" w:ascii="黑体" w:hAnsi="黑体" w:eastAsia="黑体"/>
          <w:color w:val="auto"/>
          <w:sz w:val="48"/>
          <w:szCs w:val="48"/>
          <w:highlight w:val="none"/>
        </w:rPr>
      </w:pPr>
    </w:p>
    <w:p w14:paraId="084C07BD">
      <w:pPr>
        <w:jc w:val="center"/>
        <w:rPr>
          <w:rFonts w:hint="eastAsia" w:ascii="黑体" w:hAnsi="黑体" w:eastAsia="黑体"/>
          <w:color w:val="auto"/>
          <w:sz w:val="48"/>
          <w:szCs w:val="48"/>
          <w:highlight w:val="none"/>
        </w:rPr>
      </w:pPr>
    </w:p>
    <w:p w14:paraId="7981359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344ECDD7">
      <w:pPr>
        <w:pStyle w:val="51"/>
        <w:rPr>
          <w:rFonts w:hint="eastAsia" w:ascii="黑体" w:hAnsi="黑体" w:eastAsia="黑体"/>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为促进政府采购活动的公开、公平和公正进行，进一步优化新疆生产建设兵团政府采购营商环境，提高竞争性谈判文件编制质量和采购工作效率，根据政府采购有关法律法规及政策要求，会同有关单位研究制定了《兵团政府采购项目竞争性谈判文件示范文本（试行）（2025年版）》（以下简称《示范文本》），并在兵团政府采购项目中推广使用，</w:t>
      </w:r>
      <w:r>
        <w:rPr>
          <w:rFonts w:hint="eastAsia" w:ascii="宋体" w:hAnsi="宋体" w:eastAsia="宋体" w:cs="宋体"/>
          <w:iCs/>
          <w:color w:val="auto"/>
          <w:kern w:val="2"/>
          <w:sz w:val="30"/>
          <w:szCs w:val="30"/>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zh-CN" w:eastAsia="zh-CN" w:bidi="ar-SA"/>
        </w:rPr>
        <w:t>《示范文本》适用于</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9"/>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en-US"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1.条款中以空格和下划横线“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Cs/>
          <w:color w:val="auto"/>
          <w:kern w:val="2"/>
          <w:sz w:val="30"/>
          <w:szCs w:val="30"/>
          <w:highlight w:val="none"/>
          <w:shd w:val="clear" w:color="auto" w:fill="FFFFFF" w:themeFill="background1"/>
          <w:lang w:val="zh-CN" w:eastAsia="zh-CN" w:bidi="ar-SA"/>
        </w:rPr>
        <w:t>国家和</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有关法律法规的规定、</w:t>
      </w:r>
      <w:r>
        <w:rPr>
          <w:rFonts w:hint="eastAsia" w:ascii="宋体" w:hAnsi="宋体" w:eastAsia="宋体" w:cs="宋体"/>
          <w:iCs/>
          <w:color w:val="auto"/>
          <w:kern w:val="2"/>
          <w:sz w:val="30"/>
          <w:szCs w:val="30"/>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”中用“/”标记。</w:t>
      </w:r>
    </w:p>
    <w:p w14:paraId="4E121B87">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2.条款中以“□”形式标记的内容，为采购人或采购代理机构需要确定的选项。编制谈判文件时，适用于本项目的选项标记为“</w:t>
      </w:r>
      <w:r>
        <w:rPr>
          <w:rFonts w:hint="eastAsia" w:ascii="宋体" w:hAnsi="宋体" w:eastAsia="宋体" w:cs="宋体"/>
          <w:iCs/>
          <w:color w:val="auto"/>
          <w:kern w:val="2"/>
          <w:sz w:val="30"/>
          <w:szCs w:val="30"/>
          <w:highlight w:val="none"/>
          <w:shd w:val="clear" w:color="auto" w:fill="FFFFFF" w:themeFill="background1"/>
          <w:lang w:val="en-US" w:eastAsia="zh-CN" w:bidi="ar-SA"/>
        </w:rPr>
        <w:sym w:font="Wingdings 2" w:char="0052"/>
      </w:r>
      <w:r>
        <w:rPr>
          <w:rFonts w:hint="eastAsia" w:ascii="宋体" w:hAnsi="宋体" w:eastAsia="宋体" w:cs="宋体"/>
          <w:iCs/>
          <w:color w:val="auto"/>
          <w:kern w:val="2"/>
          <w:sz w:val="30"/>
          <w:szCs w:val="30"/>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《示范文本》中“【】”形式标记的内容，属于提示编制采购文件的注意事项，在交易系统中制作采购文件模板时，有关“【】”</w:t>
      </w:r>
      <w:r>
        <w:rPr>
          <w:rFonts w:hint="eastAsia" w:ascii="宋体" w:hAnsi="宋体" w:eastAsia="宋体" w:cs="宋体"/>
          <w:color w:val="auto"/>
          <w:sz w:val="30"/>
          <w:szCs w:val="30"/>
          <w:highlight w:val="none"/>
          <w:lang w:val="en-US" w:eastAsia="zh-CN"/>
        </w:rPr>
        <w:t>内的</w:t>
      </w:r>
      <w:r>
        <w:rPr>
          <w:rFonts w:hint="eastAsia" w:ascii="宋体" w:hAnsi="宋体" w:eastAsia="宋体" w:cs="宋体"/>
          <w:color w:val="auto"/>
          <w:sz w:val="30"/>
          <w:szCs w:val="30"/>
          <w:highlight w:val="none"/>
        </w:rPr>
        <w:t>提示内容应予以删除。</w:t>
      </w:r>
    </w:p>
    <w:p w14:paraId="03D37BD1">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2.不适用的内容及相关章节应</w:t>
      </w:r>
      <w:r>
        <w:rPr>
          <w:rFonts w:hint="eastAsia" w:ascii="宋体" w:hAnsi="宋体" w:eastAsia="宋体" w:cs="宋体"/>
          <w:color w:val="auto"/>
          <w:sz w:val="30"/>
          <w:szCs w:val="30"/>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供应商</w:t>
      </w:r>
      <w:r>
        <w:rPr>
          <w:rFonts w:hint="eastAsia" w:ascii="黑体" w:hAnsi="黑体" w:eastAsia="黑体" w:cs="黑体"/>
          <w:b/>
          <w:bCs/>
          <w:color w:val="auto"/>
          <w:sz w:val="32"/>
          <w:szCs w:val="24"/>
          <w:highlight w:val="none"/>
        </w:rPr>
        <w:t>须知前附表说明</w:t>
      </w:r>
    </w:p>
    <w:p w14:paraId="7942F6BE">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为了便于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高效阅览、避免遗漏重点内容，《示范文本》对第二章“</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须知”设置了表格形式。“</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须知前附表”用于进一步明确“</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须知”正文中的未尽事宜，采购人或采购代理机构在编制采购文件时，应根据采购项目实际需要，对于需要修改和补充的内容在</w:t>
      </w:r>
      <w:r>
        <w:rPr>
          <w:rFonts w:hint="eastAsia" w:ascii="宋体" w:hAnsi="宋体" w:eastAsia="宋体" w:cs="宋体"/>
          <w:color w:val="auto"/>
          <w:sz w:val="30"/>
          <w:szCs w:val="30"/>
          <w:highlight w:val="none"/>
          <w:lang w:val="en-US" w:eastAsia="zh-CN"/>
        </w:rPr>
        <w:t>前附</w:t>
      </w:r>
      <w:r>
        <w:rPr>
          <w:rFonts w:hint="eastAsia" w:ascii="宋体" w:hAnsi="宋体" w:eastAsia="宋体" w:cs="宋体"/>
          <w:color w:val="auto"/>
          <w:sz w:val="30"/>
          <w:szCs w:val="30"/>
          <w:highlight w:val="none"/>
        </w:rPr>
        <w:t>表中选择和补充列明。“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须知”正文内容不一致的，以“</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须知前附表”为准。</w:t>
      </w:r>
    </w:p>
    <w:p w14:paraId="27B779F7">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2.</w:t>
      </w:r>
      <w:r>
        <w:rPr>
          <w:rFonts w:hint="eastAsia" w:ascii="宋体" w:hAnsi="宋体" w:eastAsia="宋体" w:cs="宋体"/>
          <w:color w:val="auto"/>
          <w:sz w:val="30"/>
          <w:szCs w:val="30"/>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3"/>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3.《示范文本》第二章中“供应商须知前附表”所列条款号与“供应商须知正文”的序号一一对应。</w:t>
      </w:r>
      <w:r>
        <w:rPr>
          <w:rFonts w:hint="eastAsia" w:ascii="宋体" w:hAnsi="宋体" w:eastAsia="宋体" w:cs="宋体"/>
          <w:color w:val="auto"/>
          <w:sz w:val="30"/>
          <w:szCs w:val="30"/>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《示范文本》在第三章“</w:t>
      </w:r>
      <w:r>
        <w:rPr>
          <w:rFonts w:hint="eastAsia" w:ascii="宋体" w:hAnsi="宋体" w:eastAsia="宋体" w:cs="宋体"/>
          <w:color w:val="auto"/>
          <w:sz w:val="30"/>
          <w:szCs w:val="30"/>
          <w:highlight w:val="none"/>
          <w:lang w:val="en-US" w:eastAsia="zh-CN"/>
        </w:rPr>
        <w:t>项目</w:t>
      </w:r>
      <w:r>
        <w:rPr>
          <w:rFonts w:hint="eastAsia" w:ascii="宋体" w:hAnsi="宋体" w:eastAsia="宋体" w:cs="宋体"/>
          <w:color w:val="auto"/>
          <w:sz w:val="30"/>
          <w:szCs w:val="30"/>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响应</w:t>
      </w:r>
      <w:r>
        <w:rPr>
          <w:rFonts w:hint="eastAsia" w:ascii="黑体" w:hAnsi="黑体" w:eastAsia="黑体" w:cs="黑体"/>
          <w:b/>
          <w:bCs/>
          <w:color w:val="auto"/>
          <w:sz w:val="32"/>
          <w:szCs w:val="24"/>
          <w:highlight w:val="none"/>
        </w:rPr>
        <w:t>文件格式使用</w:t>
      </w:r>
    </w:p>
    <w:p w14:paraId="785E2B4F">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为便于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制作</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文件，便于</w:t>
      </w:r>
      <w:r>
        <w:rPr>
          <w:rFonts w:hint="eastAsia" w:ascii="宋体" w:hAnsi="宋体" w:eastAsia="宋体" w:cs="宋体"/>
          <w:color w:val="auto"/>
          <w:sz w:val="30"/>
          <w:szCs w:val="30"/>
          <w:highlight w:val="none"/>
          <w:lang w:val="en-US" w:eastAsia="zh-CN"/>
        </w:rPr>
        <w:t>竞争性</w:t>
      </w:r>
      <w:r>
        <w:rPr>
          <w:rFonts w:hint="eastAsia" w:cs="宋体"/>
          <w:color w:val="auto"/>
          <w:sz w:val="30"/>
          <w:szCs w:val="30"/>
          <w:highlight w:val="none"/>
          <w:lang w:val="en-US" w:eastAsia="zh-CN"/>
        </w:rPr>
        <w:t>谈判</w:t>
      </w:r>
      <w:r>
        <w:rPr>
          <w:rFonts w:hint="eastAsia" w:ascii="宋体" w:hAnsi="宋体" w:eastAsia="宋体" w:cs="宋体"/>
          <w:color w:val="auto"/>
          <w:sz w:val="30"/>
          <w:szCs w:val="30"/>
          <w:highlight w:val="none"/>
          <w:lang w:val="en-US" w:eastAsia="zh-CN"/>
        </w:rPr>
        <w:t>小组</w:t>
      </w:r>
      <w:r>
        <w:rPr>
          <w:rFonts w:hint="eastAsia" w:ascii="宋体" w:hAnsi="宋体" w:eastAsia="宋体" w:cs="宋体"/>
          <w:color w:val="auto"/>
          <w:sz w:val="30"/>
          <w:szCs w:val="30"/>
          <w:highlight w:val="none"/>
        </w:rPr>
        <w:t>评审时统一标准，《示范文本》对适宜的内容提供了统一的</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各级预算单位、采购代理机构认真组织好《示范文本》的推广使用。</w:t>
      </w:r>
      <w:r>
        <w:rPr>
          <w:rFonts w:hint="eastAsia" w:ascii="宋体" w:hAnsi="宋体" w:eastAsia="宋体" w:cs="宋体"/>
          <w:color w:val="auto"/>
          <w:sz w:val="30"/>
          <w:szCs w:val="30"/>
          <w:highlight w:val="none"/>
          <w:lang w:val="en-US" w:eastAsia="zh-CN"/>
        </w:rPr>
        <w:t>兵团</w:t>
      </w:r>
      <w:r>
        <w:rPr>
          <w:rFonts w:hint="eastAsia" w:ascii="宋体" w:hAnsi="宋体" w:eastAsia="宋体" w:cs="宋体"/>
          <w:color w:val="auto"/>
          <w:sz w:val="30"/>
          <w:szCs w:val="30"/>
          <w:highlight w:val="none"/>
        </w:rPr>
        <w:t>财政</w:t>
      </w:r>
      <w:r>
        <w:rPr>
          <w:rFonts w:hint="eastAsia" w:ascii="宋体" w:hAnsi="宋体" w:eastAsia="宋体" w:cs="宋体"/>
          <w:color w:val="auto"/>
          <w:sz w:val="30"/>
          <w:szCs w:val="30"/>
          <w:highlight w:val="none"/>
          <w:lang w:val="en-US" w:eastAsia="zh-CN"/>
        </w:rPr>
        <w:t>局</w:t>
      </w:r>
      <w:r>
        <w:rPr>
          <w:rFonts w:hint="eastAsia" w:ascii="宋体" w:hAnsi="宋体" w:eastAsia="宋体" w:cs="宋体"/>
          <w:color w:val="auto"/>
          <w:sz w:val="30"/>
          <w:szCs w:val="30"/>
          <w:highlight w:val="none"/>
        </w:rPr>
        <w:t>根据</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rPr>
        <w:t>政府采购法</w:t>
      </w:r>
      <w:r>
        <w:rPr>
          <w:rFonts w:hint="eastAsia" w:ascii="宋体" w:hAnsi="宋体" w:eastAsia="宋体" w:cs="宋体"/>
          <w:color w:val="auto"/>
          <w:sz w:val="30"/>
          <w:szCs w:val="30"/>
          <w:highlight w:val="none"/>
          <w:lang w:eastAsia="zh-CN"/>
        </w:rPr>
        <w:t>》修法及相关法</w:t>
      </w:r>
      <w:r>
        <w:rPr>
          <w:rFonts w:hint="eastAsia" w:ascii="宋体" w:hAnsi="宋体" w:eastAsia="宋体" w:cs="宋体"/>
          <w:color w:val="auto"/>
          <w:sz w:val="30"/>
          <w:szCs w:val="30"/>
          <w:highlight w:val="none"/>
        </w:rPr>
        <w:t>律法规</w:t>
      </w:r>
      <w:r>
        <w:rPr>
          <w:rFonts w:hint="eastAsia" w:ascii="宋体" w:hAnsi="宋体" w:eastAsia="宋体" w:cs="宋体"/>
          <w:color w:val="auto"/>
          <w:sz w:val="30"/>
          <w:szCs w:val="30"/>
          <w:highlight w:val="none"/>
          <w:lang w:eastAsia="zh-CN"/>
        </w:rPr>
        <w:t>修订</w:t>
      </w:r>
      <w:r>
        <w:rPr>
          <w:rFonts w:hint="eastAsia" w:ascii="宋体" w:hAnsi="宋体" w:eastAsia="宋体" w:cs="宋体"/>
          <w:color w:val="auto"/>
          <w:sz w:val="30"/>
          <w:szCs w:val="30"/>
          <w:highlight w:val="none"/>
        </w:rPr>
        <w:t>情况</w:t>
      </w:r>
      <w:r>
        <w:rPr>
          <w:rFonts w:hint="eastAsia" w:ascii="宋体" w:hAnsi="宋体" w:eastAsia="宋体" w:cs="宋体"/>
          <w:color w:val="auto"/>
          <w:sz w:val="30"/>
          <w:szCs w:val="30"/>
          <w:highlight w:val="none"/>
          <w:lang w:eastAsia="zh-CN"/>
        </w:rPr>
        <w:t>及时</w:t>
      </w:r>
      <w:r>
        <w:rPr>
          <w:rFonts w:hint="eastAsia" w:ascii="宋体" w:hAnsi="宋体" w:eastAsia="宋体" w:cs="宋体"/>
          <w:color w:val="auto"/>
          <w:sz w:val="30"/>
          <w:szCs w:val="30"/>
          <w:highlight w:val="none"/>
        </w:rPr>
        <w:t>对《示范文本》进行</w:t>
      </w:r>
      <w:r>
        <w:rPr>
          <w:rFonts w:hint="eastAsia" w:ascii="宋体" w:hAnsi="宋体" w:eastAsia="宋体" w:cs="宋体"/>
          <w:color w:val="auto"/>
          <w:sz w:val="30"/>
          <w:szCs w:val="30"/>
          <w:highlight w:val="none"/>
          <w:lang w:eastAsia="zh-CN"/>
        </w:rPr>
        <w:t>调整、</w:t>
      </w:r>
      <w:r>
        <w:rPr>
          <w:rFonts w:hint="eastAsia" w:ascii="宋体" w:hAnsi="宋体" w:eastAsia="宋体" w:cs="宋体"/>
          <w:color w:val="auto"/>
          <w:sz w:val="30"/>
          <w:szCs w:val="30"/>
          <w:highlight w:val="none"/>
        </w:rPr>
        <w:t>完善。</w:t>
      </w:r>
    </w:p>
    <w:p w14:paraId="34DEE96E">
      <w:pPr>
        <w:pStyle w:val="33"/>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采购人或代理机构可结合具体项目特点，依法对采购文件进行适当</w:t>
      </w:r>
      <w:r>
        <w:rPr>
          <w:rFonts w:hint="eastAsia" w:ascii="宋体" w:hAnsi="宋体" w:eastAsia="宋体" w:cs="宋体"/>
          <w:color w:val="auto"/>
          <w:sz w:val="30"/>
          <w:szCs w:val="30"/>
          <w:highlight w:val="none"/>
          <w:lang w:eastAsia="zh-CN"/>
        </w:rPr>
        <w:t>合理</w:t>
      </w:r>
      <w:r>
        <w:rPr>
          <w:rFonts w:hint="eastAsia" w:ascii="宋体" w:hAnsi="宋体" w:eastAsia="宋体" w:cs="宋体"/>
          <w:color w:val="auto"/>
          <w:sz w:val="30"/>
          <w:szCs w:val="30"/>
          <w:highlight w:val="none"/>
        </w:rPr>
        <w:t>调整。</w:t>
      </w:r>
    </w:p>
    <w:p w14:paraId="3B7B1BF2">
      <w:pPr>
        <w:pStyle w:val="33"/>
        <w:ind w:firstLine="640"/>
        <w:rPr>
          <w:rFonts w:hint="eastAsia" w:ascii="仿宋" w:hAnsi="仿宋" w:eastAsia="仿宋" w:cs="仿宋"/>
          <w:color w:val="auto"/>
          <w:sz w:val="24"/>
          <w:szCs w:val="24"/>
          <w:highlight w:val="none"/>
        </w:rPr>
      </w:pPr>
    </w:p>
    <w:p w14:paraId="29422657">
      <w:pPr>
        <w:rPr>
          <w:rFonts w:ascii="黑体" w:hAnsi="黑体" w:eastAsia="黑体"/>
          <w:color w:val="auto"/>
          <w:sz w:val="32"/>
          <w:szCs w:val="32"/>
          <w:highlight w:val="none"/>
        </w:rPr>
        <w:sectPr>
          <w:pgSz w:w="11906" w:h="16838"/>
          <w:pgMar w:top="1440" w:right="1800" w:bottom="1440" w:left="1800" w:header="851" w:footer="992" w:gutter="0"/>
          <w:cols w:space="425" w:num="1"/>
          <w:docGrid w:type="lines" w:linePitch="312" w:charSpace="0"/>
        </w:sectPr>
      </w:pPr>
    </w:p>
    <w:p w14:paraId="2E6E0FD2">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55100918">
      <w:pPr>
        <w:jc w:val="center"/>
        <w:rPr>
          <w:rFonts w:hint="eastAsia" w:ascii="宋体" w:hAnsi="宋体" w:eastAsia="宋体" w:cs="宋体"/>
          <w:b/>
          <w:bCs/>
          <w:color w:val="auto"/>
          <w:sz w:val="36"/>
          <w:szCs w:val="36"/>
          <w:highlight w:val="none"/>
        </w:rPr>
      </w:pPr>
    </w:p>
    <w:p w14:paraId="184103B9">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TOC \o "1-2" \h \u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_Toc8010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第一章 </w:t>
      </w:r>
      <w:r>
        <w:rPr>
          <w:rFonts w:hint="eastAsia" w:ascii="宋体" w:hAnsi="宋体" w:eastAsia="宋体" w:cs="宋体"/>
          <w:sz w:val="24"/>
          <w:szCs w:val="24"/>
          <w:highlight w:val="none"/>
        </w:rPr>
        <w:t>竞争性</w:t>
      </w:r>
      <w:r>
        <w:rPr>
          <w:rFonts w:hint="eastAsia" w:ascii="宋体" w:hAnsi="宋体" w:eastAsia="宋体" w:cs="宋体"/>
          <w:sz w:val="24"/>
          <w:szCs w:val="24"/>
          <w:highlight w:val="none"/>
          <w:lang w:val="en-US" w:eastAsia="zh-CN"/>
        </w:rPr>
        <w:t>谈判公告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_Toc8010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C94F88A">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_Toc12894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hr-HR" w:eastAsia="zh-CN" w:bidi="ar-SA"/>
        </w:rPr>
        <w:t>一、</w:t>
      </w:r>
      <w:r>
        <w:rPr>
          <w:rFonts w:hint="eastAsia" w:ascii="宋体" w:hAnsi="宋体" w:eastAsia="宋体" w:cs="宋体"/>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_Toc12894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C2DDAF0">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_Toc18424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_Toc18424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D85C166">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_Toc17020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w:t>
      </w:r>
      <w:r>
        <w:rPr>
          <w:rFonts w:hint="eastAsia" w:ascii="宋体" w:hAnsi="宋体" w:eastAsia="宋体" w:cs="宋体"/>
          <w:bCs/>
          <w:kern w:val="2"/>
          <w:sz w:val="24"/>
          <w:szCs w:val="24"/>
          <w:highlight w:val="none"/>
          <w:lang w:val="en-US" w:eastAsia="zh-CN" w:bidi="ar-SA"/>
        </w:rPr>
        <w:t>采购</w:t>
      </w:r>
      <w:r>
        <w:rPr>
          <w:rFonts w:hint="eastAsia" w:ascii="宋体" w:hAnsi="宋体" w:eastAsia="宋体" w:cs="宋体"/>
          <w:bCs/>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_Toc17020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9FB0C2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_Toc26860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_Toc26860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B60750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_Toc7125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_Toc7125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C23E6C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_Toc6105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95561D2">
      <w:pPr>
        <w:pStyle w:val="23"/>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_Toc11928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_Toc11928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2</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9BAA825">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_Toc3905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w:t>
      </w:r>
      <w:r>
        <w:rPr>
          <w:rFonts w:hint="eastAsia" w:ascii="宋体" w:hAnsi="宋体" w:eastAsia="宋体" w:cs="宋体"/>
          <w:bCs/>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_Toc3905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4441929">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_Toc10653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_Toc10653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11C94A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_Toc20478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_Toc20478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54981E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_Toc22256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_Toc22256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E802774">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_Toc1164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_Toc1164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540847D">
      <w:pPr>
        <w:pStyle w:val="23"/>
        <w:tabs>
          <w:tab w:val="right" w:leader="dot" w:pos="8306"/>
        </w:tabs>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一、采购标的</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p>
    <w:p w14:paraId="2978FFBF">
      <w:pPr>
        <w:pStyle w:val="23"/>
        <w:tabs>
          <w:tab w:val="right" w:leader="dot" w:pos="8306"/>
        </w:tabs>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二、商务要求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p>
    <w:p w14:paraId="7EB12CC3">
      <w:pPr>
        <w:pStyle w:val="23"/>
        <w:tabs>
          <w:tab w:val="right" w:leader="dot" w:pos="8306"/>
        </w:tabs>
        <w:rPr>
          <w:rFonts w:hint="default"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三、技术要求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_Toc21072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w:t>
      </w:r>
      <w:r>
        <w:rPr>
          <w:rFonts w:hint="eastAsia" w:ascii="宋体" w:eastAsia="宋体" w:cs="宋体"/>
          <w:sz w:val="24"/>
          <w:szCs w:val="24"/>
          <w:highlight w:val="none"/>
          <w:lang w:val="en-US" w:eastAsia="zh-CN"/>
        </w:rPr>
        <w:t>5</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p>
    <w:p w14:paraId="0BC59E97">
      <w:pPr>
        <w:pStyle w:val="23"/>
        <w:tabs>
          <w:tab w:val="right" w:leader="dot" w:pos="8306"/>
        </w:tabs>
        <w:rPr>
          <w:rFonts w:hint="eastAsia" w:ascii="宋体" w:eastAsia="宋体" w:cs="宋体"/>
          <w:color w:val="auto"/>
          <w:sz w:val="24"/>
          <w:szCs w:val="24"/>
          <w:highlight w:val="none"/>
          <w:lang w:val="en-US" w:eastAsia="zh-CN"/>
        </w:rPr>
      </w:pPr>
      <w:r>
        <w:rPr>
          <w:rFonts w:hint="eastAsia" w:ascii="宋体" w:eastAsia="宋体" w:cs="宋体"/>
          <w:color w:val="auto"/>
          <w:sz w:val="24"/>
          <w:szCs w:val="24"/>
          <w:highlight w:val="none"/>
          <w:lang w:val="en-US" w:eastAsia="zh-CN"/>
        </w:rPr>
        <w:t>四、根据谈判情况可能实质性变动的内容</w:t>
      </w:r>
      <w:r>
        <w:rPr>
          <w:rFonts w:hint="eastAsia" w:ascii="宋体" w:eastAsia="宋体" w:cs="宋体"/>
          <w:color w:val="auto"/>
          <w:sz w:val="24"/>
          <w:szCs w:val="24"/>
          <w:highlight w:val="none"/>
          <w:lang w:val="en-US" w:eastAsia="zh-CN"/>
        </w:rPr>
        <w:tab/>
      </w:r>
      <w:r>
        <w:rPr>
          <w:rFonts w:hint="eastAsia" w:ascii="宋体" w:eastAsia="宋体" w:cs="宋体"/>
          <w:color w:val="auto"/>
          <w:sz w:val="24"/>
          <w:szCs w:val="24"/>
          <w:highlight w:val="none"/>
          <w:lang w:val="en-US" w:eastAsia="zh-CN"/>
        </w:rPr>
        <w:fldChar w:fldCharType="begin"/>
      </w:r>
      <w:r>
        <w:rPr>
          <w:rFonts w:hint="eastAsia" w:ascii="宋体" w:eastAsia="宋体" w:cs="宋体"/>
          <w:color w:val="auto"/>
          <w:sz w:val="24"/>
          <w:szCs w:val="24"/>
          <w:highlight w:val="none"/>
          <w:lang w:val="en-US" w:eastAsia="zh-CN"/>
        </w:rPr>
        <w:instrText xml:space="preserve"> PAGEREF _Toc21072 \h </w:instrText>
      </w:r>
      <w:r>
        <w:rPr>
          <w:rFonts w:hint="eastAsia" w:ascii="宋体" w:eastAsia="宋体" w:cs="宋体"/>
          <w:color w:val="auto"/>
          <w:sz w:val="24"/>
          <w:szCs w:val="24"/>
          <w:highlight w:val="none"/>
          <w:lang w:val="en-US" w:eastAsia="zh-CN"/>
        </w:rPr>
        <w:fldChar w:fldCharType="separate"/>
      </w:r>
      <w:r>
        <w:rPr>
          <w:rFonts w:hint="eastAsia" w:ascii="宋体" w:eastAsia="宋体" w:cs="宋体"/>
          <w:color w:val="auto"/>
          <w:sz w:val="24"/>
          <w:szCs w:val="24"/>
          <w:highlight w:val="none"/>
          <w:lang w:val="en-US" w:eastAsia="zh-CN"/>
        </w:rPr>
        <w:t>- 35 -</w:t>
      </w:r>
      <w:r>
        <w:rPr>
          <w:rFonts w:hint="eastAsia" w:ascii="宋体" w:eastAsia="宋体" w:cs="宋体"/>
          <w:color w:val="auto"/>
          <w:sz w:val="24"/>
          <w:szCs w:val="24"/>
          <w:highlight w:val="none"/>
          <w:lang w:val="en-US" w:eastAsia="zh-CN"/>
        </w:rPr>
        <w:fldChar w:fldCharType="end"/>
      </w:r>
    </w:p>
    <w:p w14:paraId="116170CB">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_Toc25167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评审方法及标准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_Toc25167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75ECE9F">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_Toc19311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w:t>
      </w:r>
      <w:r>
        <w:rPr>
          <w:rFonts w:hint="eastAsia" w:ascii="宋体" w:hAnsi="宋体" w:eastAsia="宋体" w:cs="宋体"/>
          <w:sz w:val="24"/>
          <w:szCs w:val="24"/>
          <w:highlight w:val="none"/>
          <w:lang w:val="zh-CN" w:eastAsia="zh-CN"/>
        </w:rPr>
        <w:t>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_Toc19311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CFDC2E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_Toc9798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w:t>
      </w:r>
      <w:r>
        <w:rPr>
          <w:rFonts w:hint="eastAsia" w:ascii="宋体" w:hAnsi="宋体" w:eastAsia="宋体" w:cs="宋体"/>
          <w:sz w:val="24"/>
          <w:szCs w:val="24"/>
          <w:highlight w:val="none"/>
          <w:lang w:val="zh-CN" w:eastAsia="zh-CN"/>
        </w:rPr>
        <w:t>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_Toc9798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1202006">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_Toc15055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_Toc15055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D5B654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_Toc5881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_Toc5881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77B7EA0">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_Toc23125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_Toc23125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- 48 -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BCD28D4">
      <w:pPr>
        <w:pStyle w:val="19"/>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_Toc2755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12BA8075">
      <w:pPr>
        <w:pStyle w:val="23"/>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"_Toc163492920"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文件资格证明文件</w:t>
      </w:r>
      <w:r>
        <w:rPr>
          <w:rFonts w:hint="eastAsia" w:ascii="宋体" w:hAnsi="宋体" w:eastAsia="宋体" w:cs="宋体"/>
          <w:b/>
          <w:bCs/>
          <w:i w:val="0"/>
          <w:iCs w:val="0"/>
          <w:color w:val="auto"/>
          <w:sz w:val="24"/>
          <w:szCs w:val="24"/>
          <w:highlight w:val="none"/>
        </w:rPr>
        <w:t>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_Toc16884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65</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2F3BEAA5">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_Toc28200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_Toc28200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5B7376F">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_Toc21768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_Toc21768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- 69 -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3F8CF0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_Toc6505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_Toc6505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A8774BE">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_Toc3017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_Toc3017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8C6145C">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_Toc17432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_Toc17432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9277B3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_Toc20923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_Toc20923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3E82ABA">
      <w:pPr>
        <w:pStyle w:val="23"/>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报价文件封面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_Toc15742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88</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7E4312B0">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_Toc23056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_Toc23056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- 89 -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73BA603">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_Toc28294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_Toc28294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0C9D7968">
      <w:pPr>
        <w:pStyle w:val="23"/>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b/>
          <w:bCs/>
          <w:i w:val="0"/>
          <w:iCs w:val="0"/>
          <w:color w:val="auto"/>
          <w:sz w:val="24"/>
          <w:szCs w:val="24"/>
          <w:highlight w:val="none"/>
        </w:rPr>
        <w:fldChar w:fldCharType="begin"/>
      </w:r>
      <w:r>
        <w:rPr>
          <w:rFonts w:hint="eastAsia" w:ascii="宋体" w:hAnsi="宋体" w:eastAsia="宋体" w:cs="宋体"/>
          <w:b/>
          <w:bCs/>
          <w:i w:val="0"/>
          <w:iCs w:val="0"/>
          <w:color w:val="auto"/>
          <w:sz w:val="24"/>
          <w:szCs w:val="24"/>
          <w:highlight w:val="none"/>
        </w:rPr>
        <w:instrText xml:space="preserve"> HYPERLINK \l "_Toc163492914" </w:instrText>
      </w:r>
      <w:r>
        <w:rPr>
          <w:rFonts w:hint="eastAsia" w:ascii="宋体" w:hAnsi="宋体" w:eastAsia="宋体" w:cs="宋体"/>
          <w:b/>
          <w:bCs/>
          <w:i w:val="0"/>
          <w:iCs w:val="0"/>
          <w:color w:val="auto"/>
          <w:sz w:val="24"/>
          <w:szCs w:val="24"/>
          <w:highlight w:val="none"/>
        </w:rPr>
        <w:fldChar w:fldCharType="separate"/>
      </w:r>
      <w:r>
        <w:rPr>
          <w:rFonts w:hint="eastAsia" w:ascii="宋体" w:hAnsi="宋体" w:eastAsia="宋体" w:cs="宋体"/>
          <w:b/>
          <w:bCs/>
          <w:i w:val="0"/>
          <w:iCs w:val="0"/>
          <w:color w:val="auto"/>
          <w:sz w:val="24"/>
          <w:szCs w:val="24"/>
          <w:highlight w:val="none"/>
        </w:rPr>
        <w:t>响应</w:t>
      </w:r>
      <w:r>
        <w:rPr>
          <w:rFonts w:hint="eastAsia" w:ascii="宋体" w:hAnsi="宋体" w:eastAsia="宋体" w:cs="宋体"/>
          <w:b/>
          <w:bCs/>
          <w:i w:val="0"/>
          <w:iCs w:val="0"/>
          <w:color w:val="auto"/>
          <w:sz w:val="24"/>
          <w:szCs w:val="24"/>
          <w:highlight w:val="none"/>
          <w:lang w:val="zh-CN"/>
        </w:rPr>
        <w:t>文件</w:t>
      </w:r>
      <w:r>
        <w:rPr>
          <w:rFonts w:hint="eastAsia" w:ascii="宋体" w:hAnsi="宋体" w:eastAsia="宋体" w:cs="宋体"/>
          <w:b/>
          <w:bCs/>
          <w:i w:val="0"/>
          <w:iCs w:val="0"/>
          <w:color w:val="auto"/>
          <w:sz w:val="24"/>
          <w:szCs w:val="24"/>
          <w:highlight w:val="none"/>
        </w:rPr>
        <w:t>商务技术文件封面</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_Toc3797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xml:space="preserve">- </w:t>
      </w:r>
      <w:r>
        <w:rPr>
          <w:rFonts w:hint="eastAsia" w:ascii="宋体" w:eastAsia="宋体" w:cs="宋体"/>
          <w:b/>
          <w:bCs/>
          <w:sz w:val="24"/>
          <w:szCs w:val="24"/>
          <w:highlight w:val="none"/>
          <w:lang w:val="en-US" w:eastAsia="zh-CN"/>
        </w:rPr>
        <w:t>92</w:t>
      </w:r>
      <w:r>
        <w:rPr>
          <w:rFonts w:hint="eastAsia" w:ascii="宋体" w:hAnsi="宋体" w:eastAsia="宋体" w:cs="宋体"/>
          <w:b/>
          <w:bCs/>
          <w:sz w:val="24"/>
          <w:szCs w:val="24"/>
          <w:highlight w:val="none"/>
        </w:rPr>
        <w:t xml:space="preserve"> -</w:t>
      </w:r>
      <w:r>
        <w:rPr>
          <w:rFonts w:hint="eastAsia" w:ascii="宋体" w:hAnsi="宋体" w:eastAsia="宋体" w:cs="宋体"/>
          <w:b/>
          <w:bCs/>
          <w:sz w:val="24"/>
          <w:szCs w:val="24"/>
          <w:highlight w:val="none"/>
        </w:rPr>
        <w:fldChar w:fldCharType="end"/>
      </w:r>
      <w:r>
        <w:rPr>
          <w:rFonts w:hint="eastAsia" w:ascii="宋体" w:hAnsi="宋体" w:eastAsia="宋体" w:cs="宋体"/>
          <w:b/>
          <w:bCs/>
          <w:i w:val="0"/>
          <w:iCs w:val="0"/>
          <w:color w:val="auto"/>
          <w:sz w:val="24"/>
          <w:szCs w:val="24"/>
          <w:highlight w:val="none"/>
        </w:rPr>
        <w:fldChar w:fldCharType="end"/>
      </w:r>
    </w:p>
    <w:p w14:paraId="0D2D44FD">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_Toc9526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_Toc9526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74E61B0">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_Toc28572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_Toc28572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57BC993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_Toc9460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_Toc9460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- 96 -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7C28FE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_Toc26494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_Toc26494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- 97 -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587B8AA">
      <w:pPr>
        <w:pStyle w:val="23"/>
        <w:tabs>
          <w:tab w:val="right" w:leader="dot" w:pos="8306"/>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_Toc18804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实质性响应一览表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_Toc18804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 </w:t>
      </w:r>
      <w:r>
        <w:rPr>
          <w:rFonts w:hint="eastAsia" w:ascii="宋体" w:eastAsia="宋体" w:cs="宋体"/>
          <w:sz w:val="24"/>
          <w:szCs w:val="24"/>
          <w:highlight w:val="none"/>
          <w:lang w:val="en-US" w:eastAsia="zh-CN"/>
        </w:rPr>
        <w:t>98</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DFD5FA1">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_Toc22430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_Toc22430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- 99 -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7292D408">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_Toc440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- 100 -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F0ACD99">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_Toc28396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_Toc28396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- 101 -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3BCE69B">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_Toc5114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_Toc5114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87A8F24">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_Toc4419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_Toc4419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- 103 -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2C10C126">
      <w:pPr>
        <w:pStyle w:val="23"/>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_Toc31936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_Toc31936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- 104 -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4D90D7D4">
      <w:pPr>
        <w:spacing w:line="360" w:lineRule="auto"/>
        <w:rPr>
          <w:rFonts w:ascii="黑体" w:hAnsi="黑体" w:eastAsia="黑体"/>
          <w:color w:val="auto"/>
          <w:sz w:val="32"/>
          <w:szCs w:val="32"/>
          <w:highlight w:val="none"/>
        </w:rPr>
      </w:pPr>
      <w:r>
        <w:rPr>
          <w:rFonts w:hint="eastAsia" w:ascii="宋体" w:hAnsi="宋体" w:eastAsia="宋体" w:cs="宋体"/>
          <w:color w:val="auto"/>
          <w:sz w:val="24"/>
          <w:szCs w:val="24"/>
          <w:highlight w:val="none"/>
        </w:rPr>
        <w:fldChar w:fldCharType="end"/>
      </w:r>
    </w:p>
    <w:p w14:paraId="63C53D3C">
      <w:pPr>
        <w:jc w:val="center"/>
        <w:rPr>
          <w:rFonts w:ascii="黑体" w:hAnsi="黑体" w:eastAsia="黑体"/>
          <w:color w:val="auto"/>
          <w:sz w:val="32"/>
          <w:szCs w:val="32"/>
          <w:highlight w:val="none"/>
        </w:rPr>
        <w:sectPr>
          <w:headerReference r:id="rId5" w:type="default"/>
          <w:pgSz w:w="11906" w:h="16838"/>
          <w:pgMar w:top="1440" w:right="1800" w:bottom="1440" w:left="1800" w:header="851" w:footer="992" w:gutter="0"/>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color w:val="auto"/>
          <w:highlight w:val="none"/>
        </w:rPr>
      </w:pPr>
      <w:bookmarkStart w:id="0" w:name="_Toc8010"/>
      <w:bookmarkStart w:id="1" w:name="_Toc27583"/>
      <w:r>
        <w:rPr>
          <w:rFonts w:hint="eastAsia" w:ascii="宋体" w:hAnsi="宋体" w:eastAsia="宋体" w:cs="宋体"/>
          <w:b/>
          <w:bCs/>
          <w:color w:val="auto"/>
          <w:kern w:val="44"/>
          <w:sz w:val="36"/>
          <w:szCs w:val="36"/>
          <w:highlight w:val="none"/>
          <w:lang w:val="en-US" w:eastAsia="zh-CN" w:bidi="ar-SA"/>
        </w:rPr>
        <w:t xml:space="preserve">第一章 </w:t>
      </w:r>
      <w:r>
        <w:rPr>
          <w:rFonts w:hint="eastAsia" w:ascii="宋体" w:hAnsi="宋体" w:eastAsia="宋体" w:cs="宋体"/>
          <w:color w:val="auto"/>
          <w:sz w:val="36"/>
          <w:szCs w:val="36"/>
          <w:highlight w:val="none"/>
        </w:rPr>
        <w:t>竞争性</w:t>
      </w:r>
      <w:r>
        <w:rPr>
          <w:rFonts w:hint="eastAsia" w:eastAsia="宋体" w:cs="宋体"/>
          <w:color w:val="auto"/>
          <w:sz w:val="36"/>
          <w:szCs w:val="36"/>
          <w:highlight w:val="none"/>
          <w:lang w:val="en-US" w:eastAsia="zh-CN"/>
        </w:rPr>
        <w:t>谈判</w:t>
      </w:r>
      <w:r>
        <w:rPr>
          <w:rFonts w:hint="eastAsia" w:ascii="宋体" w:hAnsi="宋体" w:eastAsia="宋体" w:cs="宋体"/>
          <w:color w:val="auto"/>
          <w:sz w:val="36"/>
          <w:szCs w:val="36"/>
          <w:highlight w:val="none"/>
          <w:lang w:val="en-US" w:eastAsia="zh-CN"/>
        </w:rPr>
        <w:t>公告</w:t>
      </w:r>
      <w:bookmarkEnd w:id="0"/>
      <w:bookmarkEnd w:id="1"/>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6770E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olor w:val="auto"/>
                <w:sz w:val="24"/>
                <w:szCs w:val="24"/>
                <w:highlight w:val="none"/>
                <w:lang w:val="en-US" w:eastAsia="zh-CN"/>
              </w:rPr>
            </w:pPr>
            <w:bookmarkStart w:id="2" w:name="_Toc19242"/>
            <w:bookmarkStart w:id="3" w:name="_Toc10432"/>
            <w:bookmarkStart w:id="4" w:name="_Toc35393798"/>
            <w:bookmarkStart w:id="5" w:name="_Toc28359012"/>
            <w:bookmarkStart w:id="6" w:name="_Toc140132745"/>
            <w:bookmarkStart w:id="7" w:name="_Toc163492812"/>
            <w:bookmarkStart w:id="8" w:name="_Toc35393629"/>
            <w:bookmarkStart w:id="9" w:name="_Toc109899410"/>
            <w:bookmarkStart w:id="10" w:name="_Toc109900248"/>
            <w:bookmarkStart w:id="11" w:name="_Toc28359089"/>
            <w:bookmarkStart w:id="12" w:name="_Toc109899829"/>
            <w:bookmarkStart w:id="13" w:name="_Toc44583628"/>
            <w:bookmarkStart w:id="14" w:name="_Toc155185860"/>
            <w:r>
              <w:rPr>
                <w:rFonts w:hint="eastAsia"/>
                <w:color w:val="auto"/>
                <w:sz w:val="24"/>
                <w:szCs w:val="24"/>
                <w:highlight w:val="none"/>
                <w:lang w:val="en-US" w:eastAsia="zh-CN"/>
              </w:rPr>
              <w:t>项目概况：</w:t>
            </w:r>
            <w:bookmarkEnd w:id="2"/>
            <w:bookmarkEnd w:id="3"/>
          </w:p>
          <w:p w14:paraId="6E3F83A4">
            <w:pPr>
              <w:ind w:firstLine="480" w:firstLineChars="200"/>
              <w:rPr>
                <w:rFonts w:hint="default"/>
                <w:color w:val="auto"/>
                <w:highlight w:val="none"/>
                <w:lang w:val="en-US" w:eastAsia="zh-CN"/>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rPr>
      </w:pPr>
      <w:bookmarkStart w:id="15" w:name="_Toc7440"/>
      <w:bookmarkStart w:id="16" w:name="_Toc12894"/>
      <w:r>
        <w:rPr>
          <w:rFonts w:hint="eastAsia" w:ascii="宋体" w:hAnsi="宋体" w:eastAsia="宋体" w:cs="宋体"/>
          <w:b/>
          <w:bCs/>
          <w:color w:val="auto"/>
          <w:kern w:val="2"/>
          <w:sz w:val="24"/>
          <w:szCs w:val="24"/>
          <w:highlight w:val="none"/>
          <w:lang w:val="hr-HR" w:eastAsia="zh-CN" w:bidi="ar-SA"/>
        </w:rPr>
        <w:t>一、</w:t>
      </w:r>
      <w:r>
        <w:rPr>
          <w:rFonts w:hint="eastAsia" w:ascii="宋体" w:hAnsi="宋体" w:eastAsia="宋体" w:cs="宋体"/>
          <w:color w:val="auto"/>
          <w:sz w:val="24"/>
          <w:szCs w:val="24"/>
          <w:highlight w:val="none"/>
          <w:lang w:val="hr-HR"/>
        </w:rPr>
        <w:t>项目基本情况</w:t>
      </w:r>
      <w:bookmarkEnd w:id="4"/>
      <w:bookmarkEnd w:id="5"/>
      <w:bookmarkEnd w:id="6"/>
      <w:bookmarkEnd w:id="7"/>
      <w:bookmarkEnd w:id="8"/>
      <w:bookmarkEnd w:id="9"/>
      <w:bookmarkEnd w:id="10"/>
      <w:bookmarkEnd w:id="11"/>
      <w:bookmarkEnd w:id="12"/>
      <w:bookmarkEnd w:id="13"/>
      <w:bookmarkEnd w:id="14"/>
      <w:bookmarkEnd w:id="15"/>
      <w:bookmarkEnd w:id="16"/>
    </w:p>
    <w:p w14:paraId="5E3A1EB6">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hr-HR"/>
        </w:rPr>
        <w:t>1.项目编号</w:t>
      </w:r>
      <w:r>
        <w:rPr>
          <w:rFonts w:hint="eastAsia" w:ascii="宋体" w:hAnsi="宋体" w:eastAsia="宋体" w:cs="宋体"/>
          <w:color w:val="auto"/>
          <w:sz w:val="24"/>
          <w:szCs w:val="24"/>
          <w:highlight w:val="none"/>
          <w:lang w:val="hr-HR" w:eastAsia="zh-CN"/>
        </w:rPr>
        <w:t>/包号</w:t>
      </w:r>
      <w:r>
        <w:rPr>
          <w:rFonts w:hint="eastAsia" w:ascii="宋体" w:hAnsi="宋体" w:eastAsia="宋体" w:cs="宋体"/>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p>
    <w:p w14:paraId="544AA4B7">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3CE35A7E">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p>
    <w:p w14:paraId="78A90596">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hr-HR"/>
        </w:rPr>
        <w:t>.预算金额：</w:t>
      </w:r>
      <w:r>
        <w:rPr>
          <w:rFonts w:hint="eastAsia" w:ascii="宋体" w:hAnsi="宋体" w:eastAsia="宋体" w:cs="宋体"/>
          <w:color w:val="auto"/>
          <w:sz w:val="24"/>
          <w:szCs w:val="24"/>
          <w:highlight w:val="none"/>
          <w:u w:val="single"/>
        </w:rPr>
        <w:t xml:space="preserve">         </w:t>
      </w:r>
    </w:p>
    <w:p w14:paraId="7851BE2C">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lang w:val="hr-HR"/>
        </w:rPr>
        <w:t xml:space="preserve">         </w:t>
      </w:r>
    </w:p>
    <w:p w14:paraId="601A9C8F">
      <w:pPr>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【包括但不限于标的的名称、数量、简要技术需求或服务要求等】</w:t>
      </w:r>
    </w:p>
    <w:p w14:paraId="56FBF6DA">
      <w:pPr>
        <w:pStyle w:val="33"/>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4B098642">
      <w:pPr>
        <w:pStyle w:val="33"/>
        <w:rPr>
          <w:rFonts w:hint="eastAsia" w:ascii="宋体" w:hAnsi="宋体" w:eastAsia="宋体" w:cs="宋体"/>
          <w:color w:val="auto"/>
          <w:sz w:val="24"/>
          <w:szCs w:val="24"/>
          <w:highlight w:val="none"/>
          <w:lang w:val="en-US" w:eastAsia="zh-CN"/>
        </w:rPr>
      </w:pPr>
      <w:bookmarkStart w:id="17" w:name="_Toc35393630"/>
      <w:bookmarkStart w:id="18" w:name="_Toc28359090"/>
      <w:bookmarkStart w:id="19" w:name="_Toc35393799"/>
      <w:bookmarkStart w:id="20" w:name="_Toc28359013"/>
      <w:bookmarkStart w:id="21" w:name="_Toc44583629"/>
      <w:r>
        <w:rPr>
          <w:rFonts w:hint="eastAsia" w:ascii="宋体" w:hAnsi="宋体" w:eastAsia="宋体" w:cs="宋体"/>
          <w:color w:val="auto"/>
          <w:sz w:val="24"/>
          <w:szCs w:val="24"/>
          <w:highlight w:val="none"/>
          <w:lang w:val="en-US" w:eastAsia="zh-CN"/>
        </w:rPr>
        <w:t>8.</w:t>
      </w:r>
      <w:bookmarkStart w:id="22" w:name="_Hlk162011358"/>
      <w:r>
        <w:rPr>
          <w:rFonts w:hint="eastAsia" w:ascii="宋体" w:hAnsi="宋体" w:eastAsia="宋体" w:cs="宋体"/>
          <w:color w:val="auto"/>
          <w:sz w:val="24"/>
          <w:szCs w:val="24"/>
          <w:highlight w:val="none"/>
          <w:lang w:val="en-US" w:eastAsia="zh-CN"/>
        </w:rPr>
        <w:t>本项目是否接受联合体：□是</w:t>
      </w:r>
      <w:bookmarkEnd w:id="22"/>
      <w:r>
        <w:rPr>
          <w:rFonts w:hint="eastAsia" w:ascii="宋体" w:hAnsi="宋体" w:eastAsia="宋体" w:cs="宋体"/>
          <w:color w:val="auto"/>
          <w:sz w:val="24"/>
          <w:szCs w:val="24"/>
          <w:highlight w:val="none"/>
          <w:lang w:val="en-US" w:eastAsia="zh-CN"/>
        </w:rPr>
        <w:t xml:space="preserve">   □否</w:t>
      </w:r>
    </w:p>
    <w:p w14:paraId="1EEB162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3" w:name="_Toc18424"/>
      <w:bookmarkStart w:id="24" w:name="_Toc109899830"/>
      <w:bookmarkStart w:id="25" w:name="_Toc163492813"/>
      <w:bookmarkStart w:id="26" w:name="_Toc140132746"/>
      <w:bookmarkStart w:id="27" w:name="_Toc155185861"/>
      <w:bookmarkStart w:id="28" w:name="_Toc109900249"/>
      <w:bookmarkStart w:id="29" w:name="_Toc109899411"/>
      <w:bookmarkStart w:id="30" w:name="_Toc5661"/>
      <w:r>
        <w:rPr>
          <w:rFonts w:hint="eastAsia" w:ascii="宋体" w:hAnsi="宋体" w:eastAsia="宋体" w:cs="宋体"/>
          <w:b/>
          <w:bCs/>
          <w:color w:val="auto"/>
          <w:kern w:val="2"/>
          <w:sz w:val="24"/>
          <w:szCs w:val="24"/>
          <w:highlight w:val="none"/>
          <w:lang w:val="en-US" w:eastAsia="zh-CN" w:bidi="ar-SA"/>
        </w:rPr>
        <w:t>二、申请人的</w:t>
      </w:r>
      <w:r>
        <w:rPr>
          <w:rFonts w:hint="eastAsia" w:ascii="宋体" w:hAnsi="宋体" w:eastAsia="宋体" w:cs="宋体"/>
          <w:b/>
          <w:bCs/>
          <w:color w:val="auto"/>
          <w:kern w:val="2"/>
          <w:sz w:val="24"/>
          <w:szCs w:val="24"/>
          <w:highlight w:val="none"/>
          <w:lang w:val="hr-HR" w:eastAsia="zh-CN" w:bidi="ar-SA"/>
        </w:rPr>
        <w:t>资格要求</w:t>
      </w:r>
      <w:bookmarkEnd w:id="17"/>
      <w:bookmarkEnd w:id="18"/>
      <w:bookmarkEnd w:id="19"/>
      <w:bookmarkEnd w:id="20"/>
      <w:bookmarkEnd w:id="21"/>
      <w:bookmarkEnd w:id="23"/>
      <w:bookmarkEnd w:id="24"/>
      <w:bookmarkEnd w:id="25"/>
      <w:bookmarkEnd w:id="26"/>
      <w:bookmarkEnd w:id="27"/>
      <w:bookmarkEnd w:id="28"/>
      <w:bookmarkEnd w:id="29"/>
      <w:bookmarkEnd w:id="30"/>
    </w:p>
    <w:p w14:paraId="5384018C">
      <w:pPr>
        <w:ind w:firstLine="480" w:firstLineChars="200"/>
        <w:rPr>
          <w:rFonts w:hint="eastAsia" w:ascii="宋体" w:hAnsi="宋体" w:eastAsia="宋体" w:cs="宋体"/>
          <w:strike/>
          <w:dstrike w:val="0"/>
          <w:color w:val="auto"/>
          <w:sz w:val="24"/>
          <w:szCs w:val="24"/>
          <w:highlight w:val="none"/>
          <w:lang w:val="en-US" w:eastAsia="zh-CN"/>
        </w:rPr>
      </w:pPr>
      <w:bookmarkStart w:id="31" w:name="_Toc28359014"/>
      <w:bookmarkStart w:id="32" w:name="_Toc35393800"/>
      <w:bookmarkStart w:id="33" w:name="_Toc35393631"/>
      <w:bookmarkStart w:id="34" w:name="_Toc28359091"/>
      <w:bookmarkStart w:id="35" w:name="_Toc44583630"/>
      <w:r>
        <w:rPr>
          <w:rFonts w:hint="eastAsia" w:ascii="宋体" w:hAnsi="宋体" w:eastAsia="宋体" w:cs="宋体"/>
          <w:color w:val="auto"/>
          <w:sz w:val="24"/>
          <w:szCs w:val="24"/>
          <w:highlight w:val="none"/>
          <w:lang w:val="en-US" w:eastAsia="zh-CN"/>
        </w:rPr>
        <w:t>1. 满足《中华人民共和国政府采购法》第二十二条规定；</w:t>
      </w:r>
    </w:p>
    <w:p w14:paraId="07998FA8">
      <w:pPr>
        <w:ind w:firstLine="480" w:firstLineChars="200"/>
        <w:rPr>
          <w:rFonts w:hint="eastAsia" w:ascii="宋体" w:hAnsi="宋体" w:eastAsia="宋体" w:cs="宋体"/>
          <w:color w:val="auto"/>
          <w:sz w:val="24"/>
          <w:szCs w:val="24"/>
          <w:highlight w:val="none"/>
          <w:u w:val="none"/>
          <w:lang w:val="en-US" w:eastAsia="zh-CN"/>
        </w:rPr>
      </w:pPr>
      <w:bookmarkStart w:id="36" w:name="_Hlk898077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color w:val="auto"/>
          <w:sz w:val="24"/>
          <w:szCs w:val="24"/>
          <w:highlight w:val="none"/>
          <w:u w:val="none"/>
          <w:lang w:val="en-US" w:eastAsia="zh-CN"/>
        </w:rPr>
        <w:t>。</w:t>
      </w:r>
    </w:p>
    <w:p w14:paraId="6B3ECAEB">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r>
        <w:rPr>
          <w:rFonts w:hint="eastAsia" w:ascii="宋体" w:hAnsi="宋体" w:eastAsia="宋体" w:cs="宋体"/>
          <w:i w:val="0"/>
          <w:iCs w:val="0"/>
          <w:color w:val="auto"/>
          <w:sz w:val="24"/>
          <w:szCs w:val="24"/>
          <w:highlight w:val="none"/>
          <w:u w:val="none"/>
          <w:lang w:val="en-US" w:eastAsia="zh-CN"/>
        </w:rPr>
        <w:t>。</w:t>
      </w:r>
    </w:p>
    <w:p w14:paraId="69D2AB04">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040E7358">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68099EEC">
      <w:pPr>
        <w:pStyle w:val="33"/>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szCs w:val="24"/>
          <w:highlight w:val="none"/>
          <w:lang w:val="hr-HR"/>
        </w:rPr>
        <w:t>其中之一。如有以上不良信用记录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hr-HR"/>
        </w:rPr>
        <w:t>。</w:t>
      </w:r>
    </w:p>
    <w:bookmarkEnd w:id="36"/>
    <w:p w14:paraId="17F1ED43">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7" w:name="_Toc24875"/>
      <w:bookmarkStart w:id="38" w:name="_Toc109899831"/>
      <w:bookmarkStart w:id="39" w:name="_Toc163492814"/>
      <w:bookmarkStart w:id="40" w:name="_Toc140132747"/>
      <w:bookmarkStart w:id="41" w:name="_Toc17020"/>
      <w:bookmarkStart w:id="42" w:name="_Toc109899412"/>
      <w:bookmarkStart w:id="43" w:name="_Toc109900250"/>
      <w:bookmarkStart w:id="44" w:name="_Toc155185862"/>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w:t>
      </w:r>
      <w:r>
        <w:rPr>
          <w:rFonts w:hint="eastAsia" w:ascii="宋体" w:hAnsi="宋体" w:eastAsia="宋体" w:cs="宋体"/>
          <w:b/>
          <w:bCs/>
          <w:color w:val="auto"/>
          <w:kern w:val="2"/>
          <w:sz w:val="24"/>
          <w:szCs w:val="24"/>
          <w:highlight w:val="none"/>
          <w:lang w:val="en-US" w:eastAsia="zh-CN" w:bidi="ar-SA"/>
        </w:rPr>
        <w:t>采购</w:t>
      </w:r>
      <w:r>
        <w:rPr>
          <w:rFonts w:hint="eastAsia" w:ascii="宋体" w:hAnsi="宋体" w:eastAsia="宋体" w:cs="宋体"/>
          <w:b/>
          <w:bCs/>
          <w:color w:val="auto"/>
          <w:kern w:val="2"/>
          <w:sz w:val="24"/>
          <w:szCs w:val="24"/>
          <w:highlight w:val="none"/>
          <w:lang w:val="hr-HR" w:eastAsia="zh-CN" w:bidi="ar-SA"/>
        </w:rPr>
        <w:t>文件</w:t>
      </w:r>
      <w:bookmarkEnd w:id="31"/>
      <w:bookmarkEnd w:id="32"/>
      <w:bookmarkEnd w:id="33"/>
      <w:bookmarkEnd w:id="34"/>
      <w:bookmarkEnd w:id="35"/>
      <w:bookmarkEnd w:id="37"/>
      <w:bookmarkEnd w:id="38"/>
      <w:bookmarkEnd w:id="39"/>
      <w:bookmarkEnd w:id="40"/>
      <w:bookmarkEnd w:id="41"/>
      <w:bookmarkEnd w:id="42"/>
      <w:bookmarkEnd w:id="43"/>
      <w:bookmarkEnd w:id="44"/>
      <w:r>
        <w:rPr>
          <w:rFonts w:hint="eastAsia" w:ascii="宋体" w:hAnsi="宋体" w:eastAsia="宋体" w:cs="宋体"/>
          <w:b/>
          <w:bCs/>
          <w:color w:val="auto"/>
          <w:kern w:val="2"/>
          <w:sz w:val="24"/>
          <w:szCs w:val="24"/>
          <w:highlight w:val="none"/>
          <w:lang w:val="hr-HR" w:eastAsia="zh-CN" w:bidi="ar-SA"/>
        </w:rPr>
        <w:t xml:space="preserve"> </w:t>
      </w:r>
    </w:p>
    <w:p w14:paraId="7F0135DE">
      <w:pPr>
        <w:spacing w:line="360" w:lineRule="auto"/>
        <w:ind w:firstLine="540"/>
        <w:rPr>
          <w:rFonts w:hint="eastAsia" w:ascii="宋体" w:hAnsi="宋体" w:eastAsia="宋体" w:cs="宋体"/>
          <w:i w:val="0"/>
          <w:iCs w:val="0"/>
          <w:color w:val="auto"/>
          <w:sz w:val="24"/>
          <w:szCs w:val="24"/>
          <w:highlight w:val="none"/>
          <w:lang w:val="hr-HR" w:eastAsia="zh-CN"/>
        </w:rPr>
      </w:pPr>
      <w:bookmarkStart w:id="45" w:name="_Hlk130457234"/>
      <w:bookmarkStart w:id="46" w:name="_Toc28359092"/>
      <w:bookmarkStart w:id="47" w:name="_Toc35393632"/>
      <w:bookmarkStart w:id="48" w:name="_Hlk130457327"/>
      <w:bookmarkStart w:id="49" w:name="_Toc35393801"/>
      <w:bookmarkStart w:id="50" w:name="_Hlk130457261"/>
      <w:bookmarkStart w:id="51" w:name="_Toc28359015"/>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single"/>
          <w:lang w:eastAsia="zh-CN"/>
        </w:rPr>
        <w:t>【</w:t>
      </w:r>
      <w:r>
        <w:rPr>
          <w:rFonts w:hint="eastAsia" w:cs="宋体"/>
          <w:i w:val="0"/>
          <w:iCs w:val="0"/>
          <w:color w:val="auto"/>
          <w:sz w:val="24"/>
          <w:szCs w:val="24"/>
          <w:highlight w:val="none"/>
          <w:u w:val="single"/>
          <w:lang w:val="en-US" w:eastAsia="zh-CN"/>
        </w:rPr>
        <w:t>谈判</w:t>
      </w:r>
      <w:r>
        <w:rPr>
          <w:rFonts w:hint="eastAsia" w:ascii="宋体" w:hAnsi="宋体" w:eastAsia="宋体" w:cs="宋体"/>
          <w:i w:val="0"/>
          <w:iCs w:val="0"/>
          <w:color w:val="auto"/>
          <w:sz w:val="24"/>
          <w:szCs w:val="24"/>
          <w:highlight w:val="none"/>
          <w:u w:val="single"/>
        </w:rPr>
        <w:t>文件的发售期限自开始之日起不得少于</w:t>
      </w:r>
      <w:r>
        <w:rPr>
          <w:rFonts w:hint="eastAsia" w:cs="宋体"/>
          <w:i w:val="0"/>
          <w:iCs w:val="0"/>
          <w:color w:val="auto"/>
          <w:sz w:val="24"/>
          <w:szCs w:val="24"/>
          <w:highlight w:val="none"/>
          <w:u w:val="single"/>
          <w:lang w:val="en-US" w:eastAsia="zh-CN"/>
        </w:rPr>
        <w:t>3</w:t>
      </w:r>
      <w:r>
        <w:rPr>
          <w:rFonts w:hint="eastAsia" w:ascii="宋体" w:hAnsi="宋体" w:eastAsia="宋体" w:cs="宋体"/>
          <w:i w:val="0"/>
          <w:iCs w:val="0"/>
          <w:color w:val="auto"/>
          <w:sz w:val="24"/>
          <w:szCs w:val="24"/>
          <w:highlight w:val="none"/>
          <w:u w:val="single"/>
        </w:rPr>
        <w:t>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5"/>
    <w:p w14:paraId="34FD69CE">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52"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52"/>
    </w:p>
    <w:p w14:paraId="42A40251">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供应商登录政采云平台</w:t>
      </w:r>
      <w:r>
        <w:rPr>
          <w:rFonts w:hint="eastAsia" w:ascii="宋体" w:hAnsi="宋体" w:eastAsia="宋体" w:cs="宋体"/>
          <w:color w:val="auto"/>
          <w:sz w:val="24"/>
          <w:szCs w:val="24"/>
          <w:highlight w:val="none"/>
          <w:lang w:val="hr-HR"/>
        </w:rPr>
        <w:t>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hr-HR"/>
        </w:rPr>
        <w:t>//www.zcygov.cn/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hr-HR"/>
        </w:rPr>
        <w:t xml:space="preserve"> </w:t>
      </w:r>
    </w:p>
    <w:p w14:paraId="6565D40F">
      <w:pPr>
        <w:pStyle w:val="33"/>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售价：</w:t>
      </w:r>
      <w:r>
        <w:rPr>
          <w:rFonts w:hint="eastAsia" w:ascii="宋体" w:hAnsi="宋体" w:eastAsia="宋体" w:cs="宋体"/>
          <w:color w:val="auto"/>
          <w:sz w:val="24"/>
          <w:szCs w:val="24"/>
          <w:highlight w:val="none"/>
          <w:lang w:val="en-US" w:eastAsia="zh-CN"/>
        </w:rPr>
        <w:t>0元。</w:t>
      </w:r>
    </w:p>
    <w:bookmarkEnd w:id="46"/>
    <w:bookmarkEnd w:id="47"/>
    <w:bookmarkEnd w:id="48"/>
    <w:bookmarkEnd w:id="49"/>
    <w:bookmarkEnd w:id="50"/>
    <w:bookmarkEnd w:id="51"/>
    <w:p w14:paraId="66DADC5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3" w:name="_Toc109899413"/>
      <w:bookmarkStart w:id="54" w:name="_Toc140132748"/>
      <w:bookmarkStart w:id="55" w:name="_Toc155185863"/>
      <w:bookmarkStart w:id="56" w:name="_Toc109900251"/>
      <w:bookmarkStart w:id="57" w:name="_Toc163492815"/>
      <w:bookmarkStart w:id="58" w:name="_Toc109899832"/>
      <w:bookmarkStart w:id="59" w:name="_Toc26860"/>
      <w:bookmarkStart w:id="60" w:name="_Toc5645"/>
      <w:r>
        <w:rPr>
          <w:rFonts w:hint="eastAsia" w:ascii="宋体" w:hAnsi="宋体" w:eastAsia="宋体" w:cs="宋体"/>
          <w:b/>
          <w:bCs/>
          <w:color w:val="auto"/>
          <w:kern w:val="2"/>
          <w:sz w:val="24"/>
          <w:szCs w:val="24"/>
          <w:highlight w:val="none"/>
          <w:lang w:val="en-US" w:eastAsia="zh-CN" w:bidi="ar-SA"/>
        </w:rPr>
        <w:t>四、</w:t>
      </w:r>
      <w:bookmarkEnd w:id="53"/>
      <w:bookmarkEnd w:id="54"/>
      <w:bookmarkEnd w:id="55"/>
      <w:bookmarkEnd w:id="56"/>
      <w:bookmarkEnd w:id="57"/>
      <w:bookmarkEnd w:id="58"/>
      <w:r>
        <w:rPr>
          <w:rFonts w:hint="eastAsia" w:ascii="宋体" w:hAnsi="宋体" w:eastAsia="宋体" w:cs="宋体"/>
          <w:b/>
          <w:bCs/>
          <w:color w:val="auto"/>
          <w:spacing w:val="-6"/>
          <w:kern w:val="2"/>
          <w:sz w:val="24"/>
          <w:szCs w:val="24"/>
          <w:highlight w:val="none"/>
          <w:lang w:val="hr-HR" w:eastAsia="zh-CN" w:bidi="ar-SA"/>
        </w:rPr>
        <w:t>响应文件提交</w:t>
      </w:r>
      <w:bookmarkEnd w:id="59"/>
      <w:bookmarkEnd w:id="60"/>
    </w:p>
    <w:p w14:paraId="2D110B47">
      <w:pPr>
        <w:pStyle w:val="33"/>
        <w:rPr>
          <w:rFonts w:hint="eastAsia" w:ascii="宋体" w:hAnsi="宋体" w:eastAsia="宋体" w:cs="宋体"/>
          <w:color w:val="auto"/>
          <w:sz w:val="24"/>
          <w:szCs w:val="24"/>
          <w:highlight w:val="none"/>
        </w:rPr>
      </w:pPr>
      <w:bookmarkStart w:id="61" w:name="_Hlk130457395"/>
      <w:bookmarkStart w:id="62" w:name="_Toc28359094"/>
      <w:bookmarkStart w:id="63" w:name="_Toc35393634"/>
      <w:bookmarkStart w:id="64" w:name="_Toc35393803"/>
      <w:bookmarkStart w:id="65" w:name="_Toc44583633"/>
      <w:bookmarkStart w:id="66" w:name="_Toc28359017"/>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u w:val="single"/>
        </w:rPr>
        <w:t>从</w:t>
      </w:r>
      <w:r>
        <w:rPr>
          <w:rFonts w:hint="eastAsia" w:cs="宋体"/>
          <w:color w:val="auto"/>
          <w:sz w:val="24"/>
          <w:szCs w:val="24"/>
          <w:highlight w:val="none"/>
          <w:u w:val="single"/>
          <w:lang w:val="en-US" w:eastAsia="zh-CN"/>
        </w:rPr>
        <w:t>谈判</w:t>
      </w:r>
      <w:r>
        <w:rPr>
          <w:rFonts w:hint="eastAsia" w:ascii="宋体" w:hAnsi="宋体" w:eastAsia="宋体" w:cs="宋体"/>
          <w:color w:val="auto"/>
          <w:sz w:val="24"/>
          <w:szCs w:val="24"/>
          <w:highlight w:val="none"/>
          <w:u w:val="single"/>
        </w:rPr>
        <w:t>文件发出之日起至供应商提交首次响应文件截止之日止不得少于</w:t>
      </w:r>
      <w:r>
        <w:rPr>
          <w:rFonts w:hint="eastAsia" w:cs="宋体"/>
          <w:color w:val="auto"/>
          <w:sz w:val="24"/>
          <w:szCs w:val="24"/>
          <w:highlight w:val="none"/>
          <w:u w:val="single"/>
          <w:lang w:val="en-US" w:eastAsia="zh-CN"/>
        </w:rPr>
        <w:t>3个工作</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w:t>
      </w:r>
    </w:p>
    <w:p w14:paraId="63FC81BC">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rPr>
        <w:t>政采云平台</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rPr>
        <w:t>客户端</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选择项目分包文件递交页面进行递交（上传）。</w:t>
      </w:r>
    </w:p>
    <w:bookmarkEnd w:id="61"/>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7" w:name="_Toc19249"/>
      <w:bookmarkStart w:id="68" w:name="_Toc7125"/>
      <w:bookmarkStart w:id="69" w:name="_Toc155185864"/>
      <w:bookmarkStart w:id="70" w:name="_Toc140132749"/>
      <w:bookmarkStart w:id="71" w:name="_Toc109899833"/>
      <w:bookmarkStart w:id="72" w:name="_Toc109900252"/>
      <w:bookmarkStart w:id="73" w:name="_Toc163492816"/>
      <w:bookmarkStart w:id="74" w:name="_Toc109899414"/>
      <w:r>
        <w:rPr>
          <w:rFonts w:hint="eastAsia" w:ascii="宋体" w:hAnsi="宋体" w:eastAsia="宋体" w:cs="宋体"/>
          <w:b/>
          <w:bCs/>
          <w:color w:val="auto"/>
          <w:kern w:val="2"/>
          <w:sz w:val="24"/>
          <w:szCs w:val="24"/>
          <w:highlight w:val="none"/>
          <w:lang w:val="en-US" w:eastAsia="zh-CN" w:bidi="ar-SA"/>
        </w:rPr>
        <w:t>五、开启</w:t>
      </w:r>
      <w:bookmarkEnd w:id="67"/>
      <w:bookmarkEnd w:id="68"/>
    </w:p>
    <w:p w14:paraId="508C6E16">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71EF07E7">
      <w:pPr>
        <w:pStyle w:val="3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供应商登录政采云平台https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rPr>
        <w:t>//www.zcygov.cn/，进入“项目采购-开评标管理-右边选择对应项目点击“进入项目”进入开标大厅</w:t>
      </w:r>
      <w:r>
        <w:rPr>
          <w:rFonts w:hint="eastAsia" w:ascii="宋体" w:hAnsi="宋体" w:eastAsia="宋体" w:cs="宋体"/>
          <w:color w:val="auto"/>
          <w:sz w:val="24"/>
          <w:szCs w:val="24"/>
          <w:highlight w:val="none"/>
        </w:rPr>
        <w:t>。</w:t>
      </w:r>
    </w:p>
    <w:p w14:paraId="679A69E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5" w:name="_Toc6105"/>
      <w:bookmarkStart w:id="76" w:name="_Toc11928"/>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公告期限</w:t>
      </w:r>
      <w:bookmarkEnd w:id="62"/>
      <w:bookmarkEnd w:id="63"/>
      <w:bookmarkEnd w:id="64"/>
      <w:bookmarkEnd w:id="65"/>
      <w:bookmarkEnd w:id="66"/>
      <w:bookmarkEnd w:id="69"/>
      <w:bookmarkEnd w:id="70"/>
      <w:bookmarkEnd w:id="71"/>
      <w:bookmarkEnd w:id="72"/>
      <w:bookmarkEnd w:id="73"/>
      <w:bookmarkEnd w:id="74"/>
      <w:bookmarkEnd w:id="75"/>
      <w:bookmarkEnd w:id="76"/>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自本公告发布之日起3个工作日。</w:t>
      </w:r>
      <w:bookmarkStart w:id="77" w:name="_Toc140132750"/>
      <w:bookmarkStart w:id="78" w:name="_Toc35393804"/>
      <w:bookmarkStart w:id="79" w:name="_Toc109899415"/>
      <w:bookmarkStart w:id="80" w:name="_Toc109900253"/>
      <w:bookmarkStart w:id="81" w:name="_Toc155185865"/>
      <w:bookmarkStart w:id="82" w:name="_Toc35393635"/>
      <w:bookmarkStart w:id="83" w:name="_Toc109899834"/>
      <w:bookmarkStart w:id="84" w:name="_Toc44583634"/>
      <w:bookmarkStart w:id="85" w:name="_Toc163492817"/>
    </w:p>
    <w:p w14:paraId="20DD1AA0">
      <w:pPr>
        <w:pageBreakBefore w:val="0"/>
        <w:kinsoku/>
        <w:wordWrap/>
        <w:overflowPunct/>
        <w:topLinePunct w:val="0"/>
        <w:bidi w:val="0"/>
        <w:snapToGrid w:val="0"/>
        <w:spacing w:line="348" w:lineRule="auto"/>
        <w:jc w:val="both"/>
        <w:outlineLvl w:val="9"/>
        <w:rPr>
          <w:rFonts w:hint="eastAsia" w:ascii="宋体" w:hAnsi="宋体" w:eastAsia="宋体" w:cs="宋体"/>
          <w:b w:val="0"/>
          <w:bCs w:val="0"/>
          <w:color w:val="auto"/>
          <w:kern w:val="2"/>
          <w:sz w:val="24"/>
          <w:szCs w:val="24"/>
          <w:highlight w:val="none"/>
          <w:lang w:val="hr-HR" w:eastAsia="zh-CN" w:bidi="ar-SA"/>
        </w:rPr>
      </w:pPr>
      <w:r>
        <w:rPr>
          <w:rFonts w:hint="eastAsia" w:ascii="宋体" w:hAnsi="宋体" w:eastAsia="宋体" w:cs="宋体"/>
          <w:b/>
          <w:bCs/>
          <w:color w:val="auto"/>
          <w:kern w:val="2"/>
          <w:sz w:val="24"/>
          <w:szCs w:val="24"/>
          <w:highlight w:val="none"/>
          <w:lang w:val="hr-HR" w:eastAsia="zh-CN" w:bidi="ar-SA"/>
        </w:rPr>
        <w:t>七、其他补充事宜</w:t>
      </w:r>
      <w:bookmarkEnd w:id="77"/>
      <w:bookmarkEnd w:id="78"/>
      <w:bookmarkEnd w:id="79"/>
      <w:bookmarkEnd w:id="80"/>
      <w:bookmarkEnd w:id="81"/>
      <w:bookmarkEnd w:id="82"/>
      <w:bookmarkEnd w:id="83"/>
      <w:bookmarkEnd w:id="84"/>
      <w:bookmarkEnd w:id="85"/>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1、本项目实行网上</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，采用电子</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bCs/>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3、供应商将政采云电子交易客户端下载、安装完成后，可通过账号密码或CA登录客户端进行</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eastAsia="zh-CN"/>
        </w:rPr>
      </w:pPr>
      <w:bookmarkStart w:id="86" w:name="_Toc3905"/>
      <w:bookmarkStart w:id="87" w:name="_Toc16732"/>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hr-HR" w:eastAsia="zh-CN" w:bidi="ar-SA"/>
        </w:rPr>
        <w:t>凡对本次采购提出询问，请按以下方式联系</w:t>
      </w:r>
      <w:bookmarkEnd w:id="86"/>
      <w:bookmarkEnd w:id="87"/>
    </w:p>
    <w:p w14:paraId="3EEAC95D">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88" w:name="_Toc35393806"/>
      <w:bookmarkStart w:id="89" w:name="_Toc28359096"/>
      <w:bookmarkStart w:id="90" w:name="_Toc28359019"/>
      <w:bookmarkStart w:id="91" w:name="_Toc35393637"/>
      <w:r>
        <w:rPr>
          <w:rFonts w:hint="eastAsia" w:ascii="宋体" w:hAnsi="宋体" w:eastAsia="宋体" w:cs="宋体"/>
          <w:color w:val="auto"/>
          <w:sz w:val="24"/>
          <w:szCs w:val="24"/>
          <w:highlight w:val="none"/>
        </w:rPr>
        <w:t>1.采购人信息</w:t>
      </w:r>
      <w:bookmarkEnd w:id="88"/>
      <w:bookmarkEnd w:id="89"/>
      <w:bookmarkEnd w:id="90"/>
      <w:bookmarkEnd w:id="91"/>
    </w:p>
    <w:p w14:paraId="78A2EFA3">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DD202A8">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6204EA">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92" w:name="_Hlk467756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bookmarkEnd w:id="92"/>
    <w:p w14:paraId="5C798AB6">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93" w:name="_Toc35393807"/>
      <w:bookmarkStart w:id="94" w:name="_Toc28359097"/>
      <w:bookmarkStart w:id="95" w:name="_Toc28359020"/>
      <w:bookmarkStart w:id="96" w:name="_Toc35393638"/>
      <w:r>
        <w:rPr>
          <w:rFonts w:hint="eastAsia" w:ascii="宋体" w:hAnsi="宋体" w:eastAsia="宋体" w:cs="宋体"/>
          <w:color w:val="auto"/>
          <w:sz w:val="24"/>
          <w:szCs w:val="24"/>
          <w:highlight w:val="none"/>
        </w:rPr>
        <w:t>2.采购代理机构信息</w:t>
      </w:r>
      <w:bookmarkEnd w:id="93"/>
      <w:bookmarkEnd w:id="94"/>
      <w:bookmarkEnd w:id="95"/>
      <w:bookmarkEnd w:id="96"/>
    </w:p>
    <w:p w14:paraId="5E585559">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95F89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EBA1364">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8B1182B">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lang w:val="en-US" w:eastAsia="zh-CN"/>
        </w:rPr>
      </w:pPr>
      <w:bookmarkStart w:id="97" w:name="_Toc35393808"/>
      <w:bookmarkStart w:id="98" w:name="_Toc28359098"/>
      <w:bookmarkStart w:id="99" w:name="_Toc28359021"/>
      <w:bookmarkStart w:id="100" w:name="_Toc35393639"/>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项目联系方式</w:t>
      </w:r>
    </w:p>
    <w:p w14:paraId="7E6118A7">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97"/>
    <w:bookmarkEnd w:id="98"/>
    <w:bookmarkEnd w:id="99"/>
    <w:bookmarkEnd w:id="100"/>
    <w:p w14:paraId="567D1B59">
      <w:pPr>
        <w:pStyle w:val="33"/>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73A7F7BD">
      <w:pPr>
        <w:rPr>
          <w:color w:val="auto"/>
          <w:highlight w:val="none"/>
        </w:rPr>
        <w:sectPr>
          <w:footerReference r:id="rId6"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start="1"/>
          <w:cols w:space="425" w:num="1"/>
          <w:docGrid w:type="lines" w:linePitch="312" w:charSpace="0"/>
        </w:sectPr>
      </w:pP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01" w:name="_Toc10653"/>
      <w:bookmarkStart w:id="102" w:name="_Toc16855"/>
      <w:r>
        <w:rPr>
          <w:rFonts w:hint="eastAsia" w:ascii="宋体" w:hAnsi="宋体" w:eastAsia="宋体" w:cs="宋体"/>
          <w:b/>
          <w:bCs/>
          <w:color w:val="auto"/>
          <w:kern w:val="44"/>
          <w:sz w:val="36"/>
          <w:szCs w:val="36"/>
          <w:highlight w:val="none"/>
          <w:lang w:val="en-US" w:eastAsia="zh-CN" w:bidi="ar-SA"/>
        </w:rPr>
        <w:t>第二章 供应商须知</w:t>
      </w:r>
      <w:bookmarkEnd w:id="101"/>
      <w:bookmarkEnd w:id="102"/>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3" w:name="_Toc1792"/>
      <w:bookmarkStart w:id="104" w:name="_Toc20478"/>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103"/>
      <w:bookmarkEnd w:id="104"/>
    </w:p>
    <w:p w14:paraId="016068EF">
      <w:pPr>
        <w:pStyle w:val="33"/>
        <w:ind w:firstLine="480"/>
        <w:rPr>
          <w:color w:val="auto"/>
          <w:highlight w:val="none"/>
        </w:rPr>
      </w:pPr>
      <w:r>
        <w:rPr>
          <w:rFonts w:hint="eastAsia"/>
          <w:color w:val="auto"/>
          <w:highlight w:val="none"/>
          <w:lang w:val="en-US" w:eastAsia="zh-CN"/>
        </w:rPr>
        <w:t>谈判</w:t>
      </w:r>
      <w:r>
        <w:rPr>
          <w:rFonts w:hint="eastAsia"/>
          <w:color w:val="auto"/>
          <w:highlight w:val="none"/>
        </w:rPr>
        <w:t>供应商应仔细阅读本</w:t>
      </w:r>
      <w:r>
        <w:rPr>
          <w:rFonts w:hint="eastAsia"/>
          <w:color w:val="auto"/>
          <w:highlight w:val="none"/>
          <w:lang w:val="en-US" w:eastAsia="zh-CN"/>
        </w:rPr>
        <w:t>谈判</w:t>
      </w:r>
      <w:r>
        <w:rPr>
          <w:rFonts w:hint="eastAsia"/>
          <w:color w:val="auto"/>
          <w:highlight w:val="none"/>
        </w:rPr>
        <w:t>文件的第二章“供应商须知”，下面所列资料是对“供应商须知”的具体补充和说明。如有矛盾，应以本表为准。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w:t>
      </w:r>
      <w:r>
        <w:rPr>
          <w:rFonts w:hint="eastAsia" w:cs="宋体"/>
          <w:color w:val="auto"/>
          <w:sz w:val="24"/>
          <w:szCs w:val="24"/>
          <w:highlight w:val="none"/>
        </w:rPr>
        <w:sym w:font="Wingdings" w:char="00A8"/>
      </w:r>
      <w:r>
        <w:rPr>
          <w:rFonts w:hint="eastAsia" w:ascii="宋体" w:hAnsi="宋体" w:eastAsia="宋体"/>
          <w:color w:val="auto"/>
          <w:highlight w:val="none"/>
          <w:lang w:val="en-US" w:eastAsia="zh-CN"/>
        </w:rPr>
        <w:t>”的选项意为不适用于本项目。</w:t>
      </w:r>
    </w:p>
    <w:tbl>
      <w:tblPr>
        <w:tblStyle w:val="27"/>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70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2"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4"/>
              <w:jc w:val="center"/>
              <w:rPr>
                <w:rFonts w:hint="eastAsia" w:ascii="宋体" w:hAnsi="宋体" w:eastAsia="宋体" w:cs="宋体"/>
                <w:b/>
                <w:bCs/>
                <w:color w:val="auto"/>
                <w:sz w:val="24"/>
                <w:szCs w:val="24"/>
                <w:highlight w:val="none"/>
              </w:rPr>
            </w:pPr>
            <w:bookmarkStart w:id="105" w:name="_Hlk161703381"/>
            <w:r>
              <w:rPr>
                <w:rFonts w:hint="eastAsia" w:ascii="宋体" w:hAnsi="宋体" w:eastAsia="宋体" w:cs="宋体"/>
                <w:b/>
                <w:bCs/>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4"/>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00CDAA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D2FF53">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21" w:type="dxa"/>
            <w:tcBorders>
              <w:top w:val="single" w:color="auto" w:sz="2" w:space="0"/>
              <w:left w:val="single" w:color="auto" w:sz="2" w:space="0"/>
              <w:bottom w:val="single" w:color="auto" w:sz="2" w:space="0"/>
              <w:right w:val="single" w:color="auto" w:sz="2" w:space="0"/>
            </w:tcBorders>
            <w:vAlign w:val="center"/>
          </w:tcPr>
          <w:p w14:paraId="551BCB83">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核心产品</w:t>
            </w:r>
          </w:p>
        </w:tc>
        <w:tc>
          <w:tcPr>
            <w:tcW w:w="6700" w:type="dxa"/>
            <w:tcBorders>
              <w:top w:val="single" w:color="auto" w:sz="2" w:space="0"/>
              <w:left w:val="single" w:color="auto" w:sz="2" w:space="0"/>
              <w:bottom w:val="single" w:color="auto" w:sz="2" w:space="0"/>
              <w:right w:val="single" w:color="auto" w:sz="2" w:space="0"/>
            </w:tcBorders>
            <w:vAlign w:val="center"/>
          </w:tcPr>
          <w:p w14:paraId="0A60E333">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本项目第__包不适用。 </w:t>
            </w:r>
          </w:p>
          <w:p w14:paraId="603E08B8">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本项目第__包为单一产品采购项目。 </w:t>
            </w:r>
          </w:p>
          <w:p w14:paraId="61FC74A4">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本项目第__包为非单一产品采购项目，其中核心产品为：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1D8B4A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48EF93E">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721" w:type="dxa"/>
            <w:tcBorders>
              <w:top w:val="single" w:color="auto" w:sz="2" w:space="0"/>
              <w:left w:val="single" w:color="auto" w:sz="2" w:space="0"/>
              <w:bottom w:val="single" w:color="auto" w:sz="2" w:space="0"/>
              <w:right w:val="single" w:color="auto" w:sz="2" w:space="0"/>
            </w:tcBorders>
            <w:vAlign w:val="center"/>
          </w:tcPr>
          <w:p w14:paraId="684D5D8B">
            <w:pPr>
              <w:keepNext w:val="0"/>
              <w:keepLines w:val="0"/>
              <w:widowControl/>
              <w:suppressLineNumbers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科研仪器设备</w:t>
            </w:r>
          </w:p>
        </w:tc>
        <w:tc>
          <w:tcPr>
            <w:tcW w:w="6700" w:type="dxa"/>
            <w:tcBorders>
              <w:top w:val="single" w:color="auto" w:sz="2" w:space="0"/>
              <w:left w:val="single" w:color="auto" w:sz="2" w:space="0"/>
              <w:bottom w:val="single" w:color="auto" w:sz="2" w:space="0"/>
              <w:right w:val="single" w:color="auto" w:sz="2" w:space="0"/>
            </w:tcBorders>
            <w:vAlign w:val="center"/>
          </w:tcPr>
          <w:p w14:paraId="19FDECD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是否属于科研仪器设备采购项目： </w:t>
            </w:r>
          </w:p>
          <w:p w14:paraId="341E776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 xml:space="preserve">是 </w:t>
            </w:r>
          </w:p>
          <w:p w14:paraId="2C80CB22">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否</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AEE4073">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71CF8DC6">
            <w:pPr>
              <w:pStyle w:val="44"/>
              <w:rPr>
                <w:rFonts w:hint="eastAsia" w:ascii="宋体" w:hAnsi="宋体" w:eastAsia="宋体" w:cs="宋体"/>
                <w:color w:val="auto"/>
                <w:sz w:val="24"/>
                <w:szCs w:val="24"/>
                <w:highlight w:val="none"/>
              </w:rPr>
            </w:pPr>
            <w:bookmarkStart w:id="106" w:name="_Hlk143529175"/>
            <w:r>
              <w:rPr>
                <w:rFonts w:hint="eastAsia" w:ascii="宋体" w:hAnsi="宋体" w:eastAsia="宋体" w:cs="宋体"/>
                <w:color w:val="auto"/>
                <w:sz w:val="24"/>
                <w:szCs w:val="24"/>
                <w:highlight w:val="none"/>
              </w:rPr>
              <w:t>现场考察</w:t>
            </w:r>
            <w:bookmarkEnd w:id="106"/>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5E2B3EE4">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不组织，供应商自行前往</w:t>
            </w:r>
            <w:r>
              <w:rPr>
                <w:rFonts w:hint="eastAsia" w:ascii="宋体" w:hAnsi="宋体" w:eastAsia="宋体" w:cs="宋体"/>
                <w:color w:val="auto"/>
                <w:sz w:val="24"/>
                <w:szCs w:val="24"/>
                <w:highlight w:val="none"/>
                <w:lang w:eastAsia="zh-CN"/>
              </w:rPr>
              <w:t>。</w:t>
            </w:r>
          </w:p>
          <w:p w14:paraId="2238EF6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7A7004">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20FC15">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B852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3AA490D3">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06B687FF">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答疑会</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2311FEB9">
            <w:pPr>
              <w:pStyle w:val="4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0460CD8F">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85F5E8">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1C6642">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700" w:type="dxa"/>
            <w:tcBorders>
              <w:top w:val="single" w:color="auto" w:sz="2" w:space="0"/>
              <w:left w:val="single" w:color="auto" w:sz="2" w:space="0"/>
              <w:bottom w:val="single" w:color="auto" w:sz="2" w:space="0"/>
              <w:right w:val="single" w:color="auto" w:sz="2" w:space="0"/>
            </w:tcBorders>
            <w:vAlign w:val="center"/>
          </w:tcPr>
          <w:p w14:paraId="7419497D">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1C46F9">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4"/>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响应文件有效期</w:t>
            </w:r>
          </w:p>
        </w:tc>
        <w:tc>
          <w:tcPr>
            <w:tcW w:w="6700" w:type="dxa"/>
            <w:tcBorders>
              <w:top w:val="single" w:color="auto" w:sz="2" w:space="0"/>
              <w:left w:val="single" w:color="auto" w:sz="2" w:space="0"/>
              <w:bottom w:val="single" w:color="auto" w:sz="2" w:space="0"/>
              <w:right w:val="single" w:color="auto" w:sz="2" w:space="0"/>
            </w:tcBorders>
            <w:vAlign w:val="center"/>
          </w:tcPr>
          <w:p w14:paraId="7A8404D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响应文件递交截止日期后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w:t>
            </w:r>
          </w:p>
        </w:tc>
        <w:tc>
          <w:tcPr>
            <w:tcW w:w="6700" w:type="dxa"/>
            <w:tcBorders>
              <w:top w:val="single" w:color="auto" w:sz="2" w:space="0"/>
              <w:left w:val="single" w:color="auto" w:sz="2" w:space="0"/>
              <w:bottom w:val="single" w:color="auto" w:sz="2" w:space="0"/>
              <w:right w:val="single" w:color="auto" w:sz="2" w:space="0"/>
            </w:tcBorders>
            <w:vAlign w:val="center"/>
          </w:tcPr>
          <w:p w14:paraId="6A5BD78D">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1F705AC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5033BC8E">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p>
          <w:p w14:paraId="31FDD90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lang w:eastAsia="zh-CN"/>
              </w:rPr>
              <w:t>。</w:t>
            </w:r>
          </w:p>
          <w:p w14:paraId="73F0928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4077D0C0">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3BF881E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0D11824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F174ACF">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0C79EF6C">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7CEAD366">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51E0176B">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以担保函、保证保险形式缴纳保证金的，受益人和收取单位须为采购人。</w:t>
            </w:r>
          </w:p>
        </w:tc>
      </w:tr>
      <w:tr w14:paraId="7111AC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444" w:hRule="atLeast"/>
        </w:trPr>
        <w:tc>
          <w:tcPr>
            <w:tcW w:w="970" w:type="dxa"/>
            <w:tcBorders>
              <w:top w:val="single" w:color="auto" w:sz="2" w:space="0"/>
              <w:left w:val="single" w:color="auto" w:sz="2" w:space="0"/>
              <w:bottom w:val="single" w:color="auto" w:sz="2" w:space="0"/>
              <w:right w:val="single" w:color="auto" w:sz="2" w:space="0"/>
            </w:tcBorders>
            <w:vAlign w:val="center"/>
          </w:tcPr>
          <w:p w14:paraId="61BD2EB4">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21" w:type="dxa"/>
            <w:tcBorders>
              <w:top w:val="single" w:color="auto" w:sz="2" w:space="0"/>
              <w:left w:val="single" w:color="auto" w:sz="2" w:space="0"/>
              <w:bottom w:val="single" w:color="auto" w:sz="2" w:space="0"/>
              <w:right w:val="single" w:color="auto" w:sz="2" w:space="0"/>
            </w:tcBorders>
            <w:vAlign w:val="center"/>
          </w:tcPr>
          <w:p w14:paraId="5DF0914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实物样品</w:t>
            </w:r>
          </w:p>
        </w:tc>
        <w:tc>
          <w:tcPr>
            <w:tcW w:w="6700" w:type="dxa"/>
            <w:tcBorders>
              <w:top w:val="single" w:color="auto" w:sz="2" w:space="0"/>
              <w:left w:val="single" w:color="auto" w:sz="2" w:space="0"/>
              <w:bottom w:val="single" w:color="auto" w:sz="2" w:space="0"/>
              <w:right w:val="single" w:color="auto" w:sz="2" w:space="0"/>
            </w:tcBorders>
            <w:vAlign w:val="center"/>
          </w:tcPr>
          <w:p w14:paraId="1A755E2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样品递交： </w:t>
            </w:r>
          </w:p>
          <w:p w14:paraId="2DA6B3D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CF1D97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□需要，具体要求如下： </w:t>
            </w:r>
          </w:p>
          <w:p w14:paraId="057180A3">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1.样品制作的标准和要求：_________； </w:t>
            </w:r>
          </w:p>
          <w:p w14:paraId="23BD1F4B">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2.是否需要随样品提交相关检测报告： </w:t>
            </w:r>
          </w:p>
          <w:p w14:paraId="1C722A75">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12E9C11">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 </w:t>
            </w:r>
          </w:p>
          <w:p w14:paraId="140A7E83">
            <w:pPr>
              <w:pStyle w:val="44"/>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3.样品递交要求：</w:t>
            </w:r>
          </w:p>
          <w:p w14:paraId="163503B2">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405BE77E">
            <w:pPr>
              <w:pStyle w:val="44"/>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，逾期提供的样品将不予接受。</w:t>
            </w:r>
            <w:r>
              <w:rPr>
                <w:rFonts w:hint="eastAsia" w:ascii="宋体" w:hAnsi="宋体" w:eastAsia="宋体" w:cs="宋体"/>
                <w:color w:val="auto"/>
                <w:sz w:val="24"/>
                <w:szCs w:val="24"/>
                <w:highlight w:val="none"/>
                <w:lang w:val="en-US" w:eastAsia="zh-CN"/>
              </w:rPr>
              <w:t xml:space="preserve"> </w:t>
            </w:r>
          </w:p>
          <w:p w14:paraId="66E8902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4.未中标人样品退还：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1DDB2E5">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5.中标人样品保管、封存及退还：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985B4A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6.其他要求（如有）：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0492E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853" w:hRule="atLeast"/>
        </w:trPr>
        <w:tc>
          <w:tcPr>
            <w:tcW w:w="970" w:type="dxa"/>
            <w:tcBorders>
              <w:top w:val="single" w:color="auto" w:sz="2" w:space="0"/>
              <w:left w:val="single" w:color="auto" w:sz="2" w:space="0"/>
              <w:bottom w:val="single" w:color="auto" w:sz="2" w:space="0"/>
              <w:right w:val="single" w:color="auto" w:sz="2" w:space="0"/>
            </w:tcBorders>
            <w:vAlign w:val="center"/>
          </w:tcPr>
          <w:p w14:paraId="733F5245">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p>
        </w:tc>
        <w:tc>
          <w:tcPr>
            <w:tcW w:w="1721" w:type="dxa"/>
            <w:tcBorders>
              <w:top w:val="single" w:color="auto" w:sz="2" w:space="0"/>
              <w:left w:val="single" w:color="auto" w:sz="2" w:space="0"/>
              <w:bottom w:val="single" w:color="auto" w:sz="2" w:space="0"/>
              <w:right w:val="single" w:color="auto" w:sz="2" w:space="0"/>
            </w:tcBorders>
            <w:vAlign w:val="center"/>
          </w:tcPr>
          <w:p w14:paraId="4ABD3E0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w:t>
            </w:r>
          </w:p>
        </w:tc>
        <w:tc>
          <w:tcPr>
            <w:tcW w:w="6700" w:type="dxa"/>
            <w:tcBorders>
              <w:top w:val="single" w:color="auto" w:sz="2" w:space="0"/>
              <w:left w:val="single" w:color="auto" w:sz="2" w:space="0"/>
              <w:bottom w:val="single" w:color="auto" w:sz="2" w:space="0"/>
              <w:right w:val="single" w:color="auto" w:sz="2" w:space="0"/>
            </w:tcBorders>
            <w:vAlign w:val="center"/>
          </w:tcPr>
          <w:p w14:paraId="2F12798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不进行</w:t>
            </w:r>
          </w:p>
          <w:p w14:paraId="3E1D547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进行，远程线上演示/现场演示</w:t>
            </w:r>
          </w:p>
          <w:p w14:paraId="78D358FD">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1.演示时间不得超过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p>
          <w:p w14:paraId="4FF9BE53">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2.进行远程线上演示的，供应商应提前自行准备好演示的软硬配置环境和网络环境，做好演示的各项准备工作。因供应商自身原因无法演示或者演示效果不理想的，导致的后果由供应商自行承担。</w:t>
            </w:r>
          </w:p>
          <w:p w14:paraId="727E4770">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3.进行现场演示的，演示人员不得超过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人，演示现场提供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9"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解密响应文件的时限</w:t>
            </w:r>
          </w:p>
        </w:tc>
        <w:tc>
          <w:tcPr>
            <w:tcW w:w="6700" w:type="dxa"/>
            <w:tcBorders>
              <w:top w:val="single" w:color="auto" w:sz="2" w:space="0"/>
              <w:left w:val="single" w:color="auto" w:sz="2" w:space="0"/>
              <w:bottom w:val="single" w:color="auto" w:sz="2" w:space="0"/>
              <w:right w:val="single" w:color="auto" w:sz="2" w:space="0"/>
            </w:tcBorders>
            <w:vAlign w:val="center"/>
          </w:tcPr>
          <w:p w14:paraId="023E614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08EF5D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color w:val="auto"/>
                <w:sz w:val="24"/>
                <w:szCs w:val="24"/>
                <w:highlight w:val="none"/>
                <w:lang w:eastAsia="zh-CN"/>
              </w:rPr>
              <w:t>，响应无效。</w:t>
            </w:r>
          </w:p>
        </w:tc>
      </w:tr>
      <w:tr w14:paraId="550466F3">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9"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45CEBC2C">
            <w:pPr>
              <w:pStyle w:val="44"/>
              <w:jc w:val="center"/>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29.1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79CB7E8C">
            <w:pPr>
              <w:pStyle w:val="44"/>
              <w:rPr>
                <w:rFonts w:hint="eastAsia" w:ascii="宋体" w:hAnsi="宋体" w:eastAsia="宋体" w:cs="宋体"/>
                <w:color w:val="auto"/>
                <w:kern w:val="2"/>
                <w:sz w:val="24"/>
                <w:szCs w:val="24"/>
                <w:highlight w:val="none"/>
                <w:lang w:val="en-US" w:eastAsia="zh-CN" w:bidi="ar-SA"/>
              </w:rPr>
            </w:pPr>
            <w:r>
              <w:rPr>
                <w:rFonts w:hint="eastAsia" w:cs="宋体"/>
                <w:color w:val="auto"/>
                <w:sz w:val="24"/>
                <w:szCs w:val="24"/>
                <w:highlight w:val="none"/>
                <w:lang w:val="en-US" w:eastAsia="zh-CN"/>
              </w:rPr>
              <w:t>谈判轮次及谈判顺序</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2BBE5A5D">
            <w:pPr>
              <w:pStyle w:val="44"/>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谈判轮次：</w:t>
            </w:r>
          </w:p>
          <w:p w14:paraId="74F5ED1C">
            <w:pPr>
              <w:pStyle w:val="44"/>
              <w:ind w:firstLine="240" w:firstLineChars="100"/>
              <w:rPr>
                <w:rFonts w:hint="eastAsia"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cs="宋体"/>
                <w:color w:val="auto"/>
                <w:sz w:val="24"/>
                <w:szCs w:val="24"/>
                <w:highlight w:val="none"/>
                <w:lang w:val="en-US" w:eastAsia="zh-CN"/>
              </w:rPr>
              <w:t>本项目共进行</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lang w:val="en-US" w:eastAsia="zh-CN"/>
              </w:rPr>
              <w:t>轮谈判（不含最后报价）。</w:t>
            </w:r>
          </w:p>
          <w:p w14:paraId="204972B3">
            <w:pPr>
              <w:pStyle w:val="44"/>
              <w:ind w:firstLine="240" w:firstLineChars="100"/>
              <w:rPr>
                <w:rFonts w:hint="eastAsia"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本项目不事先确定</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轮次，</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情况确定，并在最后一轮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前告知供应商</w:t>
            </w:r>
            <w:r>
              <w:rPr>
                <w:rFonts w:hint="eastAsia" w:cs="宋体"/>
                <w:color w:val="auto"/>
                <w:sz w:val="24"/>
                <w:szCs w:val="24"/>
                <w:highlight w:val="none"/>
                <w:lang w:eastAsia="zh-CN"/>
              </w:rPr>
              <w:t>。</w:t>
            </w:r>
          </w:p>
          <w:p w14:paraId="5231539D">
            <w:pPr>
              <w:pStyle w:val="44"/>
              <w:keepNext w:val="0"/>
              <w:keepLines w:val="0"/>
              <w:pageBreakBefore w:val="0"/>
              <w:widowControl w:val="0"/>
              <w:kinsoku/>
              <w:wordWrap/>
              <w:overflowPunct/>
              <w:topLinePunct w:val="0"/>
              <w:autoSpaceDE/>
              <w:autoSpaceDN/>
              <w:bidi w:val="0"/>
              <w:adjustRightInd/>
              <w:snapToGrid/>
              <w:spacing w:before="157" w:beforeLines="50"/>
              <w:textAlignment w:val="auto"/>
              <w:rPr>
                <w:rFonts w:hint="eastAsia" w:ascii="宋体" w:hAnsi="宋体" w:eastAsia="宋体" w:cs="宋体"/>
                <w:color w:val="auto"/>
                <w:kern w:val="2"/>
                <w:sz w:val="24"/>
                <w:szCs w:val="24"/>
                <w:highlight w:val="none"/>
                <w:u w:val="none"/>
                <w:lang w:val="en-US" w:eastAsia="zh-CN" w:bidi="ar-SA"/>
              </w:rPr>
            </w:pPr>
            <w:r>
              <w:rPr>
                <w:rFonts w:hint="eastAsia" w:cs="宋体"/>
                <w:color w:val="auto"/>
                <w:sz w:val="24"/>
                <w:szCs w:val="24"/>
                <w:highlight w:val="none"/>
                <w:lang w:val="en-US" w:eastAsia="zh-CN"/>
              </w:rPr>
              <w:t>谈判顺序：</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13"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w:t>
            </w:r>
          </w:p>
        </w:tc>
        <w:tc>
          <w:tcPr>
            <w:tcW w:w="1721" w:type="dxa"/>
            <w:tcBorders>
              <w:top w:val="single" w:color="auto" w:sz="2" w:space="0"/>
              <w:left w:val="single" w:color="auto" w:sz="2" w:space="0"/>
              <w:bottom w:val="single" w:color="auto" w:sz="2" w:space="0"/>
              <w:right w:val="single" w:color="auto" w:sz="2" w:space="0"/>
            </w:tcBorders>
            <w:vAlign w:val="center"/>
          </w:tcPr>
          <w:p w14:paraId="3B1D8DC9">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推荐成交候选供应商</w:t>
            </w:r>
          </w:p>
        </w:tc>
        <w:tc>
          <w:tcPr>
            <w:tcW w:w="6700" w:type="dxa"/>
            <w:tcBorders>
              <w:top w:val="single" w:color="auto" w:sz="2" w:space="0"/>
              <w:left w:val="single" w:color="auto" w:sz="2" w:space="0"/>
              <w:bottom w:val="single" w:color="auto" w:sz="2" w:space="0"/>
              <w:right w:val="single" w:color="auto" w:sz="2" w:space="0"/>
            </w:tcBorders>
            <w:vAlign w:val="center"/>
          </w:tcPr>
          <w:p w14:paraId="67201373">
            <w:pPr>
              <w:pStyle w:val="44"/>
              <w:rPr>
                <w:rFonts w:hint="eastAsia" w:ascii="宋体" w:hAnsi="宋体" w:eastAsia="宋体" w:cs="宋体"/>
                <w:color w:val="auto"/>
                <w:sz w:val="24"/>
                <w:szCs w:val="24"/>
                <w:highlight w:val="none"/>
                <w:u w:val="none"/>
                <w:lang w:val="en-US" w:eastAsia="zh-CN"/>
              </w:rPr>
            </w:pPr>
            <w:r>
              <w:rPr>
                <w:rFonts w:hint="eastAsia" w:cs="宋体"/>
                <w:color w:val="auto"/>
                <w:sz w:val="24"/>
                <w:szCs w:val="24"/>
                <w:highlight w:val="none"/>
                <w:lang w:val="en-US" w:eastAsia="zh-CN"/>
              </w:rPr>
              <w:t>推荐</w:t>
            </w: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家</w:t>
            </w:r>
            <w:r>
              <w:rPr>
                <w:rFonts w:hint="eastAsia" w:cs="宋体"/>
                <w:color w:val="auto"/>
                <w:sz w:val="24"/>
                <w:szCs w:val="24"/>
                <w:highlight w:val="none"/>
                <w:u w:val="none"/>
                <w:lang w:val="en-US" w:eastAsia="zh-CN"/>
              </w:rPr>
              <w:t>。</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60"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确定成交供应商</w:t>
            </w:r>
          </w:p>
        </w:tc>
        <w:tc>
          <w:tcPr>
            <w:tcW w:w="6700" w:type="dxa"/>
            <w:tcBorders>
              <w:top w:val="single" w:color="auto" w:sz="2" w:space="0"/>
              <w:left w:val="single" w:color="auto" w:sz="2" w:space="0"/>
              <w:bottom w:val="single" w:color="auto" w:sz="2" w:space="0"/>
              <w:right w:val="single" w:color="auto" w:sz="2" w:space="0"/>
            </w:tcBorders>
            <w:vAlign w:val="center"/>
          </w:tcPr>
          <w:p w14:paraId="77284D4E">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收到评审报告后5个工作日内，按评审报告中推荐的成交候选人排序确定成交供应商。</w:t>
            </w:r>
          </w:p>
          <w:p w14:paraId="20F6D23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小组直接确定成交供应商。</w:t>
            </w:r>
          </w:p>
          <w:p w14:paraId="7CD921DD">
            <w:pPr>
              <w:pStyle w:val="44"/>
              <w:rPr>
                <w:rFonts w:hint="default" w:ascii="宋体" w:hAnsi="宋体" w:eastAsia="宋体" w:cs="宋体"/>
                <w:color w:val="auto"/>
                <w:sz w:val="24"/>
                <w:szCs w:val="24"/>
                <w:highlight w:val="none"/>
                <w:u w:val="none"/>
                <w:lang w:val="en-US" w:eastAsia="zh-CN"/>
              </w:rPr>
            </w:pPr>
            <w:r>
              <w:rPr>
                <w:rFonts w:hint="eastAsia" w:cs="宋体"/>
                <w:color w:val="auto"/>
                <w:sz w:val="24"/>
                <w:szCs w:val="24"/>
                <w:highlight w:val="none"/>
                <w:lang w:val="en-US" w:eastAsia="zh-CN"/>
              </w:rPr>
              <w:t>成交候选人并列的，按照以下方式确定成交供应商：</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00" w:type="dxa"/>
            <w:tcBorders>
              <w:top w:val="single" w:color="auto" w:sz="2" w:space="0"/>
              <w:left w:val="single" w:color="auto" w:sz="2" w:space="0"/>
              <w:bottom w:val="single" w:color="auto" w:sz="2" w:space="0"/>
              <w:right w:val="single" w:color="auto" w:sz="2" w:space="0"/>
            </w:tcBorders>
            <w:vAlign w:val="center"/>
          </w:tcPr>
          <w:p w14:paraId="790E0B45">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31157547">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B5A19AA">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B6D208">
            <w:pPr>
              <w:pStyle w:val="44"/>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人民币           元</w:t>
            </w:r>
          </w:p>
          <w:p w14:paraId="52DC4B4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63ACCF21">
            <w:pPr>
              <w:pStyle w:val="54"/>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412117C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2664878C">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70C3B21D">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22C7C956">
            <w:pPr>
              <w:pStyle w:val="44"/>
              <w:rPr>
                <w:rFonts w:hint="eastAsia" w:ascii="宋体" w:hAnsi="宋体" w:eastAsia="宋体" w:cs="宋体"/>
                <w:b/>
                <w:bCs/>
                <w:color w:val="auto"/>
                <w:sz w:val="24"/>
                <w:szCs w:val="24"/>
                <w:highlight w:val="none"/>
              </w:rPr>
            </w:pPr>
          </w:p>
          <w:p w14:paraId="151176AB">
            <w:pPr>
              <w:pStyle w:val="44"/>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64BE45E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28DC084A">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34.5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合同分包</w:t>
            </w:r>
          </w:p>
        </w:tc>
        <w:tc>
          <w:tcPr>
            <w:tcW w:w="6700" w:type="dxa"/>
            <w:tcBorders>
              <w:top w:val="single" w:color="auto" w:sz="2" w:space="0"/>
              <w:left w:val="single" w:color="auto" w:sz="2" w:space="0"/>
              <w:bottom w:val="single" w:color="auto" w:sz="2" w:space="0"/>
              <w:right w:val="single" w:color="auto" w:sz="2" w:space="0"/>
            </w:tcBorders>
            <w:vAlign w:val="center"/>
          </w:tcPr>
          <w:p w14:paraId="4344EC45">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4"/>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71BE067E">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3628979B">
            <w:pPr>
              <w:pStyle w:val="44"/>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3.其他要求：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质疑</w:t>
            </w:r>
          </w:p>
        </w:tc>
        <w:tc>
          <w:tcPr>
            <w:tcW w:w="6700" w:type="dxa"/>
            <w:tcBorders>
              <w:top w:val="single" w:color="auto" w:sz="2" w:space="0"/>
              <w:left w:val="single" w:color="auto" w:sz="2" w:space="0"/>
              <w:bottom w:val="single" w:color="auto" w:sz="2" w:space="0"/>
              <w:right w:val="single" w:color="auto" w:sz="2" w:space="0"/>
            </w:tcBorders>
            <w:vAlign w:val="center"/>
          </w:tcPr>
          <w:p w14:paraId="19F26822">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6C71E447">
            <w:pPr>
              <w:pStyle w:val="52"/>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65"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采购代理服务费收取方式和标准</w:t>
            </w:r>
          </w:p>
        </w:tc>
        <w:tc>
          <w:tcPr>
            <w:tcW w:w="6700" w:type="dxa"/>
            <w:tcBorders>
              <w:top w:val="single" w:color="auto" w:sz="2" w:space="0"/>
              <w:left w:val="single" w:color="auto" w:sz="2" w:space="0"/>
              <w:bottom w:val="single" w:color="auto" w:sz="2" w:space="0"/>
              <w:right w:val="single" w:color="auto" w:sz="2" w:space="0"/>
            </w:tcBorders>
            <w:vAlign w:val="center"/>
          </w:tcPr>
          <w:p w14:paraId="50481589">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 xml:space="preserve">人支付 </w:t>
            </w:r>
          </w:p>
          <w:p w14:paraId="4710D0C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7984F9E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624D490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1785FF1B">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tcBorders>
              <w:top w:val="single" w:color="auto" w:sz="2" w:space="0"/>
              <w:left w:val="single" w:color="auto" w:sz="2" w:space="0"/>
              <w:bottom w:val="single" w:color="auto" w:sz="2" w:space="0"/>
              <w:right w:val="single" w:color="auto" w:sz="2" w:space="0"/>
            </w:tcBorders>
            <w:vAlign w:val="center"/>
          </w:tcPr>
          <w:p w14:paraId="3B4D5E1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不接受</w:t>
            </w:r>
          </w:p>
          <w:p w14:paraId="77F5BFD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lang w:val="zh-CN"/>
              </w:rPr>
              <w:t>接受</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4"/>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c>
          <w:tcPr>
            <w:tcW w:w="1721" w:type="dxa"/>
            <w:tcBorders>
              <w:top w:val="single" w:color="auto" w:sz="2" w:space="0"/>
              <w:left w:val="single" w:color="auto" w:sz="2" w:space="0"/>
              <w:bottom w:val="single" w:color="auto" w:sz="2" w:space="0"/>
              <w:right w:val="single" w:color="auto" w:sz="2" w:space="0"/>
            </w:tcBorders>
            <w:vAlign w:val="center"/>
          </w:tcPr>
          <w:p w14:paraId="623E81DC">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支持中小企业政策</w:t>
            </w:r>
            <w:r>
              <w:rPr>
                <w:rFonts w:hint="eastAsia" w:ascii="宋体" w:hAnsi="宋体" w:eastAsia="宋体" w:cs="宋体"/>
                <w:b w:val="0"/>
                <w:bCs/>
                <w:i w:val="0"/>
                <w:iCs/>
                <w:color w:val="auto"/>
                <w:kern w:val="0"/>
                <w:sz w:val="24"/>
                <w:szCs w:val="24"/>
                <w:highlight w:val="none"/>
                <w:lang w:val="en-US" w:eastAsia="zh-CN" w:bidi="ar-SA"/>
              </w:rPr>
              <w:t>（非专门面向中小企业采购项目适用）</w:t>
            </w:r>
          </w:p>
        </w:tc>
        <w:tc>
          <w:tcPr>
            <w:tcW w:w="6700" w:type="dxa"/>
            <w:tcBorders>
              <w:top w:val="single" w:color="auto" w:sz="2" w:space="0"/>
              <w:left w:val="single" w:color="auto" w:sz="2" w:space="0"/>
              <w:bottom w:val="single" w:color="auto" w:sz="2" w:space="0"/>
              <w:right w:val="single" w:color="auto" w:sz="2" w:space="0"/>
            </w:tcBorders>
            <w:vAlign w:val="center"/>
          </w:tcPr>
          <w:p w14:paraId="494A9BAF">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小型和微型企业价格扣除：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1EC73829">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监狱企业价格扣除：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498559E5">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残疾人福利性单位价格扣除：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6AB8547">
            <w:pPr>
              <w:pStyle w:val="57"/>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4</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符合条件的联合体价格扣除：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083F702C">
            <w:pPr>
              <w:pStyle w:val="57"/>
              <w:widowControl w:val="0"/>
              <w:spacing w:before="0" w:beforeAutospacing="0" w:after="0" w:afterAutospacing="0" w:line="240" w:lineRule="auto"/>
              <w:jc w:val="both"/>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5</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符合条件的向小微企业分包的大中型企业价格扣除：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i w:val="0"/>
                <w:iCs/>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42.9</w:t>
            </w:r>
          </w:p>
        </w:tc>
        <w:tc>
          <w:tcPr>
            <w:tcW w:w="1721" w:type="dxa"/>
            <w:tcBorders>
              <w:top w:val="single" w:color="auto" w:sz="2" w:space="0"/>
              <w:left w:val="single" w:color="auto" w:sz="2" w:space="0"/>
              <w:bottom w:val="single" w:color="auto" w:sz="2" w:space="0"/>
              <w:right w:val="single" w:color="auto" w:sz="2" w:space="0"/>
            </w:tcBorders>
            <w:vAlign w:val="center"/>
          </w:tcPr>
          <w:p w14:paraId="46C03D62">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p w14:paraId="10DBCCB6">
            <w:pPr>
              <w:pStyle w:val="44"/>
              <w:rPr>
                <w:rFonts w:hint="eastAsia" w:ascii="宋体" w:hAnsi="宋体" w:eastAsia="宋体" w:cs="宋体"/>
                <w:color w:val="auto"/>
                <w:sz w:val="24"/>
                <w:szCs w:val="24"/>
                <w:highlight w:val="none"/>
              </w:rPr>
            </w:pPr>
            <w:r>
              <w:rPr>
                <w:rFonts w:hint="eastAsia" w:ascii="宋体" w:hAnsi="宋体" w:eastAsia="宋体" w:cs="宋体"/>
                <w:b w:val="0"/>
                <w:bCs/>
                <w:i w:val="0"/>
                <w:iCs/>
                <w:color w:val="auto"/>
                <w:kern w:val="0"/>
                <w:sz w:val="24"/>
                <w:szCs w:val="24"/>
                <w:highlight w:val="none"/>
                <w:lang w:val="en-US" w:eastAsia="zh-CN" w:bidi="ar-SA"/>
              </w:rPr>
              <w:t>（参照后附《工信部联企业〔2011〕300号》文件规定）</w:t>
            </w:r>
          </w:p>
        </w:tc>
        <w:tc>
          <w:tcPr>
            <w:tcW w:w="670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left"/>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本项目采购标的对应的中小企业划分标准所属行业： </w:t>
            </w:r>
          </w:p>
          <w:tbl>
            <w:tblPr>
              <w:tblStyle w:val="28"/>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6A664177">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center"/>
                    <w:rPr>
                      <w:rFonts w:hint="eastAsia" w:ascii="宋体" w:hAnsi="宋体" w:eastAsia="宋体" w:cs="宋体"/>
                      <w:color w:val="auto"/>
                      <w:kern w:val="0"/>
                      <w:sz w:val="24"/>
                      <w:szCs w:val="24"/>
                      <w:highlight w:val="none"/>
                      <w:vertAlign w:val="baseline"/>
                      <w:lang w:val="en-US" w:eastAsia="zh-CN" w:bidi="ar"/>
                    </w:rPr>
                  </w:pPr>
                </w:p>
              </w:tc>
            </w:tr>
          </w:tbl>
          <w:p w14:paraId="4176FC14">
            <w:pPr>
              <w:pStyle w:val="44"/>
              <w:rPr>
                <w:rFonts w:hint="eastAsia" w:ascii="宋体" w:hAnsi="宋体" w:eastAsia="宋体" w:cs="宋体"/>
                <w:color w:val="auto"/>
                <w:sz w:val="24"/>
                <w:szCs w:val="24"/>
                <w:highlight w:val="none"/>
              </w:rPr>
            </w:pPr>
          </w:p>
        </w:tc>
      </w:tr>
      <w:tr w14:paraId="05BF2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89" w:hRule="atLeast"/>
        </w:trPr>
        <w:tc>
          <w:tcPr>
            <w:tcW w:w="970" w:type="dxa"/>
            <w:tcBorders>
              <w:top w:val="single" w:color="auto" w:sz="2" w:space="0"/>
              <w:left w:val="single" w:color="auto" w:sz="2" w:space="0"/>
              <w:bottom w:val="single" w:color="auto" w:sz="2" w:space="0"/>
              <w:right w:val="single" w:color="auto" w:sz="2" w:space="0"/>
            </w:tcBorders>
            <w:vAlign w:val="center"/>
          </w:tcPr>
          <w:p w14:paraId="369A7B1B">
            <w:pPr>
              <w:pStyle w:val="44"/>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43.5</w:t>
            </w:r>
          </w:p>
        </w:tc>
        <w:tc>
          <w:tcPr>
            <w:tcW w:w="1721" w:type="dxa"/>
            <w:tcBorders>
              <w:top w:val="single" w:color="auto" w:sz="2" w:space="0"/>
              <w:left w:val="single" w:color="auto" w:sz="2" w:space="0"/>
              <w:bottom w:val="single" w:color="auto" w:sz="2" w:space="0"/>
              <w:right w:val="single" w:color="auto" w:sz="2" w:space="0"/>
            </w:tcBorders>
            <w:vAlign w:val="center"/>
          </w:tcPr>
          <w:p w14:paraId="7250B4B7">
            <w:pPr>
              <w:pStyle w:val="44"/>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优先采购创新节能环保产品</w:t>
            </w:r>
          </w:p>
        </w:tc>
        <w:tc>
          <w:tcPr>
            <w:tcW w:w="6700" w:type="dxa"/>
            <w:tcBorders>
              <w:top w:val="single" w:color="auto" w:sz="2" w:space="0"/>
              <w:left w:val="single" w:color="auto" w:sz="2" w:space="0"/>
              <w:bottom w:val="single" w:color="auto" w:sz="2" w:space="0"/>
              <w:right w:val="single" w:color="auto" w:sz="2" w:space="0"/>
            </w:tcBorders>
            <w:vAlign w:val="center"/>
          </w:tcPr>
          <w:p w14:paraId="09930298">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产品纳入创新产品应用示范推荐目录内企业、所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产品获得节能产品或环境标志产品认证证书的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4"/>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7B74754">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21C72458">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合同融资政策</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6591D216">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1.有融资需求的成交人在获得政府采购成交通知书后，即可向开展“政采贷”业务的金融机构提出申请，金融机构依据政府采购成交通知书和政府采购合同，为中小微企业提供融资服务。</w:t>
            </w:r>
          </w:p>
          <w:p w14:paraId="073C66E9">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color w:val="auto"/>
                <w:sz w:val="24"/>
                <w:szCs w:val="24"/>
                <w:highlight w:val="none"/>
              </w:rPr>
              <w:t>。</w:t>
            </w:r>
          </w:p>
          <w:p w14:paraId="4FBEC518">
            <w:pPr>
              <w:pStyle w:val="44"/>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 xml:space="preserve">  2.“政采贷”融资指引：在取得政府采购成交通知书后，可访问“兵团政采贷融资服务平台”，查看和联系第三方平台或者金融机构，商洽融资事项，确定融资意向。成交人签署政府采购成交合同后，登录“兵团政采贷融资服务平台”，选择意向产品进行申请，并填写相关信息，“兵团政采贷融资服务平台”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828"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4"/>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top w:val="single" w:color="auto" w:sz="2" w:space="0"/>
              <w:left w:val="single" w:color="auto" w:sz="4" w:space="0"/>
              <w:bottom w:val="single" w:color="auto" w:sz="2" w:space="0"/>
              <w:right w:val="single" w:color="auto" w:sz="2" w:space="0"/>
            </w:tcBorders>
            <w:vAlign w:val="center"/>
          </w:tcPr>
          <w:p w14:paraId="7C6D9930">
            <w:pPr>
              <w:pStyle w:val="44"/>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根据项目情况自行补充</w:t>
            </w:r>
            <w:r>
              <w:rPr>
                <w:rFonts w:hint="eastAsia" w:ascii="宋体" w:hAnsi="宋体" w:eastAsia="宋体" w:cs="宋体"/>
                <w:i w:val="0"/>
                <w:iCs w:val="0"/>
                <w:color w:val="auto"/>
                <w:sz w:val="24"/>
                <w:szCs w:val="24"/>
                <w:highlight w:val="none"/>
                <w:u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文件另有规定外，竞争性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文件中出现的类似于“近三年”或“前三年”、“近五年”或“前五年”均指递交响应文件时间以前三年或前五年，以此类推。如：递交响应文件时间为  年  月  日，则“近三年”是指  年  月  日至  年  月  日。</w:t>
            </w:r>
          </w:p>
          <w:p w14:paraId="27269E57">
            <w:pPr>
              <w:pStyle w:val="4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文件所称的“以上”、“以下”、“内”、“以内”，包括本数；所称的“不足”，不包括本数。</w:t>
            </w:r>
          </w:p>
        </w:tc>
      </w:tr>
      <w:bookmarkEnd w:id="105"/>
    </w:tbl>
    <w:p w14:paraId="02160EC8">
      <w:pPr>
        <w:rPr>
          <w:color w:val="auto"/>
          <w:highlight w:val="none"/>
        </w:r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7" w:name="_Toc20713"/>
      <w:bookmarkStart w:id="108" w:name="_Toc22256"/>
      <w:r>
        <w:rPr>
          <w:rFonts w:hint="eastAsia" w:eastAsia="宋体" w:asciiTheme="majorHAnsi" w:hAnsiTheme="majorHAnsi" w:cstheme="majorBidi"/>
          <w:b/>
          <w:bCs/>
          <w:color w:val="auto"/>
          <w:kern w:val="2"/>
          <w:sz w:val="28"/>
          <w:szCs w:val="28"/>
          <w:highlight w:val="none"/>
          <w:lang w:val="en-US" w:eastAsia="zh-CN" w:bidi="ar-SA"/>
        </w:rPr>
        <w:t>二、供应商须知</w:t>
      </w:r>
      <w:bookmarkEnd w:id="107"/>
      <w:bookmarkEnd w:id="108"/>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09" w:name="_Toc8053"/>
      <w:bookmarkStart w:id="110" w:name="_Toc109899951"/>
      <w:bookmarkStart w:id="111" w:name="_Toc46771638"/>
      <w:bookmarkStart w:id="112" w:name="_Toc109897433"/>
      <w:bookmarkStart w:id="113" w:name="_Toc109900370"/>
      <w:bookmarkStart w:id="114" w:name="_Toc163493611"/>
      <w:bookmarkStart w:id="115" w:name="_Toc109899532"/>
      <w:bookmarkStart w:id="116" w:name="_Toc470172694"/>
      <w:r>
        <w:rPr>
          <w:rFonts w:hint="eastAsia" w:ascii="宋体" w:hAnsi="宋体" w:eastAsia="宋体" w:cs="宋体"/>
          <w:b/>
          <w:bCs/>
          <w:color w:val="auto"/>
          <w:kern w:val="2"/>
          <w:sz w:val="24"/>
          <w:szCs w:val="24"/>
          <w:highlight w:val="none"/>
          <w:lang w:val="en-US" w:eastAsia="zh-CN" w:bidi="ar-SA"/>
        </w:rPr>
        <w:t>（一）总则</w:t>
      </w:r>
      <w:bookmarkEnd w:id="109"/>
      <w:bookmarkEnd w:id="110"/>
      <w:bookmarkEnd w:id="111"/>
      <w:bookmarkEnd w:id="112"/>
      <w:bookmarkEnd w:id="113"/>
      <w:bookmarkEnd w:id="114"/>
      <w:bookmarkEnd w:id="115"/>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17" w:name="_Toc109900371"/>
      <w:bookmarkStart w:id="118" w:name="_Toc27243"/>
      <w:bookmarkStart w:id="119" w:name="_Toc470172664"/>
      <w:bookmarkStart w:id="120" w:name="_Toc48688788"/>
      <w:bookmarkStart w:id="121" w:name="_Toc109899952"/>
      <w:bookmarkStart w:id="122" w:name="_Toc109899533"/>
      <w:bookmarkStart w:id="123" w:name="_Toc46772240"/>
      <w:bookmarkStart w:id="124" w:name="_Toc48846108"/>
      <w:bookmarkStart w:id="125" w:name="_Toc109897434"/>
      <w:bookmarkStart w:id="126" w:name="_Toc52962726"/>
      <w:bookmarkStart w:id="127" w:name="_Toc51674210"/>
      <w:bookmarkStart w:id="128" w:name="_Toc46771639"/>
      <w:bookmarkStart w:id="129" w:name="_Toc52960552"/>
      <w:r>
        <w:rPr>
          <w:rFonts w:hint="eastAsia" w:ascii="宋体" w:hAnsi="宋体" w:eastAsia="宋体" w:cs="宋体"/>
          <w:b/>
          <w:bCs/>
          <w:color w:val="auto"/>
          <w:kern w:val="2"/>
          <w:sz w:val="24"/>
          <w:szCs w:val="24"/>
          <w:highlight w:val="none"/>
          <w:lang w:val="en-US" w:eastAsia="zh-CN" w:bidi="ar-SA"/>
        </w:rPr>
        <w:t>1.适用范围</w:t>
      </w:r>
      <w:bookmarkEnd w:id="117"/>
      <w:bookmarkEnd w:id="118"/>
      <w:bookmarkEnd w:id="119"/>
      <w:bookmarkEnd w:id="120"/>
      <w:bookmarkEnd w:id="121"/>
      <w:bookmarkEnd w:id="122"/>
      <w:bookmarkEnd w:id="123"/>
      <w:bookmarkEnd w:id="124"/>
      <w:bookmarkEnd w:id="125"/>
      <w:bookmarkEnd w:id="126"/>
      <w:bookmarkEnd w:id="127"/>
      <w:bookmarkEnd w:id="128"/>
      <w:bookmarkEnd w:id="129"/>
    </w:p>
    <w:p w14:paraId="3FAC17D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1.1本竞争性</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文件（也称</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文件或采购文件）仅适用于本次竞争性</w:t>
      </w:r>
      <w:r>
        <w:rPr>
          <w:rFonts w:hint="eastAsia" w:cs="宋体"/>
          <w:snapToGrid w:val="0"/>
          <w:color w:val="auto"/>
          <w:sz w:val="24"/>
          <w:szCs w:val="24"/>
          <w:highlight w:val="none"/>
          <w:lang w:val="en-US" w:eastAsia="zh-CN"/>
        </w:rPr>
        <w:t>谈判</w:t>
      </w:r>
      <w:r>
        <w:rPr>
          <w:rFonts w:hint="eastAsia" w:ascii="宋体" w:hAnsi="宋体" w:eastAsia="宋体" w:cs="宋体"/>
          <w:snapToGrid w:val="0"/>
          <w:color w:val="auto"/>
          <w:sz w:val="24"/>
          <w:szCs w:val="24"/>
          <w:highlight w:val="none"/>
        </w:rPr>
        <w:t>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0" w:name="_Toc163492824"/>
      <w:r>
        <w:rPr>
          <w:rFonts w:hint="eastAsia" w:ascii="宋体" w:hAnsi="宋体" w:eastAsia="宋体" w:cs="宋体"/>
          <w:b/>
          <w:bCs/>
          <w:color w:val="auto"/>
          <w:kern w:val="2"/>
          <w:sz w:val="24"/>
          <w:szCs w:val="24"/>
          <w:highlight w:val="none"/>
          <w:lang w:val="en-US" w:eastAsia="zh-CN" w:bidi="ar-SA"/>
        </w:rPr>
        <w:t>2.基本定义</w:t>
      </w:r>
      <w:bookmarkEnd w:id="130"/>
    </w:p>
    <w:p w14:paraId="768D70C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p>
    <w:p w14:paraId="342EC44E">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2.5核心产品见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57BF3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2.6是否属于</w:t>
      </w:r>
      <w:r>
        <w:rPr>
          <w:rFonts w:hint="eastAsia" w:ascii="宋体" w:hAnsi="宋体" w:eastAsia="宋体" w:cs="宋体"/>
          <w:color w:val="auto"/>
          <w:kern w:val="0"/>
          <w:sz w:val="24"/>
          <w:szCs w:val="24"/>
          <w:highlight w:val="none"/>
          <w:lang w:val="en-US" w:eastAsia="zh-CN" w:bidi="ar"/>
        </w:rPr>
        <w:t>科研仪器设备采购</w:t>
      </w:r>
      <w:r>
        <w:rPr>
          <w:rFonts w:hint="eastAsia" w:ascii="宋体" w:hAnsi="宋体" w:eastAsia="宋体" w:cs="宋体"/>
          <w:color w:val="auto"/>
          <w:sz w:val="24"/>
          <w:szCs w:val="24"/>
          <w:highlight w:val="none"/>
          <w:lang w:val="en-US" w:eastAsia="zh-CN"/>
        </w:rPr>
        <w:t>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E6A6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2.7供应商（也称“申请人”）：指向采购人提供货物、工程或者服务的法人、其他组织或者自然人。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须满足以下条件：</w:t>
      </w:r>
    </w:p>
    <w:p w14:paraId="211E91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具备《中华人民共和国政府采购法》第二十二条规定的</w:t>
      </w:r>
      <w:r>
        <w:rPr>
          <w:rFonts w:hint="eastAsia" w:ascii="宋体" w:hAnsi="宋体" w:eastAsia="宋体" w:cs="宋体"/>
          <w:color w:val="auto"/>
          <w:sz w:val="24"/>
          <w:szCs w:val="24"/>
          <w:highlight w:val="none"/>
          <w:lang w:val="en-US" w:eastAsia="zh-CN"/>
        </w:rPr>
        <w:t>条件</w:t>
      </w:r>
      <w:r>
        <w:rPr>
          <w:rFonts w:hint="eastAsia" w:ascii="宋体" w:hAnsi="宋体" w:eastAsia="宋体" w:cs="宋体"/>
          <w:color w:val="auto"/>
          <w:sz w:val="24"/>
          <w:szCs w:val="24"/>
          <w:highlight w:val="none"/>
        </w:rPr>
        <w:t>，遵守本项目采购人本级和上级财政部门政府采购的有关规定。</w:t>
      </w:r>
    </w:p>
    <w:p w14:paraId="323DC0B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公告中发布</w:t>
      </w:r>
      <w:r>
        <w:rPr>
          <w:rFonts w:hint="eastAsia" w:ascii="宋体" w:hAnsi="宋体" w:eastAsia="宋体" w:cs="宋体"/>
          <w:color w:val="auto"/>
          <w:sz w:val="24"/>
          <w:szCs w:val="24"/>
          <w:highlight w:val="none"/>
        </w:rPr>
        <w:t>的方式</w:t>
      </w:r>
      <w:r>
        <w:rPr>
          <w:rFonts w:hint="eastAsia" w:ascii="宋体" w:hAnsi="宋体" w:eastAsia="宋体" w:cs="宋体"/>
          <w:color w:val="auto"/>
          <w:sz w:val="24"/>
          <w:szCs w:val="24"/>
          <w:highlight w:val="none"/>
          <w:lang w:eastAsia="zh-CN"/>
        </w:rPr>
        <w:t>依法</w:t>
      </w:r>
      <w:r>
        <w:rPr>
          <w:rFonts w:hint="eastAsia" w:ascii="宋体" w:hAnsi="宋体" w:eastAsia="宋体" w:cs="宋体"/>
          <w:color w:val="auto"/>
          <w:sz w:val="24"/>
          <w:szCs w:val="24"/>
          <w:highlight w:val="none"/>
        </w:rPr>
        <w:t>获得了本项目的</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p>
    <w:p w14:paraId="07B83632">
      <w:pPr>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2.7.3符合本</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文件规定并参加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的供应商。</w:t>
      </w:r>
    </w:p>
    <w:p w14:paraId="3098B7A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iCs/>
          <w:color w:val="auto"/>
          <w:sz w:val="24"/>
          <w:szCs w:val="24"/>
          <w:highlight w:val="none"/>
          <w:shd w:val="clear" w:color="auto" w:fill="FFFFFF" w:themeFill="background1"/>
        </w:rPr>
        <w:t>潜在供应商</w:t>
      </w:r>
      <w:r>
        <w:rPr>
          <w:rFonts w:hint="eastAsia" w:ascii="宋体" w:hAnsi="宋体" w:eastAsia="宋体" w:cs="宋体"/>
          <w:iCs/>
          <w:color w:val="auto"/>
          <w:sz w:val="24"/>
          <w:szCs w:val="24"/>
          <w:highlight w:val="none"/>
          <w:shd w:val="clear" w:color="auto" w:fill="FFFFFF" w:themeFill="background1"/>
          <w:lang w:eastAsia="zh-CN"/>
        </w:rPr>
        <w:t>：</w:t>
      </w:r>
      <w:r>
        <w:rPr>
          <w:rFonts w:hint="eastAsia" w:ascii="宋体" w:hAnsi="宋体" w:eastAsia="宋体" w:cs="宋体"/>
          <w:iCs/>
          <w:color w:val="auto"/>
          <w:sz w:val="24"/>
          <w:szCs w:val="24"/>
          <w:highlight w:val="none"/>
          <w:shd w:val="clear" w:color="auto" w:fill="FFFFFF" w:themeFill="background1"/>
          <w:lang w:val="en-US" w:eastAsia="zh-CN"/>
        </w:rPr>
        <w:t>指</w:t>
      </w:r>
      <w:r>
        <w:rPr>
          <w:rFonts w:hint="eastAsia" w:ascii="宋体" w:hAnsi="宋体" w:eastAsia="宋体" w:cs="宋体"/>
          <w:color w:val="auto"/>
          <w:sz w:val="24"/>
          <w:szCs w:val="24"/>
          <w:highlight w:val="none"/>
          <w:lang w:val="en-US" w:eastAsia="zh-CN"/>
        </w:rPr>
        <w:t>符合本</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文件规定的供应商</w:t>
      </w:r>
      <w:r>
        <w:rPr>
          <w:rFonts w:hint="eastAsia" w:ascii="宋体" w:hAnsi="宋体" w:eastAsia="宋体" w:cs="宋体"/>
          <w:color w:val="auto"/>
          <w:sz w:val="24"/>
          <w:szCs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1" w:name="_Toc109899536"/>
      <w:bookmarkStart w:id="132" w:name="_Toc109899955"/>
      <w:bookmarkStart w:id="133" w:name="_Toc52962729"/>
      <w:bookmarkStart w:id="134" w:name="_Toc48688791"/>
      <w:bookmarkStart w:id="135" w:name="_Toc470172667"/>
      <w:bookmarkStart w:id="136" w:name="_Toc52960555"/>
      <w:bookmarkStart w:id="137" w:name="_Toc9974"/>
      <w:bookmarkStart w:id="138" w:name="_Toc46772243"/>
      <w:bookmarkStart w:id="139" w:name="_Toc109900374"/>
      <w:bookmarkStart w:id="140" w:name="_Toc109897437"/>
      <w:bookmarkStart w:id="141" w:name="_Toc51674213"/>
      <w:bookmarkStart w:id="142" w:name="_Toc46771642"/>
      <w:bookmarkStart w:id="143" w:name="_Toc48846111"/>
      <w:r>
        <w:rPr>
          <w:rFonts w:hint="eastAsia" w:ascii="宋体" w:hAnsi="宋体" w:eastAsia="宋体" w:cs="宋体"/>
          <w:b/>
          <w:bCs/>
          <w:color w:val="auto"/>
          <w:kern w:val="2"/>
          <w:sz w:val="24"/>
          <w:szCs w:val="24"/>
          <w:highlight w:val="none"/>
          <w:lang w:val="en-US" w:eastAsia="zh-CN" w:bidi="ar-SA"/>
        </w:rPr>
        <w:t>3.资金来源</w:t>
      </w:r>
    </w:p>
    <w:p w14:paraId="7E10FE0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3.1资金来源：</w:t>
      </w:r>
      <w:r>
        <w:rPr>
          <w:rFonts w:hint="eastAsia" w:ascii="宋体" w:hAnsi="宋体" w:eastAsia="宋体" w:cs="宋体"/>
          <w:color w:val="auto"/>
          <w:sz w:val="24"/>
          <w:szCs w:val="24"/>
          <w:highlight w:val="none"/>
          <w:lang w:val="en-US" w:eastAsia="zh-CN"/>
        </w:rPr>
        <w:t>为财政性资金即</w:t>
      </w:r>
      <w:r>
        <w:rPr>
          <w:rFonts w:hint="eastAsia" w:ascii="宋体" w:hAnsi="宋体" w:eastAsia="宋体" w:cs="宋体"/>
          <w:color w:val="auto"/>
          <w:sz w:val="24"/>
          <w:szCs w:val="24"/>
          <w:highlight w:val="none"/>
        </w:rPr>
        <w:t>纳入预算管理的资金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522AD9C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3B57853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lang w:val="zh-CN" w:eastAsia="zh-CN"/>
        </w:rPr>
        <w:t>”规定接受联合体</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的，还应遵守以下规定：</w:t>
      </w:r>
    </w:p>
    <w:p w14:paraId="512308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以联合体形式进行政府采购的，参加联合体的供应商均应当具备《政府采购法》第二十二条规定的条件。</w:t>
      </w:r>
    </w:p>
    <w:p w14:paraId="7EFB49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文件提供的格式签订联合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Cs/>
          <w:color w:val="auto"/>
          <w:kern w:val="2"/>
          <w:sz w:val="24"/>
          <w:szCs w:val="24"/>
          <w:highlight w:val="none"/>
          <w:shd w:val="clear" w:color="auto" w:fill="FFFFFF" w:themeFill="background1"/>
          <w:lang w:val="en-US" w:eastAsia="zh-CN" w:bidi="ar-SA"/>
        </w:rPr>
        <w:t>同一合同项下的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，否则相关</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将被认定为</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w:t>
      </w:r>
      <w:r>
        <w:rPr>
          <w:rFonts w:hint="eastAsia" w:ascii="宋体" w:hAnsi="宋体" w:eastAsia="宋体" w:cs="宋体"/>
          <w:b/>
          <w:bCs/>
          <w:iCs/>
          <w:color w:val="auto"/>
          <w:kern w:val="2"/>
          <w:sz w:val="24"/>
          <w:szCs w:val="24"/>
          <w:highlight w:val="none"/>
          <w:shd w:val="clear" w:color="auto" w:fill="FFFFFF" w:themeFill="background1"/>
          <w:lang w:val="zh-CN" w:eastAsia="zh-CN" w:bidi="ar-SA"/>
        </w:rPr>
        <w:t>无效</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2E60D00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成交的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的全部相关规定。</w:t>
      </w:r>
    </w:p>
    <w:p w14:paraId="1C0E489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8</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Cs/>
          <w:color w:val="auto"/>
          <w:kern w:val="2"/>
          <w:sz w:val="24"/>
          <w:szCs w:val="24"/>
          <w:highlight w:val="none"/>
          <w:shd w:val="clear" w:color="auto" w:fill="FFFFFF" w:themeFill="background1"/>
          <w:lang w:val="en-US" w:eastAsia="zh-CN" w:bidi="ar-SA"/>
        </w:rPr>
        <w:t>第一章 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公告</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w:t>
      </w:r>
      <w:bookmarkEnd w:id="131"/>
      <w:bookmarkEnd w:id="132"/>
      <w:bookmarkEnd w:id="133"/>
      <w:bookmarkEnd w:id="134"/>
      <w:bookmarkEnd w:id="135"/>
      <w:bookmarkEnd w:id="136"/>
      <w:bookmarkEnd w:id="137"/>
      <w:bookmarkEnd w:id="138"/>
      <w:bookmarkEnd w:id="139"/>
      <w:bookmarkEnd w:id="140"/>
      <w:bookmarkEnd w:id="141"/>
      <w:bookmarkEnd w:id="142"/>
      <w:bookmarkEnd w:id="143"/>
      <w:r>
        <w:rPr>
          <w:rFonts w:hint="eastAsia" w:ascii="宋体" w:hAnsi="宋体" w:eastAsia="宋体" w:cs="宋体"/>
          <w:b/>
          <w:bCs/>
          <w:color w:val="auto"/>
          <w:kern w:val="2"/>
          <w:sz w:val="24"/>
          <w:szCs w:val="24"/>
          <w:highlight w:val="none"/>
          <w:lang w:val="en-US" w:eastAsia="zh-CN" w:bidi="ar-SA"/>
        </w:rPr>
        <w:t>承担</w:t>
      </w:r>
    </w:p>
    <w:p w14:paraId="3C6741E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5.1</w:t>
      </w:r>
      <w:r>
        <w:rPr>
          <w:rFonts w:hint="eastAsia" w:ascii="宋体" w:hAnsi="宋体" w:eastAsia="宋体" w:cs="宋体"/>
          <w:snapToGrid w:val="0"/>
          <w:color w:val="auto"/>
          <w:sz w:val="24"/>
          <w:szCs w:val="24"/>
          <w:highlight w:val="none"/>
          <w:lang w:val="zh-CN" w:eastAsia="zh-CN"/>
        </w:rPr>
        <w:t>不论</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eastAsia="zh-CN"/>
        </w:rPr>
        <w:t>的结果如何，</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eastAsia="zh-CN"/>
        </w:rPr>
        <w:t>应承担所有与准备和参加</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4" w:name="_Toc161600293"/>
      <w:bookmarkStart w:id="145" w:name="_Toc140132761"/>
      <w:r>
        <w:rPr>
          <w:rFonts w:hint="eastAsia" w:ascii="宋体" w:hAnsi="宋体" w:eastAsia="宋体" w:cs="宋体"/>
          <w:b/>
          <w:bCs/>
          <w:color w:val="auto"/>
          <w:kern w:val="2"/>
          <w:sz w:val="24"/>
          <w:szCs w:val="24"/>
          <w:highlight w:val="none"/>
          <w:lang w:val="en-US" w:eastAsia="zh-CN" w:bidi="ar-SA"/>
        </w:rPr>
        <w:t>6.保密</w:t>
      </w:r>
      <w:bookmarkEnd w:id="144"/>
      <w:bookmarkEnd w:id="145"/>
    </w:p>
    <w:p w14:paraId="1361C43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活动的各方应对竞争</w:t>
      </w:r>
      <w:r>
        <w:rPr>
          <w:rFonts w:hint="eastAsia" w:ascii="宋体" w:hAnsi="宋体" w:eastAsia="宋体" w:cs="宋体"/>
          <w:color w:val="auto"/>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文件和响应文件中的商业和技术等秘密保密，否则应承担相应的法律责任。</w:t>
      </w:r>
    </w:p>
    <w:p w14:paraId="0F8975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 供应商</w:t>
      </w:r>
      <w:r>
        <w:rPr>
          <w:rFonts w:hint="eastAsia" w:ascii="宋体" w:hAnsi="宋体" w:eastAsia="宋体" w:cs="宋体"/>
          <w:color w:val="auto"/>
          <w:kern w:val="2"/>
          <w:sz w:val="24"/>
          <w:szCs w:val="24"/>
          <w:highlight w:val="none"/>
        </w:rPr>
        <w:t>自领取竞争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文件之日起，须承担本竞争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项目保密义务，不得将因本次竞争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获得的信息向第三人外传。由采购人向</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提供的图纸、详细资料、样品、模型、模件和所有其它资料，被视为保密资料，仅被用于它所规定的用途。除非得到采购人的同意，不能向任何第三方透露。竞争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结束后，应采购人要求，</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应归还所有从采购人处获得的保密资料。</w:t>
      </w:r>
    </w:p>
    <w:p w14:paraId="67E49FD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提供的所有资料向有关政府部门或竞争</w:t>
      </w:r>
      <w:r>
        <w:rPr>
          <w:rFonts w:hint="eastAsia" w:ascii="宋体" w:hAnsi="宋体" w:eastAsia="宋体" w:cs="宋体"/>
          <w:color w:val="auto"/>
          <w:kern w:val="2"/>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的有关人员披露。</w:t>
      </w:r>
    </w:p>
    <w:p w14:paraId="232A1AD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6" w:name="_Toc161600294"/>
      <w:bookmarkStart w:id="147" w:name="_Toc140132762"/>
      <w:r>
        <w:rPr>
          <w:rFonts w:hint="eastAsia" w:ascii="宋体" w:hAnsi="宋体" w:eastAsia="宋体" w:cs="宋体"/>
          <w:b/>
          <w:bCs/>
          <w:color w:val="auto"/>
          <w:kern w:val="2"/>
          <w:sz w:val="24"/>
          <w:szCs w:val="24"/>
          <w:highlight w:val="none"/>
          <w:lang w:val="en-US" w:eastAsia="zh-CN" w:bidi="ar-SA"/>
        </w:rPr>
        <w:t>7.语言文字</w:t>
      </w:r>
      <w:bookmarkEnd w:id="146"/>
      <w:bookmarkEnd w:id="147"/>
    </w:p>
    <w:p w14:paraId="3121AAF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7.1竞争</w:t>
      </w:r>
      <w:r>
        <w:rPr>
          <w:rFonts w:hint="eastAsia" w:ascii="宋体" w:hAnsi="宋体" w:eastAsia="宋体" w:cs="宋体"/>
          <w:color w:val="auto"/>
          <w:sz w:val="24"/>
          <w:szCs w:val="24"/>
          <w:highlight w:val="none"/>
          <w:lang w:val="en-US" w:eastAsia="zh-CN"/>
        </w:rPr>
        <w:t>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文件及响应</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48" w:name="_Toc161600295"/>
      <w:bookmarkStart w:id="149" w:name="_Toc140132763"/>
      <w:r>
        <w:rPr>
          <w:rFonts w:hint="eastAsia" w:ascii="宋体" w:hAnsi="宋体" w:eastAsia="宋体" w:cs="宋体"/>
          <w:b/>
          <w:bCs/>
          <w:color w:val="auto"/>
          <w:kern w:val="2"/>
          <w:sz w:val="24"/>
          <w:szCs w:val="24"/>
          <w:highlight w:val="none"/>
          <w:lang w:val="en-US" w:eastAsia="zh-CN" w:bidi="ar-SA"/>
        </w:rPr>
        <w:t>8.计量单位</w:t>
      </w:r>
      <w:bookmarkEnd w:id="148"/>
      <w:bookmarkEnd w:id="149"/>
    </w:p>
    <w:p w14:paraId="0DC441D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0" w:name="_Toc140132764"/>
      <w:bookmarkStart w:id="151" w:name="_Toc161600296"/>
      <w:r>
        <w:rPr>
          <w:rFonts w:hint="eastAsia" w:ascii="宋体" w:hAnsi="宋体" w:eastAsia="宋体" w:cs="宋体"/>
          <w:b/>
          <w:bCs/>
          <w:color w:val="auto"/>
          <w:kern w:val="2"/>
          <w:sz w:val="24"/>
          <w:szCs w:val="24"/>
          <w:highlight w:val="none"/>
          <w:lang w:val="en-US" w:eastAsia="zh-CN" w:bidi="ar-SA"/>
        </w:rPr>
        <w:t>9.现场考察和答疑会</w:t>
      </w:r>
      <w:bookmarkEnd w:id="150"/>
      <w:bookmarkEnd w:id="151"/>
    </w:p>
    <w:p w14:paraId="70E7733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152" w:name="_Hlk143529198"/>
      <w:r>
        <w:rPr>
          <w:rFonts w:hint="eastAsia" w:ascii="宋体" w:hAnsi="宋体" w:eastAsia="宋体" w:cs="宋体"/>
          <w:color w:val="auto"/>
          <w:sz w:val="24"/>
          <w:szCs w:val="24"/>
          <w:highlight w:val="none"/>
        </w:rPr>
        <w:t xml:space="preserve">9.1 “供应商须知前附表”规定组织现场考察的，采购代理机构按“供应商须知前附表”规定的时间、地点组织供应商项目现场考察。 </w:t>
      </w:r>
    </w:p>
    <w:p w14:paraId="473C15D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供应商现场考察发生的费用自理。</w:t>
      </w:r>
    </w:p>
    <w:p w14:paraId="417B1E0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在现场考察中，因供应商自身原因发生的人员伤亡和财产损失，由供应商自行负责。</w:t>
      </w:r>
    </w:p>
    <w:p w14:paraId="2BF7B5CD">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由于未参加现场考察或未参加答疑会而导致对项目实际情况不了解，影响响应文件编制、</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报价准确性、综合因素响应不全面等问题的，由供应商自行承担不利评审后果。</w:t>
      </w:r>
    </w:p>
    <w:bookmarkEnd w:id="152"/>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3" w:name="_Toc161600298"/>
      <w:bookmarkStart w:id="154" w:name="_Toc155185858"/>
      <w:r>
        <w:rPr>
          <w:rFonts w:hint="eastAsia" w:ascii="宋体" w:hAnsi="宋体" w:eastAsia="宋体" w:cs="宋体"/>
          <w:b/>
          <w:bCs/>
          <w:color w:val="auto"/>
          <w:kern w:val="2"/>
          <w:sz w:val="24"/>
          <w:szCs w:val="24"/>
          <w:highlight w:val="none"/>
          <w:lang w:val="en-US" w:eastAsia="zh-CN" w:bidi="ar-SA"/>
        </w:rPr>
        <w:t>10.电子标说明</w:t>
      </w:r>
      <w:bookmarkEnd w:id="153"/>
      <w:bookmarkEnd w:id="154"/>
    </w:p>
    <w:p w14:paraId="111A15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本次采购采用电子交易方式，电子交易平台为兵团政府采购电子交易云平台（网址：https://www.zcygov.cn/）。供应商参与本项目电子交易活动前，</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投标客户端。因未办理CA数字证书、CA证书故障、操作不当等原因造成无法</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或</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失败等后果由供应商自行承担。供应商登录兵团政府采购网“供应商注册”—“新疆生产建设兵团政府采购供应商入驻登记”—“立即登记”进行自助注册绑定。</w:t>
      </w:r>
    </w:p>
    <w:p w14:paraId="18ECC26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供应商将兵团政府采购电子交易云平台电子交易客户端下载、安装完成后，可通过账号密码或CA登录客户端进行响应文件制作。在使用政采云投标客户端时，建议使用WIN7及以上操作系统。供应商登录兵团政府采购网“下载专区”—“电子招投标客户端下载”下载相关客户端，如有问题可拨打政采云客户服务热线95763进行咨询。</w:t>
      </w:r>
    </w:p>
    <w:p w14:paraId="1E16A3EF">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53B2896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 供应商在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前须提前配置好电脑及浏览器，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时请使用制作加密电子响应文件的CA锁进行解密及报价确认。本项目响应文件解密时间详“供应商须知前附表”，如因自身原因导致无法正常解密，后果由供应商自行承担。</w:t>
      </w:r>
    </w:p>
    <w:p w14:paraId="469768F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 如遇“兵团政府采购电子交易云平台（网址：https://www.zcygov.cn/）”电子交易规则调整，以最新要求为准。</w:t>
      </w:r>
    </w:p>
    <w:p w14:paraId="08AA0ABB">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电子交易系统咨询：供应商应当充分考虑到电子响应可能会发生的各种问题和风险，特别是响应文件签署、提交等问题，可按照“第一章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公告”的联系方式咨询相关人员。</w:t>
      </w:r>
    </w:p>
    <w:p w14:paraId="39CA103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由于本项目采用电子</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方式，潜在供应商的名单将在递交响应文件截止时间后才会解密。因此，采购人或采购代理机构无法通过传统的传真或邮件方式，将竞争性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文件的澄清或修改内容逐一通知到每位已获取竞争性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55" w:name="_Toc109900375"/>
      <w:bookmarkStart w:id="156" w:name="_Toc470172668"/>
      <w:bookmarkStart w:id="157" w:name="_Toc46771643"/>
      <w:bookmarkStart w:id="158" w:name="_Toc1455"/>
      <w:bookmarkStart w:id="159" w:name="_Toc109899537"/>
      <w:bookmarkStart w:id="160" w:name="_Toc109897438"/>
      <w:bookmarkStart w:id="161" w:name="_Toc109899956"/>
      <w:bookmarkStart w:id="162" w:name="_Toc163493612"/>
      <w:r>
        <w:rPr>
          <w:rFonts w:hint="eastAsia" w:ascii="宋体" w:hAnsi="宋体" w:eastAsia="宋体" w:cs="宋体"/>
          <w:b/>
          <w:bCs/>
          <w:color w:val="auto"/>
          <w:kern w:val="2"/>
          <w:sz w:val="24"/>
          <w:szCs w:val="24"/>
          <w:highlight w:val="none"/>
          <w:lang w:val="en-US" w:eastAsia="zh-CN" w:bidi="ar-SA"/>
        </w:rPr>
        <w:t>（二）谈判文件</w:t>
      </w:r>
      <w:bookmarkEnd w:id="155"/>
      <w:bookmarkEnd w:id="156"/>
      <w:bookmarkEnd w:id="157"/>
      <w:bookmarkEnd w:id="158"/>
      <w:bookmarkEnd w:id="159"/>
      <w:bookmarkEnd w:id="160"/>
      <w:bookmarkEnd w:id="161"/>
      <w:bookmarkEnd w:id="162"/>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3" w:name="_Toc46772245"/>
      <w:bookmarkStart w:id="164" w:name="_Toc48846113"/>
      <w:bookmarkStart w:id="165" w:name="_Toc109897439"/>
      <w:bookmarkStart w:id="166" w:name="_Toc109899538"/>
      <w:bookmarkStart w:id="167" w:name="_Toc109899957"/>
      <w:bookmarkStart w:id="168" w:name="_Toc109900376"/>
      <w:bookmarkStart w:id="169" w:name="_Toc4547"/>
      <w:bookmarkStart w:id="170" w:name="_Toc51674215"/>
      <w:bookmarkStart w:id="171" w:name="_Toc46771644"/>
      <w:bookmarkStart w:id="172" w:name="_Toc470172669"/>
      <w:bookmarkStart w:id="173" w:name="_Toc52960557"/>
      <w:bookmarkStart w:id="174" w:name="_Toc52962731"/>
      <w:bookmarkStart w:id="175" w:name="_Toc48688793"/>
      <w:r>
        <w:rPr>
          <w:rFonts w:hint="eastAsia" w:ascii="宋体" w:hAnsi="宋体" w:eastAsia="宋体" w:cs="宋体"/>
          <w:b/>
          <w:bCs/>
          <w:color w:val="auto"/>
          <w:kern w:val="2"/>
          <w:sz w:val="24"/>
          <w:szCs w:val="24"/>
          <w:highlight w:val="none"/>
          <w:lang w:val="en-US" w:eastAsia="zh-CN" w:bidi="ar-SA"/>
        </w:rPr>
        <w:t>11.谈判文件的构成</w:t>
      </w:r>
      <w:bookmarkEnd w:id="163"/>
      <w:bookmarkEnd w:id="164"/>
      <w:bookmarkEnd w:id="165"/>
      <w:bookmarkEnd w:id="166"/>
      <w:bookmarkEnd w:id="167"/>
      <w:bookmarkEnd w:id="168"/>
      <w:bookmarkEnd w:id="169"/>
      <w:bookmarkEnd w:id="170"/>
      <w:bookmarkEnd w:id="171"/>
      <w:bookmarkEnd w:id="172"/>
      <w:bookmarkEnd w:id="173"/>
      <w:bookmarkEnd w:id="174"/>
      <w:bookmarkEnd w:id="175"/>
    </w:p>
    <w:p w14:paraId="54909DE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lang w:eastAsia="zh-CN"/>
        </w:rPr>
      </w:pPr>
      <w:bookmarkStart w:id="176" w:name="_Toc52962732"/>
      <w:bookmarkStart w:id="177" w:name="_Toc48846114"/>
      <w:bookmarkStart w:id="178" w:name="_Toc52960558"/>
      <w:bookmarkStart w:id="179" w:name="_Toc48688794"/>
      <w:bookmarkStart w:id="180" w:name="_Toc51674216"/>
      <w:bookmarkStart w:id="181" w:name="_Toc109899539"/>
      <w:bookmarkStart w:id="182" w:name="_Toc478415174"/>
      <w:bookmarkStart w:id="183" w:name="_Toc109897440"/>
      <w:bookmarkStart w:id="184" w:name="_Toc109899958"/>
      <w:bookmarkStart w:id="185" w:name="_Toc46771645"/>
      <w:bookmarkStart w:id="186" w:name="_Toc46772246"/>
      <w:bookmarkStart w:id="187" w:name="_Toc109900377"/>
      <w:r>
        <w:rPr>
          <w:rFonts w:hint="eastAsia" w:ascii="宋体" w:hAnsi="宋体" w:eastAsia="宋体" w:cs="宋体"/>
          <w:color w:val="auto"/>
          <w:sz w:val="24"/>
          <w:szCs w:val="24"/>
          <w:highlight w:val="none"/>
        </w:rPr>
        <w:t>第一章 竞争性</w:t>
      </w:r>
      <w:r>
        <w:rPr>
          <w:rFonts w:hint="eastAsia" w:ascii="宋体" w:hAnsi="宋体" w:eastAsia="宋体" w:cs="宋体"/>
          <w:color w:val="auto"/>
          <w:sz w:val="24"/>
          <w:szCs w:val="24"/>
          <w:highlight w:val="none"/>
          <w:lang w:val="en-US" w:eastAsia="zh-CN"/>
        </w:rPr>
        <w:t>谈判公告</w:t>
      </w:r>
    </w:p>
    <w:p w14:paraId="7147E8B4">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1D89D7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w:t>
      </w:r>
    </w:p>
    <w:p w14:paraId="6D7BF4E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47AC85E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合同草案</w:t>
      </w:r>
    </w:p>
    <w:p w14:paraId="5706B4C2">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12.谈判文件的澄清或修改</w:t>
      </w:r>
      <w:bookmarkEnd w:id="176"/>
      <w:bookmarkEnd w:id="177"/>
      <w:bookmarkEnd w:id="178"/>
      <w:bookmarkEnd w:id="179"/>
      <w:bookmarkEnd w:id="180"/>
      <w:bookmarkEnd w:id="181"/>
      <w:bookmarkEnd w:id="182"/>
      <w:bookmarkEnd w:id="183"/>
      <w:bookmarkEnd w:id="184"/>
      <w:bookmarkEnd w:id="185"/>
      <w:bookmarkEnd w:id="186"/>
      <w:bookmarkEnd w:id="187"/>
    </w:p>
    <w:p w14:paraId="2E6BAA48">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1供应商</w:t>
      </w:r>
      <w:r>
        <w:rPr>
          <w:rFonts w:eastAsia="宋体" w:cs="仿宋_GB2312"/>
          <w:color w:val="auto"/>
          <w:sz w:val="24"/>
          <w:szCs w:val="24"/>
          <w:highlight w:val="none"/>
        </w:rPr>
        <w:t>如对</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内容有疑问，须在</w:t>
      </w:r>
      <w:r>
        <w:rPr>
          <w:rFonts w:hint="eastAsia" w:cs="仿宋_GB2312"/>
          <w:color w:val="auto"/>
          <w:sz w:val="24"/>
          <w:szCs w:val="24"/>
          <w:highlight w:val="none"/>
          <w:lang w:eastAsia="zh-CN"/>
        </w:rPr>
        <w:t>“</w:t>
      </w:r>
      <w:r>
        <w:rPr>
          <w:rFonts w:hint="eastAsia" w:eastAsia="宋体" w:cs="仿宋_GB2312"/>
          <w:color w:val="auto"/>
          <w:sz w:val="24"/>
          <w:szCs w:val="24"/>
          <w:highlight w:val="none"/>
        </w:rPr>
        <w:t>供应商</w:t>
      </w:r>
      <w:r>
        <w:rPr>
          <w:rFonts w:eastAsia="宋体" w:cs="仿宋_GB2312"/>
          <w:color w:val="auto"/>
          <w:sz w:val="24"/>
          <w:szCs w:val="24"/>
          <w:highlight w:val="none"/>
        </w:rPr>
        <w:t>须知前附表</w:t>
      </w:r>
      <w:r>
        <w:rPr>
          <w:rFonts w:hint="eastAsia" w:cs="仿宋_GB2312"/>
          <w:color w:val="auto"/>
          <w:sz w:val="24"/>
          <w:szCs w:val="24"/>
          <w:highlight w:val="none"/>
          <w:lang w:eastAsia="zh-CN"/>
        </w:rPr>
        <w:t>”</w:t>
      </w:r>
      <w:r>
        <w:rPr>
          <w:rFonts w:eastAsia="宋体" w:cs="仿宋_GB2312"/>
          <w:color w:val="auto"/>
          <w:sz w:val="24"/>
          <w:szCs w:val="24"/>
          <w:highlight w:val="none"/>
        </w:rPr>
        <w:t>规定的</w:t>
      </w:r>
      <w:r>
        <w:rPr>
          <w:rFonts w:hint="eastAsia" w:eastAsia="宋体" w:cs="仿宋_GB2312"/>
          <w:color w:val="auto"/>
          <w:sz w:val="24"/>
          <w:szCs w:val="24"/>
          <w:highlight w:val="none"/>
        </w:rPr>
        <w:t>询问</w:t>
      </w:r>
      <w:r>
        <w:rPr>
          <w:rFonts w:hint="eastAsia" w:cs="仿宋_GB2312"/>
          <w:color w:val="auto"/>
          <w:sz w:val="24"/>
          <w:szCs w:val="24"/>
          <w:highlight w:val="none"/>
          <w:lang w:val="en-US" w:eastAsia="zh-CN"/>
        </w:rPr>
        <w:t>方式和</w:t>
      </w:r>
      <w:r>
        <w:rPr>
          <w:rFonts w:eastAsia="宋体" w:cs="仿宋_GB2312"/>
          <w:color w:val="auto"/>
          <w:sz w:val="24"/>
          <w:szCs w:val="24"/>
          <w:highlight w:val="none"/>
        </w:rPr>
        <w:t>时间提交给</w:t>
      </w:r>
      <w:r>
        <w:rPr>
          <w:rFonts w:hint="eastAsia" w:cs="仿宋_GB2312"/>
          <w:color w:val="auto"/>
          <w:sz w:val="24"/>
          <w:szCs w:val="24"/>
          <w:highlight w:val="none"/>
          <w:lang w:val="en-US" w:eastAsia="zh-CN"/>
        </w:rPr>
        <w:t>采购人或</w:t>
      </w:r>
      <w:r>
        <w:rPr>
          <w:rFonts w:eastAsia="宋体" w:cs="仿宋_GB2312"/>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eastAsia="宋体" w:cs="仿宋_GB2312"/>
          <w:color w:val="auto"/>
          <w:sz w:val="24"/>
          <w:szCs w:val="24"/>
          <w:highlight w:val="none"/>
        </w:rPr>
        <w:t>供应商提出的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eastAsia="宋体" w:cs="仿宋_GB2312"/>
          <w:color w:val="auto"/>
          <w:sz w:val="24"/>
          <w:szCs w:val="24"/>
          <w:highlight w:val="none"/>
        </w:rPr>
        <w:t>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w:t>
      </w:r>
      <w:r>
        <w:rPr>
          <w:rFonts w:eastAsia="宋体" w:cs="仿宋_GB2312"/>
          <w:color w:val="auto"/>
          <w:sz w:val="24"/>
          <w:szCs w:val="24"/>
          <w:highlight w:val="none"/>
        </w:rPr>
        <w:t>组成部分，对</w:t>
      </w:r>
      <w:r>
        <w:rPr>
          <w:rFonts w:hint="eastAsia" w:eastAsia="宋体" w:cs="仿宋_GB2312"/>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。供应商应主动上网查询。采购代理机构不承担供应商未及时关注相关信息引发的相关责任。</w:t>
      </w:r>
    </w:p>
    <w:p w14:paraId="3418D08E">
      <w:pPr>
        <w:keepNext w:val="0"/>
        <w:keepLines w:val="0"/>
        <w:pageBreakBefore w:val="0"/>
        <w:widowControl w:val="0"/>
        <w:kinsoku/>
        <w:overflowPunct/>
        <w:topLinePunct w:val="0"/>
        <w:autoSpaceDE/>
        <w:autoSpaceDN/>
        <w:bidi w:val="0"/>
        <w:adjustRightInd/>
        <w:ind w:firstLine="480" w:firstLineChars="200"/>
        <w:textAlignment w:val="auto"/>
        <w:rPr>
          <w:rFonts w:hint="eastAsia" w:cs="仿宋_GB2312"/>
          <w:color w:val="auto"/>
          <w:sz w:val="24"/>
          <w:szCs w:val="24"/>
          <w:highlight w:val="none"/>
          <w:lang w:val="en-US" w:eastAsia="zh-CN"/>
        </w:rPr>
      </w:pPr>
      <w:r>
        <w:rPr>
          <w:rFonts w:hint="eastAsia" w:cs="仿宋_GB2312"/>
          <w:color w:val="auto"/>
          <w:sz w:val="24"/>
          <w:szCs w:val="24"/>
          <w:highlight w:val="none"/>
          <w:lang w:val="en-US" w:eastAsia="zh-CN"/>
        </w:rPr>
        <w:t xml:space="preserve">12.3 </w:t>
      </w:r>
      <w:r>
        <w:rPr>
          <w:rFonts w:hint="eastAsia" w:cs="仿宋_GB2312"/>
          <w:color w:val="auto"/>
          <w:sz w:val="24"/>
          <w:szCs w:val="24"/>
          <w:highlight w:val="none"/>
          <w:lang w:val="zh-CN" w:eastAsia="zh-CN"/>
        </w:rPr>
        <w:t>对</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文件澄清或者修改的内容可能影响响应文件编制的，采购人、采购代理机构或者</w:t>
      </w:r>
      <w:r>
        <w:rPr>
          <w:rFonts w:hint="eastAsia" w:cs="仿宋_GB2312"/>
          <w:color w:val="auto"/>
          <w:sz w:val="24"/>
          <w:szCs w:val="24"/>
          <w:highlight w:val="none"/>
          <w:lang w:val="en-US" w:eastAsia="zh-CN"/>
        </w:rPr>
        <w:t>谈判</w:t>
      </w:r>
      <w:r>
        <w:rPr>
          <w:rFonts w:hint="eastAsia" w:cs="仿宋_GB2312"/>
          <w:color w:val="auto"/>
          <w:sz w:val="24"/>
          <w:szCs w:val="24"/>
          <w:highlight w:val="none"/>
          <w:lang w:val="zh-CN" w:eastAsia="zh-CN"/>
        </w:rPr>
        <w:t>小组应当在提交首次响应文件截止之日</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日前，以书面形式通知所有接收</w:t>
      </w:r>
      <w:r>
        <w:rPr>
          <w:rFonts w:hint="eastAsia" w:cs="仿宋_GB2312"/>
          <w:color w:val="auto"/>
          <w:sz w:val="24"/>
          <w:szCs w:val="24"/>
          <w:highlight w:val="none"/>
          <w:lang w:val="en-US" w:eastAsia="zh-CN"/>
        </w:rPr>
        <w:t>竞争性谈判</w:t>
      </w:r>
      <w:r>
        <w:rPr>
          <w:rFonts w:hint="eastAsia" w:cs="仿宋_GB2312"/>
          <w:color w:val="auto"/>
          <w:sz w:val="24"/>
          <w:szCs w:val="24"/>
          <w:highlight w:val="none"/>
          <w:lang w:val="zh-CN" w:eastAsia="zh-CN"/>
        </w:rPr>
        <w:t>文件的供应商，不足</w:t>
      </w:r>
      <w:r>
        <w:rPr>
          <w:rFonts w:hint="eastAsia" w:cs="仿宋_GB2312"/>
          <w:color w:val="auto"/>
          <w:sz w:val="24"/>
          <w:szCs w:val="24"/>
          <w:highlight w:val="none"/>
          <w:lang w:val="en-US" w:eastAsia="zh-CN"/>
        </w:rPr>
        <w:t>3个工作</w:t>
      </w:r>
      <w:r>
        <w:rPr>
          <w:rFonts w:hint="eastAsia" w:cs="仿宋_GB2312"/>
          <w:color w:val="auto"/>
          <w:sz w:val="24"/>
          <w:szCs w:val="24"/>
          <w:highlight w:val="none"/>
          <w:lang w:val="zh-CN" w:eastAsia="zh-CN"/>
        </w:rPr>
        <w:t>日的，应当顺延提交首次响应文件</w:t>
      </w:r>
      <w:r>
        <w:rPr>
          <w:rFonts w:hint="eastAsia" w:cs="仿宋_GB2312"/>
          <w:color w:val="auto"/>
          <w:sz w:val="24"/>
          <w:szCs w:val="24"/>
          <w:highlight w:val="none"/>
          <w:lang w:val="en-US" w:eastAsia="zh-CN"/>
        </w:rPr>
        <w:t>的</w:t>
      </w:r>
      <w:r>
        <w:rPr>
          <w:rFonts w:hint="eastAsia" w:cs="仿宋_GB2312"/>
          <w:color w:val="auto"/>
          <w:sz w:val="24"/>
          <w:szCs w:val="24"/>
          <w:highlight w:val="none"/>
          <w:lang w:val="zh-CN" w:eastAsia="zh-CN"/>
        </w:rPr>
        <w:t>截止时间</w:t>
      </w:r>
      <w:r>
        <w:rPr>
          <w:rFonts w:hint="eastAsia" w:cs="仿宋_GB2312"/>
          <w:color w:val="auto"/>
          <w:sz w:val="24"/>
          <w:szCs w:val="24"/>
          <w:highlight w:val="none"/>
          <w:lang w:val="en-US" w:eastAsia="zh-CN"/>
        </w:rPr>
        <w:t>。</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提供的任何书面或口头资料，未经采购代理机构在网上发布或书面通知，均作无效处理，不得作为竞争性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文件的组成部分。采购代理机构对</w:t>
      </w:r>
      <w:r>
        <w:rPr>
          <w:rFonts w:hint="eastAsia" w:cs="仿宋_GB2312"/>
          <w:color w:val="auto"/>
          <w:sz w:val="24"/>
          <w:szCs w:val="24"/>
          <w:highlight w:val="none"/>
          <w:lang w:val="en-US" w:eastAsia="zh-CN"/>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谈判</w:t>
      </w:r>
      <w:r>
        <w:rPr>
          <w:rFonts w:eastAsia="宋体" w:cs="仿宋_GB2312"/>
          <w:color w:val="auto"/>
          <w:sz w:val="24"/>
          <w:szCs w:val="24"/>
          <w:highlight w:val="none"/>
        </w:rPr>
        <w:t>的</w:t>
      </w:r>
      <w:r>
        <w:rPr>
          <w:rFonts w:hint="eastAsia" w:eastAsia="宋体" w:cs="仿宋_GB2312"/>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本竞争性</w:t>
      </w:r>
      <w:r>
        <w:rPr>
          <w:rFonts w:hint="eastAsia" w:cs="仿宋_GB2312"/>
          <w:color w:val="auto"/>
          <w:sz w:val="24"/>
          <w:szCs w:val="24"/>
          <w:highlight w:val="none"/>
          <w:lang w:val="en-US" w:eastAsia="zh-CN"/>
        </w:rPr>
        <w:t>谈判</w:t>
      </w:r>
      <w:r>
        <w:rPr>
          <w:rFonts w:hint="eastAsia" w:eastAsia="宋体" w:cs="仿宋_GB2312"/>
          <w:color w:val="auto"/>
          <w:sz w:val="24"/>
          <w:szCs w:val="24"/>
          <w:highlight w:val="none"/>
        </w:rPr>
        <w:t>文件</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3"/>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eastAsia="宋体" w:cs="仿宋_GB2312"/>
          <w:color w:val="auto"/>
          <w:sz w:val="24"/>
          <w:szCs w:val="24"/>
          <w:highlight w:val="none"/>
        </w:rPr>
        <w:t>供应商须知”所称“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571CE514">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当竞争性</w:t>
      </w:r>
      <w:r>
        <w:rPr>
          <w:rFonts w:hint="eastAsia" w:cs="仿宋_GB2312"/>
          <w:color w:val="auto"/>
          <w:sz w:val="24"/>
          <w:szCs w:val="24"/>
          <w:highlight w:val="none"/>
          <w:lang w:val="en-US" w:eastAsia="zh-CN"/>
        </w:rPr>
        <w:t>谈判</w:t>
      </w:r>
      <w:r>
        <w:rPr>
          <w:rFonts w:hint="eastAsia" w:ascii="宋体" w:hAnsi="宋体" w:eastAsia="宋体" w:cs="宋体"/>
          <w:color w:val="auto"/>
          <w:kern w:val="2"/>
          <w:sz w:val="24"/>
          <w:szCs w:val="22"/>
          <w:highlight w:val="none"/>
        </w:rPr>
        <w:t>文件的澄清、修改及其他答复等就同一内容的表述不一致时，以最后发布的内容为准。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8" w:name="_Toc46771647"/>
      <w:bookmarkStart w:id="189" w:name="_Toc163493613"/>
      <w:bookmarkStart w:id="190" w:name="_Toc109900379"/>
      <w:bookmarkStart w:id="191" w:name="_Toc109899960"/>
      <w:bookmarkStart w:id="192" w:name="_Toc109899541"/>
      <w:bookmarkStart w:id="193" w:name="_Toc6486"/>
      <w:bookmarkStart w:id="194" w:name="_Toc470172672"/>
      <w:bookmarkStart w:id="195" w:name="_Toc109897442"/>
      <w:r>
        <w:rPr>
          <w:rFonts w:hint="eastAsia" w:ascii="宋体" w:hAnsi="宋体" w:eastAsia="宋体" w:cs="宋体"/>
          <w:b/>
          <w:bCs/>
          <w:color w:val="auto"/>
          <w:kern w:val="2"/>
          <w:sz w:val="24"/>
          <w:szCs w:val="24"/>
          <w:highlight w:val="none"/>
          <w:lang w:val="en-US" w:eastAsia="zh-CN" w:bidi="ar-SA"/>
        </w:rPr>
        <w:t>（三）响应文件</w:t>
      </w:r>
      <w:bookmarkEnd w:id="188"/>
      <w:bookmarkEnd w:id="189"/>
      <w:bookmarkEnd w:id="190"/>
      <w:bookmarkEnd w:id="191"/>
      <w:bookmarkEnd w:id="192"/>
      <w:bookmarkEnd w:id="193"/>
      <w:bookmarkEnd w:id="194"/>
      <w:bookmarkEnd w:id="195"/>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96" w:name="_Toc48846118"/>
      <w:bookmarkStart w:id="197" w:name="_Toc46771649"/>
      <w:bookmarkStart w:id="198" w:name="_Toc51674220"/>
      <w:bookmarkStart w:id="199" w:name="_Toc109897444"/>
      <w:bookmarkStart w:id="200" w:name="_Toc109900381"/>
      <w:bookmarkStart w:id="201" w:name="_Toc109899543"/>
      <w:bookmarkStart w:id="202" w:name="_Toc470172674"/>
      <w:bookmarkStart w:id="203" w:name="_Toc109899962"/>
      <w:bookmarkStart w:id="204" w:name="_Toc52962736"/>
      <w:bookmarkStart w:id="205" w:name="_Toc52960562"/>
      <w:bookmarkStart w:id="206" w:name="_Toc32272"/>
      <w:bookmarkStart w:id="207" w:name="_Toc46772250"/>
      <w:bookmarkStart w:id="208" w:name="_Toc48688798"/>
      <w:r>
        <w:rPr>
          <w:rFonts w:hint="eastAsia" w:ascii="宋体" w:hAnsi="宋体" w:eastAsia="宋体" w:cs="宋体"/>
          <w:b/>
          <w:bCs/>
          <w:color w:val="auto"/>
          <w:kern w:val="2"/>
          <w:sz w:val="24"/>
          <w:szCs w:val="24"/>
          <w:highlight w:val="none"/>
          <w:lang w:val="en-US" w:eastAsia="zh-CN" w:bidi="ar-SA"/>
        </w:rPr>
        <w:t>13.响应文件的</w:t>
      </w:r>
      <w:bookmarkEnd w:id="196"/>
      <w:bookmarkEnd w:id="197"/>
      <w:bookmarkEnd w:id="198"/>
      <w:bookmarkEnd w:id="199"/>
      <w:bookmarkEnd w:id="200"/>
      <w:bookmarkEnd w:id="201"/>
      <w:bookmarkEnd w:id="202"/>
      <w:bookmarkEnd w:id="203"/>
      <w:bookmarkEnd w:id="204"/>
      <w:bookmarkEnd w:id="205"/>
      <w:bookmarkEnd w:id="206"/>
      <w:bookmarkEnd w:id="207"/>
      <w:bookmarkEnd w:id="208"/>
      <w:r>
        <w:rPr>
          <w:rFonts w:hint="eastAsia" w:ascii="宋体" w:hAnsi="宋体" w:eastAsia="宋体" w:cs="宋体"/>
          <w:b/>
          <w:bCs/>
          <w:color w:val="auto"/>
          <w:kern w:val="2"/>
          <w:sz w:val="24"/>
          <w:szCs w:val="24"/>
          <w:highlight w:val="none"/>
          <w:lang w:val="en-US" w:eastAsia="zh-CN" w:bidi="ar-SA"/>
        </w:rPr>
        <w:t>组成</w:t>
      </w:r>
    </w:p>
    <w:p w14:paraId="174A0A3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应完整地按竞争性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文件提供的</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文件格式及要求编写</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第六章 响应</w:t>
      </w:r>
      <w:r>
        <w:rPr>
          <w:rFonts w:hint="eastAsia" w:ascii="宋体" w:hAnsi="宋体" w:eastAsia="宋体" w:cs="宋体"/>
          <w:color w:val="auto"/>
          <w:kern w:val="2"/>
          <w:sz w:val="24"/>
          <w:szCs w:val="24"/>
          <w:highlight w:val="none"/>
        </w:rPr>
        <w:t>文件</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3BB3A0B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13.2供应商</w:t>
      </w:r>
      <w:r>
        <w:rPr>
          <w:rFonts w:hint="eastAsia" w:ascii="宋体" w:hAnsi="宋体" w:eastAsia="宋体" w:cs="宋体"/>
          <w:color w:val="auto"/>
          <w:kern w:val="2"/>
          <w:sz w:val="24"/>
          <w:szCs w:val="24"/>
          <w:highlight w:val="none"/>
        </w:rPr>
        <w:t>应提交竞争性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文件要求的证明文件，证明其</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内容符合竞争性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文件规定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209" w:name="_Hlk11703583"/>
      <w:r>
        <w:rPr>
          <w:rFonts w:hint="eastAsia" w:ascii="宋体" w:hAnsi="宋体" w:eastAsia="宋体" w:cs="宋体"/>
          <w:color w:val="auto"/>
          <w:kern w:val="2"/>
          <w:sz w:val="24"/>
          <w:szCs w:val="24"/>
          <w:highlight w:val="none"/>
          <w:lang w:val="en-US" w:eastAsia="zh-CN"/>
        </w:rPr>
        <w:t>等。</w:t>
      </w:r>
    </w:p>
    <w:bookmarkEnd w:id="209"/>
    <w:p w14:paraId="781BBAEB">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lang w:val="en-US" w:eastAsia="zh-CN"/>
        </w:rPr>
        <w:t>文件</w:t>
      </w:r>
      <w:r>
        <w:rPr>
          <w:rFonts w:hint="eastAsia" w:ascii="宋体" w:hAnsi="宋体" w:eastAsia="宋体" w:cs="宋体"/>
          <w:color w:val="auto"/>
          <w:kern w:val="2"/>
          <w:sz w:val="24"/>
          <w:szCs w:val="24"/>
          <w:highlight w:val="none"/>
        </w:rPr>
        <w:t>另有规定或说明，</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对同一项目</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时，不得同时提供备选</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0" w:name="_Toc24544"/>
      <w:bookmarkStart w:id="211" w:name="_Toc109900383"/>
      <w:bookmarkStart w:id="212" w:name="_Toc46771651"/>
      <w:bookmarkStart w:id="213" w:name="_Toc109899545"/>
      <w:bookmarkStart w:id="214" w:name="_Toc48846120"/>
      <w:bookmarkStart w:id="215" w:name="_Toc52962738"/>
      <w:bookmarkStart w:id="216" w:name="_Toc46772252"/>
      <w:bookmarkStart w:id="217" w:name="_Toc51674222"/>
      <w:bookmarkStart w:id="218" w:name="_Toc109899964"/>
      <w:bookmarkStart w:id="219" w:name="_Toc109897446"/>
      <w:bookmarkStart w:id="220" w:name="_Toc470172676"/>
      <w:bookmarkStart w:id="221" w:name="_Toc52960564"/>
      <w:bookmarkStart w:id="222" w:name="_Toc48688800"/>
      <w:bookmarkStart w:id="223" w:name="_Toc48846119"/>
      <w:bookmarkStart w:id="224" w:name="_Toc52960563"/>
      <w:bookmarkStart w:id="225" w:name="_Toc46771650"/>
      <w:bookmarkStart w:id="226" w:name="_Toc46772251"/>
      <w:bookmarkStart w:id="227" w:name="_Toc470172675"/>
      <w:bookmarkStart w:id="228" w:name="_Toc109897445"/>
      <w:bookmarkStart w:id="229" w:name="_Toc109900382"/>
      <w:bookmarkStart w:id="230" w:name="_Toc51674221"/>
      <w:bookmarkStart w:id="231" w:name="_Toc109899963"/>
      <w:bookmarkStart w:id="232" w:name="_Toc52962737"/>
      <w:bookmarkStart w:id="233" w:name="_Toc48688799"/>
      <w:bookmarkStart w:id="234" w:name="_Toc109899544"/>
      <w:bookmarkStart w:id="235" w:name="_Toc25217"/>
      <w:r>
        <w:rPr>
          <w:rFonts w:hint="eastAsia" w:ascii="宋体" w:hAnsi="宋体" w:eastAsia="宋体" w:cs="宋体"/>
          <w:b/>
          <w:bCs/>
          <w:color w:val="auto"/>
          <w:kern w:val="2"/>
          <w:sz w:val="24"/>
          <w:szCs w:val="24"/>
          <w:highlight w:val="none"/>
          <w:lang w:val="en-US" w:eastAsia="zh-CN" w:bidi="ar-SA"/>
        </w:rPr>
        <w:t>14.谈判报价</w:t>
      </w:r>
      <w:bookmarkEnd w:id="210"/>
      <w:bookmarkEnd w:id="211"/>
      <w:bookmarkEnd w:id="212"/>
      <w:bookmarkEnd w:id="213"/>
      <w:bookmarkEnd w:id="214"/>
      <w:bookmarkEnd w:id="215"/>
      <w:bookmarkEnd w:id="216"/>
      <w:bookmarkEnd w:id="217"/>
      <w:bookmarkEnd w:id="218"/>
      <w:bookmarkEnd w:id="219"/>
      <w:bookmarkEnd w:id="220"/>
      <w:bookmarkEnd w:id="221"/>
      <w:bookmarkEnd w:id="222"/>
    </w:p>
    <w:p w14:paraId="0640D6E7">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供应商的报价均应以人民币报价。</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报价包括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供应商在首次提交的响应文件中的报价、</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过程中的报价和最后报价，</w:t>
      </w:r>
      <w:r>
        <w:rPr>
          <w:rFonts w:hint="eastAsia" w:ascii="宋体" w:hAnsi="宋体" w:eastAsia="宋体" w:cs="宋体"/>
          <w:snapToGrid w:val="0"/>
          <w:color w:val="auto"/>
          <w:sz w:val="24"/>
          <w:szCs w:val="24"/>
          <w:highlight w:val="none"/>
          <w:lang w:val="en-US" w:eastAsia="zh-CN"/>
        </w:rPr>
        <w:t>且均</w:t>
      </w:r>
      <w:r>
        <w:rPr>
          <w:rFonts w:hint="eastAsia" w:ascii="宋体" w:hAnsi="宋体" w:eastAsia="宋体" w:cs="宋体"/>
          <w:color w:val="auto"/>
          <w:sz w:val="24"/>
          <w:szCs w:val="24"/>
          <w:highlight w:val="none"/>
        </w:rPr>
        <w:t>不得超过</w:t>
      </w:r>
      <w:bookmarkStart w:id="236" w:name="_Hlk16170367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”中规定</w:t>
      </w:r>
      <w:bookmarkEnd w:id="236"/>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最高限价或者预算金额</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否则其响应文件将被视为</w:t>
      </w:r>
      <w:r>
        <w:rPr>
          <w:rFonts w:hint="eastAsia" w:ascii="宋体" w:hAnsi="宋体" w:eastAsia="宋体" w:cs="宋体"/>
          <w:b/>
          <w:bCs/>
          <w:snapToGrid w:val="0"/>
          <w:color w:val="auto"/>
          <w:sz w:val="24"/>
          <w:szCs w:val="24"/>
          <w:highlight w:val="none"/>
          <w:lang w:val="zh-CN"/>
        </w:rPr>
        <w:t>无效文件</w:t>
      </w:r>
      <w:r>
        <w:rPr>
          <w:rFonts w:hint="eastAsia" w:ascii="宋体" w:hAnsi="宋体" w:eastAsia="宋体" w:cs="宋体"/>
          <w:snapToGrid w:val="0"/>
          <w:color w:val="auto"/>
          <w:sz w:val="24"/>
          <w:szCs w:val="24"/>
          <w:highlight w:val="none"/>
          <w:lang w:val="zh-CN"/>
        </w:rPr>
        <w:t>。</w:t>
      </w:r>
    </w:p>
    <w:p w14:paraId="300639D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w:t>
      </w:r>
      <w:r>
        <w:rPr>
          <w:rFonts w:hint="eastAsia" w:ascii="宋体" w:hAnsi="宋体" w:eastAsia="宋体" w:cs="宋体"/>
          <w:snapToGrid w:val="0"/>
          <w:color w:val="auto"/>
          <w:sz w:val="24"/>
          <w:szCs w:val="24"/>
          <w:highlight w:val="none"/>
          <w:lang w:val="zh-CN" w:eastAsia="zh-CN"/>
        </w:rPr>
        <w:t>谈判</w:t>
      </w:r>
      <w:r>
        <w:rPr>
          <w:rFonts w:hint="eastAsia" w:ascii="宋体" w:hAnsi="宋体" w:eastAsia="宋体" w:cs="宋体"/>
          <w:snapToGrid w:val="0"/>
          <w:color w:val="auto"/>
          <w:sz w:val="24"/>
          <w:szCs w:val="24"/>
          <w:highlight w:val="none"/>
          <w:lang w:val="zh-CN"/>
        </w:rPr>
        <w:t>文件</w:t>
      </w:r>
      <w:r>
        <w:rPr>
          <w:rFonts w:hint="eastAsia" w:cs="宋体"/>
          <w:snapToGrid w:val="0"/>
          <w:color w:val="auto"/>
          <w:sz w:val="24"/>
          <w:szCs w:val="24"/>
          <w:highlight w:val="none"/>
          <w:lang w:val="en-US" w:eastAsia="zh-CN"/>
        </w:rPr>
        <w:t>所载明</w:t>
      </w:r>
      <w:r>
        <w:rPr>
          <w:rFonts w:hint="eastAsia" w:ascii="宋体" w:hAnsi="宋体" w:eastAsia="宋体" w:cs="宋体"/>
          <w:snapToGrid w:val="0"/>
          <w:color w:val="auto"/>
          <w:sz w:val="24"/>
          <w:szCs w:val="24"/>
          <w:highlight w:val="none"/>
          <w:lang w:val="zh-CN"/>
        </w:rPr>
        <w:t>的采购需求及合同条款进行报价，并按</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文件确定的格式报</w:t>
      </w:r>
      <w:r>
        <w:rPr>
          <w:rFonts w:hint="eastAsia" w:cs="宋体"/>
          <w:snapToGrid w:val="0"/>
          <w:color w:val="auto"/>
          <w:sz w:val="24"/>
          <w:szCs w:val="24"/>
          <w:highlight w:val="none"/>
          <w:lang w:val="en-US" w:eastAsia="zh-CN"/>
        </w:rPr>
        <w:t>价</w:t>
      </w:r>
      <w:r>
        <w:rPr>
          <w:rFonts w:hint="eastAsia" w:ascii="宋体" w:hAnsi="宋体" w:eastAsia="宋体" w:cs="宋体"/>
          <w:snapToGrid w:val="0"/>
          <w:color w:val="auto"/>
          <w:sz w:val="24"/>
          <w:szCs w:val="24"/>
          <w:highlight w:val="none"/>
          <w:lang w:val="zh-CN"/>
        </w:rPr>
        <w:t>。</w:t>
      </w:r>
    </w:p>
    <w:p w14:paraId="487FB398">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的报价应包括为完成本项目所发生的一切费用和税费，采购人将不再支付报价以外的任何费用。</w:t>
      </w:r>
      <w:r>
        <w:rPr>
          <w:rFonts w:hint="eastAsia" w:ascii="宋体" w:hAnsi="宋体" w:eastAsia="宋体" w:cs="宋体"/>
          <w:color w:val="auto"/>
          <w:kern w:val="2"/>
          <w:sz w:val="24"/>
          <w:szCs w:val="24"/>
          <w:highlight w:val="none"/>
        </w:rPr>
        <w:t>只要投报了一个确定数额的总价，无论分项价格是否全部填报了相应的金额或免费字样</w:t>
      </w:r>
      <w:r>
        <w:rPr>
          <w:rFonts w:hint="eastAsia" w:ascii="宋体" w:hAnsi="宋体" w:eastAsia="宋体" w:cs="宋体"/>
          <w:color w:val="auto"/>
          <w:kern w:val="2"/>
          <w:sz w:val="24"/>
          <w:szCs w:val="24"/>
          <w:highlight w:val="none"/>
        </w:rPr>
        <w:t>，</w:t>
      </w:r>
      <w:r>
        <w:rPr>
          <w:rFonts w:hint="eastAsia" w:cs="宋体"/>
          <w:color w:val="auto"/>
          <w:kern w:val="2"/>
          <w:sz w:val="24"/>
          <w:szCs w:val="24"/>
          <w:highlight w:val="none"/>
          <w:lang w:val="en-US" w:eastAsia="zh-CN"/>
        </w:rPr>
        <w:t>该</w:t>
      </w:r>
      <w:r>
        <w:rPr>
          <w:rFonts w:hint="eastAsia" w:ascii="宋体" w:hAnsi="宋体" w:eastAsia="宋体" w:cs="宋体"/>
          <w:color w:val="auto"/>
          <w:kern w:val="2"/>
          <w:sz w:val="24"/>
          <w:szCs w:val="24"/>
          <w:highlight w:val="none"/>
        </w:rPr>
        <w:t>报价应被视为已包含但不限于</w:t>
      </w:r>
      <w:r>
        <w:rPr>
          <w:rFonts w:hint="eastAsia" w:ascii="宋体" w:hAnsi="宋体" w:eastAsia="宋体" w:cs="宋体"/>
          <w:color w:val="auto"/>
          <w:kern w:val="2"/>
          <w:sz w:val="24"/>
          <w:szCs w:val="24"/>
          <w:highlight w:val="none"/>
        </w:rPr>
        <w:t>各项购买货物及其运送、安装、调试、验收、保险和相关服务等的费用和所需缴纳的所有价格、税、费。在其他情况下，由于分项报价填报不完整、不清楚或存在其他任何失误，所导致的任何不利后果均应当由</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rPr>
        <w:t>自行承担。</w:t>
      </w:r>
    </w:p>
    <w:p w14:paraId="009FDB1D">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 xml:space="preserve">的报价应包括但不限于下列内容： </w:t>
      </w:r>
    </w:p>
    <w:p w14:paraId="058AFCD3">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14.2.1 谈判货物及标准附件、备品备件、专用工具等的出厂价（包括已在中国国内的进口货物完税后的仓库交货价、展室交货价或货架交货价）和运至最终</w:t>
      </w:r>
      <w:r>
        <w:rPr>
          <w:rFonts w:hint="eastAsia" w:ascii="宋体" w:hAnsi="宋体" w:eastAsia="宋体" w:cs="宋体"/>
          <w:color w:val="auto"/>
          <w:kern w:val="2"/>
          <w:sz w:val="24"/>
          <w:szCs w:val="24"/>
          <w:highlight w:val="none"/>
          <w:lang w:val="en-US" w:eastAsia="zh-CN"/>
        </w:rPr>
        <w:t xml:space="preserve">目的地的运输费和保险费，安装调试、检验、技术服务、培训、质量保证、售后服务、税费等； </w:t>
      </w:r>
    </w:p>
    <w:p w14:paraId="2ACD190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color w:val="auto"/>
          <w:kern w:val="2"/>
          <w:sz w:val="24"/>
          <w:szCs w:val="24"/>
          <w:highlight w:val="none"/>
          <w:lang w:val="en-US" w:eastAsia="zh-CN"/>
        </w:rPr>
        <w:t>14.2.2 按照</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lang w:val="en-US" w:eastAsia="zh-CN"/>
        </w:rPr>
        <w:t>文件要求完成本项目的全部相关费用。</w:t>
      </w:r>
    </w:p>
    <w:p w14:paraId="11C9B78F">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rPr>
        <w:t>须严格按照报价明细表规定的内容填写货物单价以及其他事项。供应商应根据本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文件的规定和要求、市场价格水平及其走势、</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供应商的管理水平、</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供应商的方案和由这些因素决定的</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供应商之于本项目的成本水平等提出自己的报价。报价应合理，并包含完成本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w:t>
      </w:r>
      <w:r>
        <w:rPr>
          <w:rFonts w:hint="eastAsia" w:ascii="宋体" w:hAnsi="宋体" w:eastAsia="宋体" w:cs="宋体"/>
          <w:snapToGrid w:val="0"/>
          <w:color w:val="auto"/>
          <w:sz w:val="24"/>
          <w:szCs w:val="24"/>
          <w:highlight w:val="none"/>
          <w:lang w:val="en-US" w:eastAsia="zh-CN"/>
        </w:rPr>
        <w:t>项目</w:t>
      </w:r>
      <w:r>
        <w:rPr>
          <w:rFonts w:hint="eastAsia" w:ascii="宋体" w:hAnsi="宋体" w:eastAsia="宋体" w:cs="宋体"/>
          <w:snapToGrid w:val="0"/>
          <w:color w:val="auto"/>
          <w:sz w:val="24"/>
          <w:szCs w:val="24"/>
          <w:highlight w:val="none"/>
          <w:lang w:val="zh-CN"/>
        </w:rPr>
        <w:t>采购需求全部内容的所有费用，所有根据本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文件或其它原因应由</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供应商支付的税款和其他应交纳的费用都应包括在报价中。</w:t>
      </w:r>
    </w:p>
    <w:p w14:paraId="3DB7F19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.4供应商在响应文件中注明免费的项目将视为包含在报价中。</w:t>
      </w:r>
    </w:p>
    <w:p w14:paraId="2D8474D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lang w:val="zh-CN" w:eastAsia="zh-CN"/>
        </w:rPr>
        <w:t>供应商</w:t>
      </w:r>
      <w:r>
        <w:rPr>
          <w:rFonts w:hint="eastAsia" w:ascii="宋体" w:hAnsi="宋体" w:eastAsia="宋体" w:cs="宋体"/>
          <w:color w:val="auto"/>
          <w:kern w:val="2"/>
          <w:sz w:val="24"/>
          <w:szCs w:val="24"/>
          <w:highlight w:val="none"/>
          <w:lang w:val="en-US" w:eastAsia="zh-CN"/>
        </w:rPr>
        <w:t>对</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报价若有说明应在</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文件中显著处注明。</w:t>
      </w:r>
    </w:p>
    <w:p w14:paraId="1719007D">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除政策性文件规定以外，</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所报价格在合同实施期间不因市场变化因素而变动。</w:t>
      </w:r>
    </w:p>
    <w:p w14:paraId="749D37C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对于有配件、耗材、选件、备件和特殊工具的货物，还应填报</w:t>
      </w:r>
      <w:r>
        <w:rPr>
          <w:rFonts w:hint="eastAsia" w:cs="宋体"/>
          <w:color w:val="auto"/>
          <w:sz w:val="24"/>
          <w:szCs w:val="24"/>
          <w:highlight w:val="none"/>
          <w:lang w:val="en-US" w:eastAsia="zh-CN"/>
        </w:rPr>
        <w:t>谈判</w:t>
      </w:r>
      <w:r>
        <w:rPr>
          <w:rFonts w:hint="eastAsia" w:ascii="宋体" w:hAnsi="宋体" w:eastAsia="宋体" w:cs="宋体"/>
          <w:color w:val="auto"/>
          <w:kern w:val="2"/>
          <w:sz w:val="24"/>
          <w:szCs w:val="24"/>
          <w:highlight w:val="none"/>
        </w:rPr>
        <w:t>货物配件、耗材、选件表和备件及特殊工具清单，注明品牌、型号、产地、功能、单价、批量折扣等内容，该表格格式由</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自行设计。</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按照上述要求分类报价，其目的是便于评</w:t>
      </w:r>
      <w:r>
        <w:rPr>
          <w:rFonts w:hint="eastAsia" w:ascii="宋体" w:hAnsi="宋体" w:eastAsia="宋体" w:cs="宋体"/>
          <w:color w:val="auto"/>
          <w:kern w:val="2"/>
          <w:sz w:val="24"/>
          <w:szCs w:val="24"/>
          <w:highlight w:val="none"/>
          <w:lang w:val="en-US" w:eastAsia="zh-CN"/>
        </w:rPr>
        <w:t>审</w:t>
      </w:r>
      <w:r>
        <w:rPr>
          <w:rFonts w:hint="eastAsia" w:ascii="宋体" w:hAnsi="宋体" w:eastAsia="宋体" w:cs="宋体"/>
          <w:color w:val="auto"/>
          <w:kern w:val="2"/>
          <w:sz w:val="24"/>
          <w:szCs w:val="24"/>
          <w:highlight w:val="none"/>
        </w:rPr>
        <w:t>，但在任何情况下并不限制采购人以其他条款签订合同的权利。</w:t>
      </w:r>
    </w:p>
    <w:p w14:paraId="2AA144B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4"/>
          <w:szCs w:val="24"/>
          <w:highlight w:val="none"/>
          <w:lang w:val="en-US" w:eastAsia="zh-CN"/>
        </w:rPr>
        <w:t>14.</w:t>
      </w:r>
      <w:r>
        <w:rPr>
          <w:rFonts w:hint="eastAsia" w:cs="宋体"/>
          <w:color w:val="auto"/>
          <w:kern w:val="2"/>
          <w:sz w:val="24"/>
          <w:szCs w:val="24"/>
          <w:highlight w:val="none"/>
          <w:lang w:val="en-US" w:eastAsia="zh-CN"/>
        </w:rPr>
        <w:t>7</w:t>
      </w:r>
      <w:r>
        <w:rPr>
          <w:rFonts w:hint="eastAsia" w:ascii="宋体" w:hAnsi="宋体" w:eastAsia="宋体" w:cs="宋体"/>
          <w:color w:val="auto"/>
          <w:kern w:val="0"/>
          <w:sz w:val="24"/>
          <w:szCs w:val="24"/>
          <w:highlight w:val="none"/>
          <w:lang w:val="en-US" w:eastAsia="zh-CN" w:bidi="ar"/>
        </w:rPr>
        <w:t>采购人不得向供应商索要或者接受其给予的赠品、回扣或者与采购无关的其他商品、服务。</w:t>
      </w:r>
    </w:p>
    <w:p w14:paraId="4E58D7F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val="en-US" w:eastAsia="zh-CN" w:bidi="ar"/>
        </w:rPr>
        <w:t>供应商不能提供任何有选择性或可调整的报价（</w:t>
      </w:r>
      <w:r>
        <w:rPr>
          <w:rFonts w:hint="eastAsia" w:cs="宋体"/>
          <w:color w:val="auto"/>
          <w:sz w:val="24"/>
          <w:szCs w:val="24"/>
          <w:highlight w:val="none"/>
          <w:lang w:val="en-US" w:eastAsia="zh-CN"/>
        </w:rPr>
        <w:t>谈判</w:t>
      </w:r>
      <w:r>
        <w:rPr>
          <w:rFonts w:hint="eastAsia" w:ascii="宋体" w:hAnsi="宋体" w:eastAsia="宋体" w:cs="宋体"/>
          <w:color w:val="auto"/>
          <w:kern w:val="0"/>
          <w:sz w:val="24"/>
          <w:szCs w:val="24"/>
          <w:highlight w:val="none"/>
          <w:lang w:val="en-US" w:eastAsia="zh-CN" w:bidi="ar"/>
        </w:rPr>
        <w:t>文件另有规定的除外），否则其</w:t>
      </w:r>
      <w:r>
        <w:rPr>
          <w:rFonts w:hint="eastAsia" w:ascii="宋体" w:hAnsi="宋体" w:eastAsia="宋体" w:cs="宋体"/>
          <w:b/>
          <w:bCs/>
          <w:color w:val="auto"/>
          <w:kern w:val="0"/>
          <w:sz w:val="24"/>
          <w:szCs w:val="24"/>
          <w:highlight w:val="none"/>
          <w:lang w:val="en-US" w:eastAsia="zh-CN" w:bidi="ar"/>
        </w:rPr>
        <w:t>响应无效</w:t>
      </w:r>
      <w:r>
        <w:rPr>
          <w:rFonts w:hint="eastAsia" w:ascii="宋体" w:hAnsi="宋体" w:eastAsia="宋体" w:cs="宋体"/>
          <w:color w:val="auto"/>
          <w:kern w:val="0"/>
          <w:sz w:val="24"/>
          <w:szCs w:val="24"/>
          <w:highlight w:val="none"/>
          <w:lang w:val="en-US" w:eastAsia="zh-CN" w:bidi="ar"/>
        </w:rPr>
        <w:t>。</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7" w:name="_Toc48688806"/>
      <w:bookmarkStart w:id="238" w:name="_Toc109900388"/>
      <w:bookmarkStart w:id="239" w:name="_Toc52960570"/>
      <w:bookmarkStart w:id="240" w:name="_Toc48846126"/>
      <w:bookmarkStart w:id="241" w:name="_Toc5668"/>
      <w:bookmarkStart w:id="242" w:name="_Toc52962744"/>
      <w:bookmarkStart w:id="243" w:name="_Toc109899969"/>
      <w:bookmarkStart w:id="244" w:name="_Toc470172682"/>
      <w:bookmarkStart w:id="245" w:name="_Toc109899550"/>
      <w:bookmarkStart w:id="246" w:name="_Toc46771657"/>
      <w:bookmarkStart w:id="247" w:name="_Toc51674228"/>
      <w:bookmarkStart w:id="248" w:name="_Toc109897451"/>
      <w:bookmarkStart w:id="249" w:name="_Toc46772258"/>
      <w:bookmarkStart w:id="250" w:name="_Toc470172678"/>
      <w:bookmarkStart w:id="251" w:name="_Toc48688802"/>
      <w:bookmarkStart w:id="252" w:name="_Toc109899966"/>
      <w:bookmarkStart w:id="253" w:name="_Toc48846122"/>
      <w:bookmarkStart w:id="254" w:name="_Toc52962740"/>
      <w:bookmarkStart w:id="255" w:name="_Toc109900385"/>
      <w:bookmarkStart w:id="256" w:name="_Toc46771653"/>
      <w:bookmarkStart w:id="257" w:name="_Toc51674224"/>
      <w:bookmarkStart w:id="258" w:name="_Toc46772254"/>
      <w:bookmarkStart w:id="259" w:name="_Toc3324"/>
      <w:bookmarkStart w:id="260" w:name="_Toc109897448"/>
      <w:bookmarkStart w:id="261" w:name="_Toc52960566"/>
      <w:bookmarkStart w:id="262" w:name="_Toc109899547"/>
      <w:r>
        <w:rPr>
          <w:rFonts w:hint="eastAsia" w:ascii="宋体" w:hAnsi="宋体" w:eastAsia="宋体" w:cs="宋体"/>
          <w:b/>
          <w:bCs/>
          <w:color w:val="auto"/>
          <w:kern w:val="2"/>
          <w:sz w:val="24"/>
          <w:szCs w:val="24"/>
          <w:highlight w:val="none"/>
          <w:lang w:val="en-US" w:eastAsia="zh-CN" w:bidi="ar-SA"/>
        </w:rPr>
        <w:t>15.响应文件有效期</w:t>
      </w:r>
      <w:bookmarkEnd w:id="237"/>
      <w:bookmarkEnd w:id="238"/>
      <w:bookmarkEnd w:id="239"/>
      <w:bookmarkEnd w:id="240"/>
      <w:bookmarkEnd w:id="241"/>
      <w:bookmarkEnd w:id="242"/>
      <w:bookmarkEnd w:id="243"/>
      <w:bookmarkEnd w:id="244"/>
      <w:bookmarkEnd w:id="245"/>
      <w:bookmarkEnd w:id="246"/>
      <w:bookmarkEnd w:id="247"/>
      <w:bookmarkEnd w:id="248"/>
      <w:bookmarkEnd w:id="249"/>
    </w:p>
    <w:p w14:paraId="6C3E470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供应商提交的</w:t>
      </w:r>
      <w:r>
        <w:rPr>
          <w:rFonts w:hint="eastAsia" w:ascii="宋体" w:hAnsi="宋体" w:eastAsia="宋体" w:cs="宋体"/>
          <w:snapToGrid w:val="0"/>
          <w:color w:val="auto"/>
          <w:sz w:val="24"/>
          <w:szCs w:val="24"/>
          <w:highlight w:val="none"/>
          <w:lang w:val="zh-CN"/>
        </w:rPr>
        <w:t>响应文件有效期见“供应商须知前附表”，</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供应商承诺的响应文件</w:t>
      </w:r>
      <w:r>
        <w:rPr>
          <w:rFonts w:hint="eastAsia" w:ascii="宋体" w:hAnsi="宋体" w:eastAsia="宋体" w:cs="宋体"/>
          <w:snapToGrid w:val="0"/>
          <w:color w:val="auto"/>
          <w:sz w:val="24"/>
          <w:szCs w:val="24"/>
          <w:highlight w:val="none"/>
          <w:lang w:val="zh-CN" w:eastAsia="zh-CN"/>
        </w:rPr>
        <w:t>有效期少于</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eastAsia="zh-CN"/>
        </w:rPr>
        <w:t>文件规定期限的，其</w:t>
      </w:r>
      <w:r>
        <w:rPr>
          <w:rFonts w:hint="eastAsia" w:ascii="宋体" w:hAnsi="宋体" w:eastAsia="宋体" w:cs="宋体"/>
          <w:b/>
          <w:bCs/>
          <w:snapToGrid w:val="0"/>
          <w:color w:val="auto"/>
          <w:sz w:val="24"/>
          <w:szCs w:val="24"/>
          <w:highlight w:val="none"/>
          <w:lang w:val="en-US" w:eastAsia="zh-CN"/>
        </w:rPr>
        <w:t>响应</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4DFC250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15.2 响应文件有效期从递交响应文件的截止之日起算。响应文件中承诺的有效期应当不少于竞争性</w:t>
      </w:r>
      <w:r>
        <w:rPr>
          <w:rFonts w:hint="eastAsia" w:cs="宋体"/>
          <w:color w:val="auto"/>
          <w:sz w:val="24"/>
          <w:szCs w:val="24"/>
          <w:highlight w:val="none"/>
          <w:lang w:val="en-US" w:eastAsia="zh-CN"/>
        </w:rPr>
        <w:t>谈判</w:t>
      </w:r>
      <w:r>
        <w:rPr>
          <w:rFonts w:hint="eastAsia" w:ascii="宋体" w:hAnsi="宋体" w:eastAsia="宋体" w:cs="宋体"/>
          <w:snapToGrid w:val="0"/>
          <w:color w:val="auto"/>
          <w:kern w:val="2"/>
          <w:sz w:val="24"/>
          <w:szCs w:val="24"/>
          <w:highlight w:val="none"/>
          <w:lang w:val="en-US" w:eastAsia="zh-CN" w:bidi="ar-SA"/>
        </w:rPr>
        <w:t>文件中载明的响应文件有效期。响应文件有效期内供应商撤销响应文件的，采购人或者采购代理机构可以不退还</w:t>
      </w:r>
      <w:r>
        <w:rPr>
          <w:rFonts w:hint="eastAsia" w:cs="宋体"/>
          <w:color w:val="auto"/>
          <w:sz w:val="24"/>
          <w:szCs w:val="24"/>
          <w:highlight w:val="none"/>
          <w:lang w:val="en-US" w:eastAsia="zh-CN"/>
        </w:rPr>
        <w:t>谈判</w:t>
      </w:r>
      <w:r>
        <w:rPr>
          <w:rFonts w:hint="eastAsia" w:ascii="宋体" w:hAnsi="宋体" w:eastAsia="宋体" w:cs="宋体"/>
          <w:snapToGrid w:val="0"/>
          <w:color w:val="auto"/>
          <w:kern w:val="2"/>
          <w:sz w:val="24"/>
          <w:szCs w:val="24"/>
          <w:highlight w:val="none"/>
          <w:lang w:val="en-US" w:eastAsia="zh-CN" w:bidi="ar-SA"/>
        </w:rPr>
        <w:t>保证金。</w:t>
      </w:r>
    </w:p>
    <w:p w14:paraId="414B33F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kern w:val="2"/>
          <w:sz w:val="24"/>
          <w:szCs w:val="24"/>
          <w:highlight w:val="none"/>
          <w:lang w:val="zh-CN" w:eastAsia="zh-CN" w:bidi="ar-SA"/>
        </w:rPr>
        <w:t>1</w:t>
      </w: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snapToGrid w:val="0"/>
          <w:color w:val="auto"/>
          <w:sz w:val="24"/>
          <w:szCs w:val="24"/>
          <w:highlight w:val="none"/>
          <w:lang w:val="zh-CN"/>
        </w:rPr>
        <w:t>可要求供应商延长响应文件有效期。需要延长响应文件有效期时，采购代理机构或采购人将以书面形式通知所有</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供应商同意延长的，</w:t>
      </w:r>
      <w:r>
        <w:rPr>
          <w:rFonts w:hint="eastAsia" w:ascii="宋体" w:hAnsi="宋体" w:eastAsia="宋体" w:cs="宋体"/>
          <w:snapToGrid w:val="0"/>
          <w:color w:val="auto"/>
          <w:sz w:val="24"/>
          <w:szCs w:val="24"/>
          <w:highlight w:val="none"/>
          <w:lang w:val="en-US" w:eastAsia="zh-CN"/>
        </w:rPr>
        <w:t>其</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保证金的有效期也相应延长</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保证金可予以退还</w:t>
      </w:r>
      <w:r>
        <w:rPr>
          <w:rFonts w:hint="eastAsia" w:ascii="宋体" w:hAnsi="宋体" w:eastAsia="宋体" w:cs="宋体"/>
          <w:snapToGrid w:val="0"/>
          <w:color w:val="auto"/>
          <w:sz w:val="24"/>
          <w:szCs w:val="24"/>
          <w:highlight w:val="none"/>
          <w:lang w:val="zh-CN"/>
        </w:rPr>
        <w:t>。</w:t>
      </w:r>
    </w:p>
    <w:bookmarkEnd w:id="250"/>
    <w:bookmarkEnd w:id="251"/>
    <w:bookmarkEnd w:id="252"/>
    <w:bookmarkEnd w:id="253"/>
    <w:bookmarkEnd w:id="254"/>
    <w:bookmarkEnd w:id="255"/>
    <w:bookmarkEnd w:id="256"/>
    <w:bookmarkEnd w:id="257"/>
    <w:bookmarkEnd w:id="258"/>
    <w:bookmarkEnd w:id="259"/>
    <w:bookmarkEnd w:id="260"/>
    <w:bookmarkEnd w:id="261"/>
    <w:bookmarkEnd w:id="262"/>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223"/>
      <w:bookmarkEnd w:id="224"/>
      <w:bookmarkEnd w:id="225"/>
      <w:bookmarkEnd w:id="226"/>
      <w:bookmarkEnd w:id="227"/>
      <w:bookmarkEnd w:id="228"/>
      <w:bookmarkEnd w:id="229"/>
      <w:bookmarkEnd w:id="230"/>
      <w:bookmarkEnd w:id="231"/>
      <w:bookmarkEnd w:id="232"/>
      <w:bookmarkEnd w:id="233"/>
      <w:bookmarkEnd w:id="234"/>
      <w:bookmarkEnd w:id="235"/>
    </w:p>
    <w:p w14:paraId="710ABAB7">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6FD5FFC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须按照</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文件的要求对要求加盖印章的部分逐一进行签章。</w:t>
      </w:r>
    </w:p>
    <w:p w14:paraId="4BB9824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3供应商</w:t>
      </w:r>
      <w:r>
        <w:rPr>
          <w:rFonts w:hint="eastAsia" w:ascii="宋体" w:hAnsi="宋体" w:eastAsia="宋体" w:cs="宋体"/>
          <w:color w:val="auto"/>
          <w:sz w:val="24"/>
          <w:szCs w:val="24"/>
          <w:highlight w:val="none"/>
        </w:rPr>
        <w:t>应详细阅读</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文件的全部内容。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文件须对</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文件中的内容作出实质性和完整的响应，如果</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文件填报的内容不详，或没有提供</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文件中所要求的全部资料及数据，</w:t>
      </w:r>
      <w:r>
        <w:rPr>
          <w:rFonts w:hint="eastAsia" w:ascii="宋体" w:hAnsi="宋体" w:eastAsia="宋体" w:cs="宋体"/>
          <w:b w:val="0"/>
          <w:bCs w:val="0"/>
          <w:color w:val="auto"/>
          <w:sz w:val="24"/>
          <w:szCs w:val="24"/>
          <w:highlight w:val="none"/>
        </w:rPr>
        <w:t>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2D3AC26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4响应</w:t>
      </w:r>
      <w:r>
        <w:rPr>
          <w:rFonts w:hint="eastAsia" w:ascii="宋体" w:hAnsi="宋体" w:eastAsia="宋体" w:cs="宋体"/>
          <w:color w:val="auto"/>
          <w:sz w:val="24"/>
          <w:szCs w:val="24"/>
          <w:highlight w:val="none"/>
        </w:rPr>
        <w:t>文件须严格按照</w:t>
      </w:r>
      <w:r>
        <w:rPr>
          <w:rFonts w:hint="eastAsia" w:ascii="宋体" w:hAnsi="宋体" w:eastAsia="宋体" w:cs="宋体"/>
          <w:color w:val="auto"/>
          <w:sz w:val="24"/>
          <w:szCs w:val="24"/>
          <w:highlight w:val="none"/>
          <w:lang w:val="en-US" w:eastAsia="zh-CN"/>
        </w:rPr>
        <w:t>本竞争性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文件第</w:t>
      </w:r>
      <w:r>
        <w:rPr>
          <w:rFonts w:hint="eastAsia" w:ascii="宋体" w:hAnsi="宋体" w:eastAsia="宋体" w:cs="宋体"/>
          <w:color w:val="auto"/>
          <w:sz w:val="24"/>
          <w:szCs w:val="24"/>
          <w:highlight w:val="none"/>
          <w:lang w:val="en-US" w:eastAsia="zh-CN"/>
        </w:rPr>
        <w:t>六章</w:t>
      </w:r>
      <w:r>
        <w:rPr>
          <w:rFonts w:hint="eastAsia" w:ascii="宋体" w:hAnsi="宋体" w:eastAsia="宋体" w:cs="宋体"/>
          <w:color w:val="auto"/>
          <w:sz w:val="24"/>
          <w:szCs w:val="24"/>
          <w:highlight w:val="none"/>
        </w:rPr>
        <w:t>规定的格式提交，并按规定的统一格式逐项填写，不准有空项；无相应内容可填</w:t>
      </w:r>
      <w:r>
        <w:rPr>
          <w:rFonts w:hint="eastAsia" w:ascii="宋体" w:hAnsi="宋体" w:eastAsia="宋体" w:cs="宋体"/>
          <w:color w:val="auto"/>
          <w:sz w:val="24"/>
          <w:szCs w:val="24"/>
          <w:highlight w:val="none"/>
          <w:lang w:eastAsia="zh-CN"/>
        </w:rPr>
        <w:t>写的部分</w:t>
      </w:r>
      <w:r>
        <w:rPr>
          <w:rFonts w:hint="eastAsia" w:ascii="宋体" w:hAnsi="宋体" w:eastAsia="宋体" w:cs="宋体"/>
          <w:color w:val="auto"/>
          <w:sz w:val="24"/>
          <w:szCs w:val="24"/>
          <w:highlight w:val="none"/>
        </w:rPr>
        <w:t>，应填写“无”、“未测试”、“没有相应指标”等明确的文字回答。由于编排混乱导致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文件被误读或查找不到，其责任由</w:t>
      </w:r>
      <w:r>
        <w:rPr>
          <w:rFonts w:hint="eastAsia" w:ascii="宋体" w:hAnsi="宋体" w:eastAsia="宋体" w:cs="宋体"/>
          <w:color w:val="auto"/>
          <w:sz w:val="24"/>
          <w:szCs w:val="24"/>
          <w:highlight w:val="none"/>
          <w:lang w:val="en-US" w:eastAsia="zh-CN"/>
        </w:rPr>
        <w:t>供应商自行</w:t>
      </w:r>
      <w:r>
        <w:rPr>
          <w:rFonts w:hint="eastAsia" w:ascii="宋体" w:hAnsi="宋体" w:eastAsia="宋体" w:cs="宋体"/>
          <w:color w:val="auto"/>
          <w:sz w:val="24"/>
          <w:szCs w:val="24"/>
          <w:highlight w:val="none"/>
        </w:rPr>
        <w:t>承担。</w:t>
      </w:r>
    </w:p>
    <w:p w14:paraId="0AB47C8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须注意：为合理节约政府采购评审成本，提倡诚实信用的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行为，特别要求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应本着诚信精神，在本次</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文件的偏离表中，均以审慎的态度明确、清楚地披露各项偏离。若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没有在偏离表中明确、清楚地披露的事项，包括可能属于被</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在偏离表中遗漏披露的事项，一旦在评审中被发现存在偏离或被认定为属于偏离，则评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委员会有权视具体情形评审时予以处理，</w:t>
      </w:r>
      <w:r>
        <w:rPr>
          <w:rFonts w:hint="eastAsia" w:ascii="宋体" w:hAnsi="宋体" w:eastAsia="宋体" w:cs="宋体"/>
          <w:b/>
          <w:bCs/>
          <w:color w:val="auto"/>
          <w:sz w:val="24"/>
          <w:szCs w:val="24"/>
          <w:highlight w:val="none"/>
        </w:rPr>
        <w:t>将可能导致</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54FCBEF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必须保证</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文件所提供的全部资料</w:t>
      </w:r>
      <w:r>
        <w:rPr>
          <w:rFonts w:hint="eastAsia" w:ascii="宋体" w:hAnsi="宋体" w:eastAsia="宋体" w:cs="宋体"/>
          <w:color w:val="auto"/>
          <w:sz w:val="24"/>
          <w:szCs w:val="24"/>
          <w:highlight w:val="none"/>
          <w:lang w:eastAsia="zh-CN"/>
        </w:rPr>
        <w:t>合法、</w:t>
      </w:r>
      <w:r>
        <w:rPr>
          <w:rFonts w:hint="eastAsia" w:ascii="宋体" w:hAnsi="宋体" w:eastAsia="宋体" w:cs="宋体"/>
          <w:color w:val="auto"/>
          <w:sz w:val="24"/>
          <w:szCs w:val="24"/>
          <w:highlight w:val="none"/>
        </w:rPr>
        <w:t>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委员会对其中任何资料进一步审查的要求。</w:t>
      </w:r>
    </w:p>
    <w:p w14:paraId="7064EC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4071B61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16.8电子响应文件的编制</w:t>
      </w:r>
    </w:p>
    <w:p w14:paraId="4A87E24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16.8.1电子响应文件需按竞争性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文件要求进行制作编制。响应文件制作时，不同内容按标签提示制作导入，按照竞争性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文件中明确的响应文件目录和格式进行编制，保证目录清晰、内容完整。           </w:t>
      </w:r>
    </w:p>
    <w:p w14:paraId="1D4C561F">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16.8.2电子</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文件及响应文件具有法律效力，与其他形式的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文件及响应文件在内容和格式上等同，若响应文件与竞争性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文件要求不一致，其内容影响成交结果时，责任由供应商自行承担。供应商递交的电子响应文件因供应商自身原因而导致无法导入电子辅助评标系统，该响应文件被视为无效响应文件，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b/>
          <w:bCs/>
          <w:color w:val="auto"/>
          <w:sz w:val="24"/>
          <w:szCs w:val="24"/>
          <w:highlight w:val="none"/>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3" w:name="_Toc109899971"/>
      <w:bookmarkStart w:id="264" w:name="_Toc470172684"/>
      <w:bookmarkStart w:id="265" w:name="_Toc109900390"/>
      <w:bookmarkStart w:id="266" w:name="_Toc46771659"/>
      <w:bookmarkStart w:id="267" w:name="_Toc109897453"/>
      <w:bookmarkStart w:id="268" w:name="_Toc109899552"/>
      <w:bookmarkStart w:id="269" w:name="_Toc163493614"/>
      <w:bookmarkStart w:id="270" w:name="_Toc6033"/>
      <w:r>
        <w:rPr>
          <w:rFonts w:hint="eastAsia" w:ascii="宋体" w:hAnsi="宋体" w:eastAsia="宋体" w:cs="宋体"/>
          <w:b/>
          <w:bCs/>
          <w:color w:val="auto"/>
          <w:kern w:val="2"/>
          <w:sz w:val="24"/>
          <w:szCs w:val="24"/>
          <w:highlight w:val="none"/>
          <w:lang w:val="en-US" w:eastAsia="zh-CN" w:bidi="ar-SA"/>
        </w:rPr>
        <w:t>（四）响应文件的</w:t>
      </w:r>
      <w:bookmarkEnd w:id="263"/>
      <w:bookmarkEnd w:id="264"/>
      <w:bookmarkEnd w:id="265"/>
      <w:bookmarkEnd w:id="266"/>
      <w:bookmarkEnd w:id="267"/>
      <w:bookmarkEnd w:id="268"/>
      <w:r>
        <w:rPr>
          <w:rFonts w:hint="eastAsia" w:ascii="宋体" w:hAnsi="宋体" w:eastAsia="宋体" w:cs="宋体"/>
          <w:b/>
          <w:bCs/>
          <w:color w:val="auto"/>
          <w:kern w:val="2"/>
          <w:sz w:val="24"/>
          <w:szCs w:val="24"/>
          <w:highlight w:val="none"/>
          <w:lang w:val="en-US" w:eastAsia="zh-CN" w:bidi="ar-SA"/>
        </w:rPr>
        <w:t>递交</w:t>
      </w:r>
      <w:bookmarkEnd w:id="269"/>
      <w:bookmarkEnd w:id="270"/>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1" w:name="_Toc109899651"/>
      <w:bookmarkStart w:id="272" w:name="_Toc109900070"/>
      <w:bookmarkStart w:id="273" w:name="_Toc109900489"/>
      <w:bookmarkStart w:id="274" w:name="_Toc109897552"/>
      <w:bookmarkStart w:id="275" w:name="_Toc155095707"/>
      <w:bookmarkStart w:id="276" w:name="_Toc156490296"/>
      <w:bookmarkStart w:id="277" w:name="_Toc109897553"/>
      <w:bookmarkStart w:id="278" w:name="_Toc109900490"/>
      <w:bookmarkStart w:id="279" w:name="_Toc109900071"/>
      <w:bookmarkStart w:id="280" w:name="_Toc109899652"/>
      <w:bookmarkStart w:id="281" w:name="_Toc156490297"/>
      <w:bookmarkStart w:id="282" w:name="_Toc155095708"/>
      <w:r>
        <w:rPr>
          <w:rFonts w:hint="eastAsia" w:ascii="宋体" w:hAnsi="宋体" w:eastAsia="宋体" w:cs="宋体"/>
          <w:b/>
          <w:bCs/>
          <w:color w:val="auto"/>
          <w:kern w:val="2"/>
          <w:sz w:val="24"/>
          <w:szCs w:val="24"/>
          <w:highlight w:val="none"/>
          <w:lang w:val="en-US" w:eastAsia="zh-CN" w:bidi="ar-SA"/>
        </w:rPr>
        <w:t>17.谈判保证金</w:t>
      </w:r>
    </w:p>
    <w:p w14:paraId="4DEF946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17.1供应商应按照竞争性</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文件“供应商须知前附表”规定的金额及要求交纳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保证金。供应商自愿超额缴纳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保证金的，响应文件不做无效处理。</w:t>
      </w:r>
    </w:p>
    <w:p w14:paraId="77BF1621">
      <w:pPr>
        <w:keepNext w:val="0"/>
        <w:keepLines w:val="0"/>
        <w:pageBreakBefore w:val="0"/>
        <w:widowControl w:val="0"/>
        <w:suppressLineNumbers w:val="0"/>
        <w:kinsoku/>
        <w:overflowPunct/>
        <w:topLinePunct w:val="0"/>
        <w:autoSpaceDE/>
        <w:autoSpaceDN/>
        <w:bidi w:val="0"/>
        <w:adjustRightInd/>
        <w:ind w:firstLine="480" w:firstLineChars="200"/>
        <w:jc w:val="left"/>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保证金可采用的形式：政府采购法律法规接受的支票、汇票、本票、网上银行支付或者金融机构、担保机构出具的保函等非现金形式。未按</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文件要求提交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响应无效。</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保证金有效期同响应文件有效期。</w:t>
      </w:r>
    </w:p>
    <w:p w14:paraId="0C3CACC6">
      <w:pPr>
        <w:pStyle w:val="7"/>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17.3</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保证金到账（保函提交）截止时间同响应文件递交截止时间。以支票、汇票、本票、网上银行支付等形式提交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保证金的，应在响应文件递交截止时间前到账；以金融机构、担保机构出具的保函等形式提交</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保证金的，应在响应文件递交截止时间前将</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宋体"/>
          <w:b w:val="0"/>
          <w:bCs w:val="0"/>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p>
    <w:p w14:paraId="4AA52D7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17.4 供应商为联合体的，可以由联合体中的一方或者多方共同交纳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保证金，其交纳的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保证金对联合体各方均具有约束力。</w:t>
      </w:r>
    </w:p>
    <w:p w14:paraId="1E93F92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17.5采购人或者采购代理机构应当在采购活动结束后及时退还供应商的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保证金，采用银行保函、担保机构担保函等形式递交的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保证金，经供应商同意后采购人、采购代理机构可以不再退还，但因供应商自身原因导致无法及时退还的除外。未成交供应商的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保证金应当自成交通知书发出之日起 5 个工作日内退还，成交供应商的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保证金应当自采购合同签订之日起 5 个工作日内退还。 </w:t>
      </w:r>
    </w:p>
    <w:p w14:paraId="48C6EAF6">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17.6 供应商在响应文件递交截止时间前撤回已提交的响应文件的，自收到供应商书面撤回通知之日起 5 个工作日内，退还已收取的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保证金，但因供应商自身原因导致无法及时退还的除外。 </w:t>
      </w:r>
    </w:p>
    <w:p w14:paraId="6C0BF0B3">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的项目已经收取</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保证金的，自终止采购活动后5个工作日内退还已收取的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保证金及其在银行产生的孳息。</w:t>
      </w:r>
    </w:p>
    <w:p w14:paraId="59CC77A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17.8有下列情形之一的，</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保证金不予退还,</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55B83B7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0A09910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17.8.2供应商在响应文件中提供虚假材料的； </w:t>
      </w:r>
    </w:p>
    <w:p w14:paraId="41889810">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17.8.3除因不可抗力或</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文件认可的情形以外，成交供应商不与采购人签订合同的； </w:t>
      </w:r>
    </w:p>
    <w:p w14:paraId="19A2B85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40CCB19A">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17.8.5</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文件规定的其他情形。</w:t>
      </w:r>
    </w:p>
    <w:p w14:paraId="2A9B7E65">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17.9如开启时供应商对本单位</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保证金缴纳情况有疑义，供应商应在开启结束前向采购人提交书面申请核实保证金缴纳情况。由银行或保险公司核实后出具书面材料予以答复。</w:t>
      </w:r>
    </w:p>
    <w:p w14:paraId="7018BCE4">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w:t>
      </w:r>
      <w:r>
        <w:rPr>
          <w:rFonts w:hint="eastAsia" w:cs="宋体"/>
          <w:color w:val="auto"/>
          <w:sz w:val="24"/>
          <w:szCs w:val="24"/>
          <w:highlight w:val="none"/>
          <w:lang w:val="en-US" w:eastAsia="zh-CN"/>
        </w:rPr>
        <w:t>谈判</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直达链接（电子保函）：</w:t>
      </w:r>
    </w:p>
    <w:p w14:paraId="15E30E92">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5"/>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金融服务支撑热线：95763     </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71"/>
      <w:bookmarkEnd w:id="272"/>
      <w:bookmarkEnd w:id="273"/>
      <w:bookmarkEnd w:id="274"/>
      <w:r>
        <w:rPr>
          <w:rFonts w:hint="eastAsia" w:ascii="宋体" w:hAnsi="宋体" w:eastAsia="宋体" w:cs="宋体"/>
          <w:b/>
          <w:bCs/>
          <w:color w:val="auto"/>
          <w:kern w:val="2"/>
          <w:sz w:val="24"/>
          <w:szCs w:val="24"/>
          <w:highlight w:val="none"/>
          <w:lang w:val="en-US" w:eastAsia="zh-CN" w:bidi="ar-SA"/>
        </w:rPr>
        <w:t>加密</w:t>
      </w:r>
      <w:bookmarkEnd w:id="275"/>
      <w:bookmarkEnd w:id="276"/>
    </w:p>
    <w:p w14:paraId="105C769D">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18.1 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中对响应文件进行加密。</w:t>
      </w:r>
    </w:p>
    <w:p w14:paraId="0AE412D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中对加密的响应文件进行解密验证，以防止响应文件加密异常，在开启时无法解密。</w:t>
      </w:r>
    </w:p>
    <w:p w14:paraId="79A877BA">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认为有必要提交的其他资料请于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文件，采购代理机构有权予以拒绝，并退回</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54A4931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方式，无需提供电子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文件U盘。</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77"/>
      <w:bookmarkEnd w:id="278"/>
      <w:bookmarkEnd w:id="279"/>
      <w:bookmarkEnd w:id="280"/>
      <w:r>
        <w:rPr>
          <w:rFonts w:hint="eastAsia" w:ascii="宋体" w:hAnsi="宋体" w:eastAsia="宋体" w:cs="宋体"/>
          <w:b/>
          <w:bCs/>
          <w:color w:val="auto"/>
          <w:kern w:val="2"/>
          <w:sz w:val="24"/>
          <w:szCs w:val="24"/>
          <w:highlight w:val="none"/>
          <w:lang w:val="en-US" w:eastAsia="zh-CN" w:bidi="ar-SA"/>
        </w:rPr>
        <w:t>递交</w:t>
      </w:r>
      <w:bookmarkEnd w:id="281"/>
      <w:bookmarkEnd w:id="282"/>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供应商应在“</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”规定的响应文件递交截止时间前递交（上传）响应文件。</w:t>
      </w:r>
    </w:p>
    <w:p w14:paraId="1788DDFE">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供应商递交（上传）响应文件的地点见“</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p>
    <w:p w14:paraId="74B3F1A5">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投标文件上传）中获取响应文件递交回执单。</w:t>
      </w:r>
    </w:p>
    <w:p w14:paraId="5634F607">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3" w:name="_Toc155095709"/>
      <w:bookmarkStart w:id="284" w:name="_Toc156490298"/>
      <w:r>
        <w:rPr>
          <w:rFonts w:hint="eastAsia" w:ascii="宋体" w:hAnsi="宋体" w:eastAsia="宋体" w:cs="宋体"/>
          <w:b/>
          <w:bCs/>
          <w:color w:val="auto"/>
          <w:kern w:val="2"/>
          <w:sz w:val="24"/>
          <w:szCs w:val="24"/>
          <w:highlight w:val="none"/>
          <w:lang w:val="en-US" w:eastAsia="zh-CN" w:bidi="ar-SA"/>
        </w:rPr>
        <w:t>20.拒收</w:t>
      </w:r>
      <w:bookmarkEnd w:id="283"/>
      <w:bookmarkEnd w:id="284"/>
    </w:p>
    <w:p w14:paraId="6764A5C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20.1超过递交响应文件的截止时间或者不按照本章要求加密的响应文件，交易系统应当拒收。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5" w:name="_Toc109897555"/>
      <w:bookmarkStart w:id="286" w:name="_Toc109899654"/>
      <w:bookmarkStart w:id="287" w:name="_Toc109900492"/>
      <w:bookmarkStart w:id="288" w:name="_Toc109900073"/>
      <w:bookmarkStart w:id="289" w:name="_Toc156490299"/>
      <w:bookmarkStart w:id="290" w:name="_Toc155095710"/>
      <w:r>
        <w:rPr>
          <w:rFonts w:hint="eastAsia" w:ascii="宋体" w:hAnsi="宋体" w:eastAsia="宋体" w:cs="宋体"/>
          <w:b/>
          <w:bCs/>
          <w:color w:val="auto"/>
          <w:kern w:val="2"/>
          <w:sz w:val="24"/>
          <w:szCs w:val="24"/>
          <w:highlight w:val="none"/>
          <w:lang w:val="en-US" w:eastAsia="zh-CN" w:bidi="ar-SA"/>
        </w:rPr>
        <w:t>21.响应文件的修改与撤回</w:t>
      </w:r>
      <w:bookmarkEnd w:id="285"/>
      <w:bookmarkEnd w:id="286"/>
      <w:bookmarkEnd w:id="287"/>
      <w:bookmarkEnd w:id="288"/>
      <w:bookmarkEnd w:id="289"/>
      <w:bookmarkEnd w:id="290"/>
    </w:p>
    <w:p w14:paraId="059E1BF2">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zh-CN" w:eastAsia="zh-CN"/>
        </w:rPr>
        <w:t>1</w:t>
      </w:r>
      <w:r>
        <w:rPr>
          <w:rFonts w:hint="eastAsia" w:ascii="宋体" w:hAnsi="宋体" w:eastAsia="宋体" w:cs="宋体"/>
          <w:snapToGrid w:val="0"/>
          <w:color w:val="auto"/>
          <w:sz w:val="24"/>
          <w:szCs w:val="24"/>
          <w:highlight w:val="none"/>
          <w:lang w:val="zh-CN"/>
        </w:rPr>
        <w:t>.1</w:t>
      </w:r>
      <w:bookmarkStart w:id="291" w:name="_Hlk143532466"/>
      <w:r>
        <w:rPr>
          <w:rFonts w:hint="eastAsia" w:ascii="宋体" w:hAnsi="宋体" w:eastAsia="宋体" w:cs="宋体"/>
          <w:snapToGrid w:val="0"/>
          <w:color w:val="auto"/>
          <w:sz w:val="24"/>
          <w:szCs w:val="24"/>
          <w:highlight w:val="none"/>
          <w:lang w:val="zh-CN" w:eastAsia="zh-CN"/>
        </w:rPr>
        <w:t>供应商</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规定的</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，将修改好的电子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递交截止时间前重新上传到兵团政府采购电子交易云平台的</w:t>
      </w:r>
      <w:r>
        <w:rPr>
          <w:rFonts w:hint="eastAsia" w:ascii="宋体" w:hAnsi="宋体" w:eastAsia="宋体" w:cs="宋体"/>
          <w:snapToGrid w:val="0"/>
          <w:color w:val="auto"/>
          <w:sz w:val="24"/>
          <w:szCs w:val="24"/>
          <w:highlight w:val="none"/>
          <w:lang w:val="zh-CN" w:eastAsia="zh-CN"/>
        </w:rPr>
        <w:t>指</w:t>
      </w:r>
      <w:r>
        <w:rPr>
          <w:rFonts w:hint="eastAsia" w:ascii="宋体" w:hAnsi="宋体" w:eastAsia="宋体" w:cs="宋体"/>
          <w:snapToGrid w:val="0"/>
          <w:color w:val="auto"/>
          <w:sz w:val="24"/>
          <w:szCs w:val="24"/>
          <w:highlight w:val="none"/>
          <w:lang w:val="zh-CN"/>
        </w:rPr>
        <w:t>定位置。</w:t>
      </w:r>
    </w:p>
    <w:bookmarkEnd w:id="291"/>
    <w:p w14:paraId="4F9C167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2" w:name="_Toc155185874"/>
      <w:bookmarkStart w:id="293" w:name="_Toc158888664"/>
      <w:bookmarkStart w:id="294" w:name="_Toc155185973"/>
      <w:r>
        <w:rPr>
          <w:rFonts w:hint="eastAsia" w:ascii="宋体" w:hAnsi="宋体" w:eastAsia="宋体" w:cs="宋体"/>
          <w:b/>
          <w:bCs/>
          <w:color w:val="auto"/>
          <w:kern w:val="2"/>
          <w:sz w:val="24"/>
          <w:szCs w:val="24"/>
          <w:highlight w:val="none"/>
          <w:lang w:val="en-US" w:eastAsia="zh-CN" w:bidi="ar-SA"/>
        </w:rPr>
        <w:t>22.实物样品</w:t>
      </w:r>
      <w:bookmarkEnd w:id="292"/>
      <w:bookmarkEnd w:id="293"/>
      <w:bookmarkEnd w:id="294"/>
    </w:p>
    <w:p w14:paraId="3015EA9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22.1“供应商须知前附表”要求提供样品的，样品的具体要求及评审详见“第三章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3F3F84A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22.2样品退还：未成交的供应商应</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自行联系采购人取回递交样品；成交供应商的样品由采购人进行保管、封存，并作为履约验收的参考（竞争性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文件另有规定的从其规定）。</w:t>
      </w:r>
    </w:p>
    <w:p w14:paraId="56366B4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5" w:name="_Toc155185974"/>
      <w:bookmarkStart w:id="296" w:name="_Toc155185875"/>
      <w:bookmarkStart w:id="297" w:name="_Toc158888665"/>
      <w:r>
        <w:rPr>
          <w:rFonts w:hint="eastAsia" w:ascii="宋体" w:hAnsi="宋体" w:eastAsia="宋体" w:cs="宋体"/>
          <w:b/>
          <w:bCs/>
          <w:color w:val="auto"/>
          <w:kern w:val="2"/>
          <w:sz w:val="24"/>
          <w:szCs w:val="24"/>
          <w:highlight w:val="none"/>
          <w:lang w:val="en-US" w:eastAsia="zh-CN" w:bidi="ar-SA"/>
        </w:rPr>
        <w:t>23.项目演示</w:t>
      </w:r>
      <w:bookmarkEnd w:id="295"/>
      <w:bookmarkEnd w:id="296"/>
      <w:bookmarkEnd w:id="297"/>
    </w:p>
    <w:p w14:paraId="3C48391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23.1要求供应商进行演示的，演示要求详见“供应商须知前附表”。</w:t>
      </w:r>
    </w:p>
    <w:p w14:paraId="22102C81">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23.2演示的评审详见“第三章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98" w:name="_Toc163493615"/>
      <w:bookmarkStart w:id="299" w:name="_Toc3263"/>
      <w:bookmarkStart w:id="300" w:name="_Toc109900395"/>
      <w:bookmarkStart w:id="301" w:name="_Toc109899976"/>
      <w:bookmarkStart w:id="302" w:name="_Toc109899557"/>
      <w:bookmarkStart w:id="303" w:name="_Toc46771664"/>
      <w:bookmarkStart w:id="304" w:name="_Toc470172689"/>
      <w:bookmarkStart w:id="305" w:name="_Toc109897458"/>
      <w:r>
        <w:rPr>
          <w:rFonts w:hint="eastAsia" w:ascii="宋体" w:hAnsi="宋体" w:eastAsia="宋体" w:cs="宋体"/>
          <w:b/>
          <w:bCs/>
          <w:color w:val="auto"/>
          <w:kern w:val="2"/>
          <w:sz w:val="24"/>
          <w:szCs w:val="24"/>
          <w:highlight w:val="none"/>
          <w:lang w:val="en-US" w:eastAsia="zh-CN" w:bidi="ar-SA"/>
        </w:rPr>
        <w:t>（五）</w:t>
      </w:r>
      <w:bookmarkEnd w:id="298"/>
      <w:r>
        <w:rPr>
          <w:rFonts w:hint="eastAsia" w:ascii="宋体" w:hAnsi="宋体" w:eastAsia="宋体" w:cs="宋体"/>
          <w:b/>
          <w:bCs/>
          <w:color w:val="auto"/>
          <w:kern w:val="2"/>
          <w:sz w:val="24"/>
          <w:szCs w:val="24"/>
          <w:highlight w:val="none"/>
          <w:lang w:val="en-US" w:eastAsia="zh-CN" w:bidi="ar-SA"/>
        </w:rPr>
        <w:t>响应文件开启</w:t>
      </w:r>
      <w:bookmarkEnd w:id="299"/>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6" w:name="_Hlk161704700"/>
      <w:r>
        <w:rPr>
          <w:rFonts w:hint="eastAsia" w:ascii="宋体" w:hAnsi="宋体" w:eastAsia="宋体" w:cs="宋体"/>
          <w:b/>
          <w:bCs/>
          <w:color w:val="auto"/>
          <w:kern w:val="2"/>
          <w:sz w:val="24"/>
          <w:szCs w:val="24"/>
          <w:highlight w:val="none"/>
          <w:lang w:val="en-US" w:eastAsia="zh-CN" w:bidi="ar-SA"/>
        </w:rPr>
        <w:t>24.响应文件开启</w:t>
      </w:r>
    </w:p>
    <w:p w14:paraId="30320CCC">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bCs/>
          <w:color w:val="auto"/>
          <w:sz w:val="24"/>
          <w:szCs w:val="24"/>
          <w:highlight w:val="none"/>
        </w:rPr>
      </w:pPr>
      <w:bookmarkStart w:id="307" w:name="_Toc140132781"/>
      <w:r>
        <w:rPr>
          <w:rFonts w:hint="eastAsia" w:ascii="宋体" w:hAnsi="宋体" w:eastAsia="宋体" w:cs="宋体"/>
          <w:color w:val="auto"/>
          <w:sz w:val="24"/>
          <w:szCs w:val="24"/>
          <w:highlight w:val="none"/>
        </w:rPr>
        <w:t>24.1供应商应按照“</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”中的要求参与开启。</w:t>
      </w:r>
      <w:bookmarkEnd w:id="307"/>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08" w:name="_Toc140132782"/>
      <w:bookmarkStart w:id="309" w:name="_Toc161600316"/>
      <w:r>
        <w:rPr>
          <w:rFonts w:hint="eastAsia" w:ascii="宋体" w:hAnsi="宋体" w:eastAsia="宋体" w:cs="宋体"/>
          <w:b/>
          <w:bCs/>
          <w:color w:val="auto"/>
          <w:kern w:val="2"/>
          <w:sz w:val="24"/>
          <w:szCs w:val="24"/>
          <w:highlight w:val="none"/>
          <w:lang w:val="en-US" w:eastAsia="zh-CN" w:bidi="ar-SA"/>
        </w:rPr>
        <w:t>25.开启时间和地点</w:t>
      </w:r>
      <w:bookmarkEnd w:id="308"/>
      <w:bookmarkEnd w:id="309"/>
    </w:p>
    <w:p w14:paraId="19FC62D6">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25.1开启时间和地点</w:t>
      </w:r>
    </w:p>
    <w:p w14:paraId="74263C6D">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公告</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规</w:t>
      </w:r>
      <w:r>
        <w:rPr>
          <w:rFonts w:hint="eastAsia" w:ascii="宋体" w:hAnsi="宋体" w:eastAsia="宋体" w:cs="宋体"/>
          <w:color w:val="auto"/>
          <w:sz w:val="24"/>
          <w:szCs w:val="24"/>
          <w:highlight w:val="none"/>
          <w:lang w:val="zh-CN"/>
        </w:rPr>
        <w:t>定的</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lang w:val="zh-CN"/>
        </w:rPr>
        <w:t>响应文件截止时间、开启时间及地点，采购代理机构通过</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kern w:val="2"/>
          <w:sz w:val="24"/>
          <w:szCs w:val="24"/>
          <w:highlight w:val="none"/>
        </w:rPr>
        <w:t>的“政采云远程开标大厅”</w:t>
      </w:r>
      <w:r>
        <w:rPr>
          <w:rFonts w:hint="eastAsia" w:ascii="宋体" w:hAnsi="宋体" w:eastAsia="宋体" w:cs="宋体"/>
          <w:color w:val="auto"/>
          <w:sz w:val="24"/>
          <w:szCs w:val="24"/>
          <w:highlight w:val="none"/>
          <w:lang w:val="zh-CN"/>
        </w:rPr>
        <w:t>组织响应文件开启工作。</w:t>
      </w:r>
    </w:p>
    <w:p w14:paraId="66534CB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25.2响应文件开启：</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25.3规定的时间内，非因</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sz w:val="24"/>
          <w:szCs w:val="24"/>
          <w:highlight w:val="none"/>
        </w:rPr>
        <w:t>原因造成响应文件未解密的，视为供应商撤回响应文件。</w:t>
      </w:r>
      <w:r>
        <w:rPr>
          <w:rFonts w:hint="eastAsia" w:ascii="宋体" w:hAnsi="宋体" w:eastAsia="宋体" w:cs="宋体"/>
          <w:color w:val="auto"/>
          <w:sz w:val="24"/>
          <w:szCs w:val="24"/>
          <w:highlight w:val="none"/>
          <w:lang w:val="en-US" w:eastAsia="zh-CN"/>
        </w:rPr>
        <w:t>供应商不足3家的，不予解密；</w:t>
      </w:r>
      <w:r>
        <w:rPr>
          <w:rFonts w:hint="eastAsia" w:ascii="宋体" w:hAnsi="宋体" w:eastAsia="宋体" w:cs="宋体"/>
          <w:color w:val="auto"/>
          <w:sz w:val="24"/>
          <w:szCs w:val="24"/>
          <w:highlight w:val="none"/>
        </w:rPr>
        <w:t>停止解密后，已解密开启的响应文件不足3家的，应当终止采购活动。</w:t>
      </w:r>
      <w:r>
        <w:rPr>
          <w:rFonts w:hint="eastAsia" w:ascii="宋体" w:hAnsi="宋体" w:eastAsia="宋体" w:cs="宋体"/>
          <w:color w:val="auto"/>
          <w:sz w:val="24"/>
          <w:szCs w:val="24"/>
          <w:highlight w:val="none"/>
        </w:rPr>
        <w:t>公开招标的货物和服务项目，招标过程中提交投标文件或者经评审实质性响应招标文件要求的供应商只有2家时，经本级财政部门批准后采用竞争性谈判方式采购的可以为2家</w:t>
      </w:r>
      <w:r>
        <w:rPr>
          <w:rFonts w:hint="eastAsia" w:cs="宋体"/>
          <w:color w:val="auto"/>
          <w:sz w:val="24"/>
          <w:szCs w:val="24"/>
          <w:highlight w:val="none"/>
          <w:lang w:eastAsia="zh-CN"/>
        </w:rPr>
        <w:t>。</w:t>
      </w:r>
    </w:p>
    <w:p w14:paraId="4607536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25.4供应商或其授权代表对响应文件开启过程有疑义的，以及认为采购人、采购代理机构相关工作人员有需要回避的情形的，应在开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会议中提出询问或者回避申请。采购人、采购代理机构对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授权代表提出的询问或者回避申请应当及时处理。</w:t>
      </w:r>
    </w:p>
    <w:p w14:paraId="0486AA5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未参加开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的，视同认可开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结果。</w:t>
      </w:r>
    </w:p>
    <w:bookmarkEnd w:id="300"/>
    <w:bookmarkEnd w:id="301"/>
    <w:bookmarkEnd w:id="302"/>
    <w:bookmarkEnd w:id="303"/>
    <w:bookmarkEnd w:id="304"/>
    <w:bookmarkEnd w:id="305"/>
    <w:bookmarkEnd w:id="306"/>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0" w:name="_Toc155185877"/>
      <w:bookmarkStart w:id="311" w:name="_Toc140132785"/>
      <w:bookmarkStart w:id="312" w:name="_Toc19270"/>
      <w:bookmarkStart w:id="313" w:name="_Toc163492854"/>
      <w:r>
        <w:rPr>
          <w:rFonts w:hint="eastAsia" w:ascii="宋体" w:hAnsi="宋体" w:eastAsia="宋体" w:cs="宋体"/>
          <w:b/>
          <w:bCs/>
          <w:color w:val="auto"/>
          <w:kern w:val="2"/>
          <w:sz w:val="24"/>
          <w:szCs w:val="24"/>
          <w:highlight w:val="none"/>
          <w:lang w:val="en-US" w:eastAsia="zh-CN" w:bidi="ar-SA"/>
        </w:rPr>
        <w:t>（六）资格审查</w:t>
      </w:r>
      <w:bookmarkEnd w:id="310"/>
      <w:bookmarkEnd w:id="311"/>
      <w:bookmarkEnd w:id="312"/>
      <w:bookmarkEnd w:id="313"/>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4" w:name="_Toc163492855"/>
      <w:r>
        <w:rPr>
          <w:rFonts w:hint="eastAsia" w:ascii="宋体" w:hAnsi="宋体" w:eastAsia="宋体" w:cs="宋体"/>
          <w:b/>
          <w:bCs/>
          <w:color w:val="auto"/>
          <w:kern w:val="2"/>
          <w:sz w:val="24"/>
          <w:szCs w:val="24"/>
          <w:highlight w:val="none"/>
          <w:lang w:val="en-US" w:eastAsia="zh-CN" w:bidi="ar-SA"/>
        </w:rPr>
        <w:t>26.资格审查及审查主体</w:t>
      </w:r>
      <w:bookmarkEnd w:id="314"/>
    </w:p>
    <w:p w14:paraId="3F6E8AD4">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5" w:name="_Toc140132786"/>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rPr>
        <w:t>依据法律法规和本</w:t>
      </w:r>
      <w:r>
        <w:rPr>
          <w:rFonts w:hint="eastAsia" w:ascii="宋体" w:hAnsi="宋体" w:eastAsia="宋体" w:cs="宋体"/>
          <w:color w:val="auto"/>
          <w:sz w:val="24"/>
          <w:szCs w:val="24"/>
          <w:highlight w:val="none"/>
          <w:lang w:val="en-US" w:eastAsia="zh-CN"/>
        </w:rPr>
        <w:t>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文件的规定，依法对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资格进行审查，以确定</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是否具备</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资格。</w:t>
      </w:r>
      <w:bookmarkEnd w:id="315"/>
    </w:p>
    <w:p w14:paraId="6F7626D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6" w:name="_Toc140132787"/>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.2资格审查按“第四章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napToGrid w:val="0"/>
          <w:color w:val="auto"/>
          <w:sz w:val="24"/>
          <w:szCs w:val="24"/>
          <w:highlight w:val="none"/>
          <w:lang w:val="zh-CN"/>
        </w:rPr>
        <w:t>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r>
        <w:rPr>
          <w:rFonts w:hint="eastAsia" w:ascii="宋体" w:hAnsi="宋体" w:eastAsia="宋体" w:cs="宋体"/>
          <w:color w:val="auto"/>
          <w:sz w:val="24"/>
          <w:szCs w:val="24"/>
          <w:highlight w:val="none"/>
        </w:rPr>
        <w:t>”的规定进行。</w:t>
      </w:r>
      <w:bookmarkEnd w:id="316"/>
    </w:p>
    <w:p w14:paraId="44D43B8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bookmarkStart w:id="317" w:name="_Toc14013278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.3资格审查结束后，应及时对资格审查结果进行复核，对资格审查错误进行及时纠正并记录。</w:t>
      </w:r>
      <w:bookmarkEnd w:id="317"/>
    </w:p>
    <w:p w14:paraId="272F167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资格审查合格</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不足3家的，不得评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8" w:name="_Toc140132789"/>
      <w:bookmarkStart w:id="319" w:name="_Toc163492856"/>
      <w:bookmarkStart w:id="320" w:name="_Toc155185878"/>
      <w:bookmarkStart w:id="321" w:name="_Toc11374"/>
      <w:r>
        <w:rPr>
          <w:rFonts w:hint="eastAsia" w:ascii="宋体" w:hAnsi="宋体" w:eastAsia="宋体" w:cs="宋体"/>
          <w:b/>
          <w:bCs/>
          <w:color w:val="auto"/>
          <w:kern w:val="2"/>
          <w:sz w:val="24"/>
          <w:szCs w:val="24"/>
          <w:highlight w:val="none"/>
          <w:lang w:val="en-US" w:eastAsia="zh-CN" w:bidi="ar-SA"/>
        </w:rPr>
        <w:t>（七）项目评</w:t>
      </w:r>
      <w:bookmarkEnd w:id="318"/>
      <w:bookmarkEnd w:id="319"/>
      <w:bookmarkEnd w:id="320"/>
      <w:r>
        <w:rPr>
          <w:rFonts w:hint="eastAsia" w:ascii="宋体" w:hAnsi="宋体" w:eastAsia="宋体" w:cs="宋体"/>
          <w:b/>
          <w:bCs/>
          <w:color w:val="auto"/>
          <w:kern w:val="2"/>
          <w:sz w:val="24"/>
          <w:szCs w:val="24"/>
          <w:highlight w:val="none"/>
          <w:lang w:val="en-US" w:eastAsia="zh-CN" w:bidi="ar-SA"/>
        </w:rPr>
        <w:t>审</w:t>
      </w:r>
      <w:bookmarkEnd w:id="321"/>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27.评审方法、程序及标准</w:t>
      </w:r>
    </w:p>
    <w:p w14:paraId="0B5D7D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评审方法：谈判小组与符合资格条件的供应商就采购货物、工程和服务事宜进行谈判，供应商按照谈判文件的要求提交响应文件和最后报价，采购人从谈判小组提出的成交候选人中确定成交供应商。</w:t>
      </w:r>
    </w:p>
    <w:p w14:paraId="51EDFC5F">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本</w:t>
      </w:r>
      <w:r>
        <w:rPr>
          <w:rFonts w:hint="eastAsia" w:ascii="宋体" w:hAnsi="宋体" w:eastAsia="宋体" w:cs="宋体"/>
          <w:snapToGrid w:val="0"/>
          <w:color w:val="auto"/>
          <w:sz w:val="24"/>
          <w:szCs w:val="24"/>
          <w:highlight w:val="none"/>
          <w:lang w:val="zh-CN"/>
        </w:rPr>
        <w:t>项目评审方法、程序及标准详见“第</w:t>
      </w:r>
      <w:r>
        <w:rPr>
          <w:rFonts w:hint="eastAsia" w:ascii="宋体" w:hAnsi="宋体" w:eastAsia="宋体" w:cs="宋体"/>
          <w:snapToGrid w:val="0"/>
          <w:color w:val="auto"/>
          <w:sz w:val="24"/>
          <w:szCs w:val="24"/>
          <w:highlight w:val="none"/>
          <w:lang w:val="en-US" w:eastAsia="zh-CN"/>
        </w:rPr>
        <w:t>四</w:t>
      </w:r>
      <w:r>
        <w:rPr>
          <w:rFonts w:hint="eastAsia" w:ascii="宋体" w:hAnsi="宋体" w:eastAsia="宋体" w:cs="宋体"/>
          <w:snapToGrid w:val="0"/>
          <w:color w:val="auto"/>
          <w:sz w:val="24"/>
          <w:szCs w:val="24"/>
          <w:highlight w:val="none"/>
          <w:lang w:val="zh-CN"/>
        </w:rPr>
        <w:t>章 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.2</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准备：供应商应当按照“</w:t>
      </w:r>
      <w:r>
        <w:rPr>
          <w:rFonts w:hint="eastAsia" w:ascii="宋体" w:hAnsi="宋体" w:eastAsia="宋体" w:cs="宋体"/>
          <w:snapToGrid w:val="0"/>
          <w:color w:val="auto"/>
          <w:sz w:val="24"/>
          <w:szCs w:val="24"/>
          <w:highlight w:val="none"/>
          <w:lang w:val="zh-CN" w:eastAsia="zh-CN"/>
        </w:rPr>
        <w:t>第</w:t>
      </w:r>
      <w:r>
        <w:rPr>
          <w:rFonts w:hint="eastAsia" w:ascii="宋体" w:hAnsi="宋体" w:eastAsia="宋体" w:cs="宋体"/>
          <w:snapToGrid w:val="0"/>
          <w:color w:val="auto"/>
          <w:sz w:val="24"/>
          <w:szCs w:val="24"/>
          <w:highlight w:val="none"/>
          <w:lang w:val="en-US" w:eastAsia="zh-CN"/>
        </w:rPr>
        <w:t>二</w:t>
      </w:r>
      <w:r>
        <w:rPr>
          <w:rFonts w:hint="eastAsia" w:ascii="宋体" w:hAnsi="宋体" w:eastAsia="宋体" w:cs="宋体"/>
          <w:snapToGrid w:val="0"/>
          <w:color w:val="auto"/>
          <w:sz w:val="24"/>
          <w:szCs w:val="24"/>
          <w:highlight w:val="none"/>
          <w:lang w:val="zh-CN" w:eastAsia="zh-CN"/>
        </w:rPr>
        <w:t xml:space="preserve">章 </w:t>
      </w:r>
      <w:r>
        <w:rPr>
          <w:rFonts w:hint="eastAsia" w:ascii="宋体" w:hAnsi="宋体" w:eastAsia="宋体" w:cs="宋体"/>
          <w:snapToGrid w:val="0"/>
          <w:color w:val="auto"/>
          <w:sz w:val="24"/>
          <w:szCs w:val="24"/>
          <w:highlight w:val="none"/>
          <w:lang w:val="en-US" w:eastAsia="zh-CN"/>
        </w:rPr>
        <w:t>供应商须知</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zh-CN"/>
        </w:rPr>
        <w:t>要求提前准备好</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所需的设备，确保设备稳定可靠、互联网畅通。</w:t>
      </w:r>
      <w:r>
        <w:rPr>
          <w:rFonts w:hint="eastAsia" w:ascii="宋体" w:hAnsi="宋体" w:eastAsia="宋体" w:cs="宋体"/>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snapToGrid w:val="0"/>
          <w:color w:val="auto"/>
          <w:sz w:val="24"/>
          <w:szCs w:val="24"/>
          <w:highlight w:val="none"/>
          <w:lang w:val="en-US" w:eastAsia="zh-CN"/>
        </w:rPr>
        <w:t>开</w:t>
      </w:r>
      <w:r>
        <w:rPr>
          <w:rFonts w:hint="eastAsia" w:ascii="宋体" w:hAnsi="宋体" w:eastAsia="宋体" w:cs="宋体"/>
          <w:snapToGrid w:val="0"/>
          <w:color w:val="auto"/>
          <w:sz w:val="24"/>
          <w:szCs w:val="24"/>
          <w:highlight w:val="none"/>
          <w:lang w:val="zh-CN"/>
        </w:rPr>
        <w:t>标大厅”，准时参加在线</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，按照工作人员提示进行相关操作。未按上述要求进行的，导致的后果由供应商自行承担。</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2" w:name="_Toc163492857"/>
      <w:bookmarkStart w:id="323" w:name="_Toc140132790"/>
      <w:r>
        <w:rPr>
          <w:rFonts w:hint="eastAsia" w:ascii="宋体" w:hAnsi="宋体" w:eastAsia="宋体" w:cs="宋体"/>
          <w:b/>
          <w:bCs/>
          <w:color w:val="auto"/>
          <w:kern w:val="2"/>
          <w:sz w:val="24"/>
          <w:szCs w:val="24"/>
          <w:highlight w:val="none"/>
          <w:lang w:val="en-US" w:eastAsia="zh-CN" w:bidi="ar-SA"/>
        </w:rPr>
        <w:t>28.</w:t>
      </w:r>
      <w:bookmarkEnd w:id="322"/>
      <w:bookmarkEnd w:id="323"/>
      <w:r>
        <w:rPr>
          <w:rFonts w:hint="eastAsia" w:ascii="宋体" w:hAnsi="宋体" w:eastAsia="宋体" w:cs="宋体"/>
          <w:b/>
          <w:bCs/>
          <w:color w:val="auto"/>
          <w:kern w:val="2"/>
          <w:sz w:val="24"/>
          <w:szCs w:val="24"/>
          <w:highlight w:val="none"/>
          <w:lang w:val="en-US" w:eastAsia="zh-CN" w:bidi="ar-SA"/>
        </w:rPr>
        <w:t>谈判小组</w:t>
      </w:r>
    </w:p>
    <w:p w14:paraId="6C1089B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.1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小组成员总数的2/3。采购人代表不得以评审专家身份参加本部门或本单位采购项目的评审。采购代理机构人员不得参加本机构代理的采购项目的评审。</w:t>
      </w:r>
    </w:p>
    <w:p w14:paraId="301CAD8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小组成员有下列情形之一的，应当回避：</w:t>
      </w:r>
    </w:p>
    <w:p w14:paraId="0656AC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存在劳动关系；</w:t>
      </w:r>
    </w:p>
    <w:p w14:paraId="55B6A1B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w:t>
      </w:r>
      <w:r>
        <w:rPr>
          <w:rFonts w:hint="eastAsia" w:ascii="宋体" w:hAnsi="宋体" w:eastAsia="宋体" w:cs="宋体"/>
          <w:color w:val="auto"/>
          <w:sz w:val="24"/>
          <w:szCs w:val="24"/>
          <w:highlight w:val="none"/>
          <w:lang w:val="en-US" w:eastAsia="zh-CN"/>
        </w:rPr>
        <w:t>谈判供应商</w:t>
      </w:r>
      <w:r>
        <w:rPr>
          <w:rFonts w:hint="eastAsia" w:ascii="宋体" w:hAnsi="宋体" w:eastAsia="宋体" w:cs="宋体"/>
          <w:color w:val="auto"/>
          <w:sz w:val="24"/>
          <w:szCs w:val="24"/>
          <w:highlight w:val="none"/>
        </w:rPr>
        <w:t>的董事、监事；</w:t>
      </w:r>
    </w:p>
    <w:p w14:paraId="61A1D2B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的控股股东或者实际控制人；</w:t>
      </w:r>
    </w:p>
    <w:p w14:paraId="2961D58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的法定代表人或者负责人有夫妻、直系血亲、三代以内旁系血亲或者近姻亲关系；</w:t>
      </w:r>
    </w:p>
    <w:p w14:paraId="20FB9B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4" w:name="_Toc163492858"/>
      <w:bookmarkStart w:id="325" w:name="_Toc140132791"/>
      <w:r>
        <w:rPr>
          <w:rFonts w:hint="eastAsia" w:ascii="宋体" w:hAnsi="宋体" w:eastAsia="宋体" w:cs="宋体"/>
          <w:b/>
          <w:bCs/>
          <w:color w:val="auto"/>
          <w:kern w:val="2"/>
          <w:sz w:val="24"/>
          <w:szCs w:val="24"/>
          <w:highlight w:val="none"/>
          <w:lang w:val="en-US" w:eastAsia="zh-CN" w:bidi="ar-SA"/>
        </w:rPr>
        <w:t>29.</w:t>
      </w:r>
      <w:bookmarkEnd w:id="324"/>
      <w:bookmarkEnd w:id="325"/>
      <w:r>
        <w:rPr>
          <w:rFonts w:hint="eastAsia" w:ascii="宋体" w:hAnsi="宋体" w:eastAsia="宋体" w:cs="宋体"/>
          <w:b/>
          <w:bCs/>
          <w:color w:val="auto"/>
          <w:kern w:val="2"/>
          <w:sz w:val="24"/>
          <w:szCs w:val="24"/>
          <w:highlight w:val="none"/>
          <w:lang w:val="en-US" w:eastAsia="zh-CN" w:bidi="ar-SA"/>
        </w:rPr>
        <w:t>评审</w:t>
      </w:r>
    </w:p>
    <w:p w14:paraId="418DE4C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 谈判</w:t>
      </w:r>
      <w:r>
        <w:rPr>
          <w:rFonts w:hint="eastAsia" w:ascii="宋体" w:hAnsi="宋体" w:eastAsia="宋体" w:cs="宋体"/>
          <w:color w:val="auto"/>
          <w:sz w:val="24"/>
          <w:szCs w:val="24"/>
          <w:highlight w:val="none"/>
        </w:rPr>
        <w:t>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r>
        <w:rPr>
          <w:rFonts w:hint="eastAsia" w:cs="宋体"/>
          <w:color w:val="auto"/>
          <w:sz w:val="24"/>
          <w:szCs w:val="24"/>
          <w:highlight w:val="none"/>
          <w:lang w:val="en-US" w:eastAsia="zh-CN"/>
        </w:rPr>
        <w:t>本项目谈判轮次及谈判顺序详“供应商须知前附表”。</w:t>
      </w:r>
    </w:p>
    <w:p w14:paraId="1A9007D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2 </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候选人数量在评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报告中向采购人推荐</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p>
    <w:p w14:paraId="1E6345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 开启之后，直到签订合同止，凡是属于审查、澄清、评价和比较</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的有关资料以及确定成交意向等，均不得向供应商或者其他与评审无关的人员透露。</w:t>
      </w:r>
    </w:p>
    <w:p w14:paraId="57927CB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29.4 在确定成交人之前，供应商试图在响应文件审查、澄清、比较和评审时对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w:t>
      </w:r>
    </w:p>
    <w:p w14:paraId="32A320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 电子招投标的应急措施</w:t>
      </w:r>
    </w:p>
    <w:p w14:paraId="52525CD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29.5.1电子开启、评审如出现下列原因，导致系统无法正常运行或无法正常评审时，应采取应急措施。</w:t>
      </w:r>
    </w:p>
    <w:p w14:paraId="3D99F5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29.5.2因系统原因导致供应商均无法解密电子响应文件时，采购代理机构可在开启现场直接导入供应商在递交响应文件截止时间前递交的未加密的电子响应文件进行开启、评审。</w:t>
      </w:r>
    </w:p>
    <w:p w14:paraId="28CD45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 供应商瑕疵滞后发现的处理规则</w:t>
      </w:r>
    </w:p>
    <w:p w14:paraId="11E85EA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6" w:name="_Toc3567"/>
      <w:bookmarkStart w:id="327" w:name="_Toc109899563"/>
      <w:bookmarkStart w:id="328" w:name="_Toc109897464"/>
      <w:bookmarkStart w:id="329" w:name="_Toc109899982"/>
      <w:bookmarkStart w:id="330" w:name="_Toc163493616"/>
      <w:bookmarkStart w:id="331" w:name="_Toc470172692"/>
      <w:bookmarkStart w:id="332" w:name="_Toc46771670"/>
      <w:bookmarkStart w:id="333" w:name="_Toc109900401"/>
      <w:r>
        <w:rPr>
          <w:rFonts w:hint="eastAsia" w:ascii="宋体" w:hAnsi="宋体" w:eastAsia="宋体" w:cs="宋体"/>
          <w:b/>
          <w:bCs/>
          <w:color w:val="auto"/>
          <w:kern w:val="2"/>
          <w:sz w:val="24"/>
          <w:szCs w:val="24"/>
          <w:highlight w:val="none"/>
          <w:lang w:val="en-US" w:eastAsia="zh-CN" w:bidi="ar-SA"/>
        </w:rPr>
        <w:t>（八）成交</w:t>
      </w:r>
      <w:bookmarkEnd w:id="326"/>
      <w:bookmarkEnd w:id="327"/>
      <w:bookmarkEnd w:id="328"/>
      <w:bookmarkEnd w:id="329"/>
      <w:bookmarkEnd w:id="330"/>
      <w:bookmarkEnd w:id="331"/>
      <w:bookmarkEnd w:id="332"/>
      <w:bookmarkEnd w:id="333"/>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4" w:name="_Toc109900402"/>
      <w:bookmarkStart w:id="335" w:name="_Toc46772272"/>
      <w:bookmarkStart w:id="336" w:name="_Toc46771671"/>
      <w:bookmarkStart w:id="337" w:name="_Toc48846140"/>
      <w:bookmarkStart w:id="338" w:name="_Toc109899564"/>
      <w:bookmarkStart w:id="339" w:name="_Toc52960584"/>
      <w:bookmarkStart w:id="340" w:name="_Toc51674242"/>
      <w:bookmarkStart w:id="341" w:name="_Toc48688820"/>
      <w:bookmarkStart w:id="342" w:name="_Toc109897465"/>
      <w:bookmarkStart w:id="343" w:name="_Toc52962758"/>
      <w:bookmarkStart w:id="344" w:name="_Toc109899983"/>
      <w:bookmarkStart w:id="345" w:name="_Hlk143533953"/>
      <w:r>
        <w:rPr>
          <w:rFonts w:hint="eastAsia" w:ascii="宋体" w:hAnsi="宋体" w:eastAsia="宋体" w:cs="宋体"/>
          <w:b/>
          <w:bCs/>
          <w:color w:val="auto"/>
          <w:kern w:val="2"/>
          <w:sz w:val="24"/>
          <w:szCs w:val="24"/>
          <w:highlight w:val="none"/>
          <w:lang w:val="en-US" w:eastAsia="zh-CN" w:bidi="ar-SA"/>
        </w:rPr>
        <w:t>30.确定成交供应商</w:t>
      </w:r>
      <w:bookmarkEnd w:id="334"/>
      <w:bookmarkEnd w:id="335"/>
      <w:bookmarkEnd w:id="336"/>
      <w:bookmarkEnd w:id="337"/>
      <w:bookmarkEnd w:id="338"/>
      <w:bookmarkEnd w:id="339"/>
      <w:bookmarkEnd w:id="340"/>
      <w:bookmarkEnd w:id="341"/>
      <w:bookmarkEnd w:id="342"/>
      <w:bookmarkEnd w:id="343"/>
      <w:bookmarkEnd w:id="344"/>
    </w:p>
    <w:p w14:paraId="2A96CF82">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default"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30</w:t>
      </w:r>
      <w:r>
        <w:rPr>
          <w:rFonts w:hint="eastAsia" w:ascii="宋体" w:hAnsi="宋体" w:eastAsia="宋体" w:cs="宋体"/>
          <w:snapToGrid w:val="0"/>
          <w:color w:val="auto"/>
          <w:sz w:val="24"/>
          <w:szCs w:val="24"/>
          <w:highlight w:val="none"/>
          <w:lang w:val="zh-CN"/>
        </w:rPr>
        <w:t>.1确定成交供应商详见“供应商须知前附表”。</w:t>
      </w:r>
      <w:r>
        <w:rPr>
          <w:rFonts w:hint="eastAsia" w:cs="宋体"/>
          <w:snapToGrid w:val="0"/>
          <w:color w:val="auto"/>
          <w:sz w:val="24"/>
          <w:szCs w:val="24"/>
          <w:highlight w:val="none"/>
          <w:lang w:val="en-US" w:eastAsia="zh-CN"/>
        </w:rPr>
        <w:t>成交候选人并列的，按照</w:t>
      </w:r>
      <w:r>
        <w:rPr>
          <w:rFonts w:hint="eastAsia" w:ascii="宋体" w:hAnsi="宋体" w:eastAsia="宋体" w:cs="宋体"/>
          <w:snapToGrid w:val="0"/>
          <w:color w:val="auto"/>
          <w:sz w:val="24"/>
          <w:szCs w:val="24"/>
          <w:highlight w:val="none"/>
          <w:lang w:val="zh-CN"/>
        </w:rPr>
        <w:t>“供应商须知前附表”</w:t>
      </w:r>
      <w:r>
        <w:rPr>
          <w:rFonts w:hint="eastAsia" w:cs="宋体"/>
          <w:snapToGrid w:val="0"/>
          <w:color w:val="auto"/>
          <w:sz w:val="24"/>
          <w:szCs w:val="24"/>
          <w:highlight w:val="none"/>
          <w:lang w:val="en-US" w:eastAsia="zh-CN"/>
        </w:rPr>
        <w:t>要求确定成交供应商。</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31.成交结果公告</w:t>
      </w:r>
    </w:p>
    <w:p w14:paraId="32E98E3A">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snapToGrid w:val="0"/>
          <w:color w:val="auto"/>
          <w:sz w:val="24"/>
          <w:szCs w:val="24"/>
          <w:highlight w:val="none"/>
          <w:lang w:val="en-US" w:eastAsia="zh-CN"/>
        </w:rPr>
        <w:t>31</w:t>
      </w:r>
      <w:r>
        <w:rPr>
          <w:rFonts w:hint="eastAsia" w:ascii="宋体" w:hAnsi="宋体" w:eastAsia="宋体" w:cs="宋体"/>
          <w:snapToGrid w:val="0"/>
          <w:color w:val="auto"/>
          <w:sz w:val="24"/>
          <w:szCs w:val="24"/>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bidi="ar"/>
        </w:rPr>
        <w:t>文件</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因落实政府采购政策等原因进行价格扣除后成交供应商的评审报价</w:t>
      </w:r>
      <w:r>
        <w:rPr>
          <w:rFonts w:hint="eastAsia" w:ascii="宋体" w:hAnsi="宋体" w:eastAsia="宋体" w:cs="宋体"/>
          <w:color w:val="auto"/>
          <w:sz w:val="24"/>
          <w:szCs w:val="24"/>
          <w:highlight w:val="none"/>
          <w:lang w:bidi="ar"/>
        </w:rPr>
        <w:t>随成交结果同时公告。</w:t>
      </w:r>
    </w:p>
    <w:p w14:paraId="5352A1F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，其“中小企业声明函”随成交结果同时公告。成交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为残疾人福利性单位的，其“残疾人福利性单位声明函”随成交结果同时公告。</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32.成交通知书</w:t>
      </w:r>
    </w:p>
    <w:p w14:paraId="3F3AC502">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32</w:t>
      </w:r>
      <w:r>
        <w:rPr>
          <w:rFonts w:hint="eastAsia" w:ascii="宋体" w:hAnsi="宋体" w:eastAsia="宋体" w:cs="宋体"/>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6" w:name="_Toc2288"/>
      <w:bookmarkStart w:id="347" w:name="_Toc163493617"/>
      <w:r>
        <w:rPr>
          <w:rFonts w:hint="eastAsia" w:ascii="宋体" w:hAnsi="宋体" w:eastAsia="宋体" w:cs="宋体"/>
          <w:b/>
          <w:bCs/>
          <w:color w:val="auto"/>
          <w:kern w:val="2"/>
          <w:sz w:val="24"/>
          <w:szCs w:val="24"/>
          <w:highlight w:val="none"/>
          <w:lang w:val="en-US" w:eastAsia="zh-CN" w:bidi="ar-SA"/>
        </w:rPr>
        <w:t>（九）签订合同</w:t>
      </w:r>
      <w:bookmarkEnd w:id="346"/>
      <w:bookmarkEnd w:id="347"/>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48" w:name="_Toc48688821"/>
      <w:bookmarkStart w:id="349" w:name="_Toc109899984"/>
      <w:bookmarkStart w:id="350" w:name="_Toc46772273"/>
      <w:bookmarkStart w:id="351" w:name="_Toc109900403"/>
      <w:bookmarkStart w:id="352" w:name="_Toc51674243"/>
      <w:bookmarkStart w:id="353" w:name="_Toc46771672"/>
      <w:bookmarkStart w:id="354" w:name="_Toc52960585"/>
      <w:bookmarkStart w:id="355" w:name="_Toc48846141"/>
      <w:bookmarkStart w:id="356" w:name="_Toc109897466"/>
      <w:bookmarkStart w:id="357" w:name="_Toc52962759"/>
      <w:bookmarkStart w:id="358" w:name="_Toc109899565"/>
      <w:r>
        <w:rPr>
          <w:rFonts w:hint="eastAsia" w:ascii="宋体" w:hAnsi="宋体" w:eastAsia="宋体" w:cs="宋体"/>
          <w:b/>
          <w:bCs/>
          <w:color w:val="auto"/>
          <w:kern w:val="2"/>
          <w:sz w:val="24"/>
          <w:szCs w:val="24"/>
          <w:highlight w:val="none"/>
          <w:lang w:val="en-US" w:eastAsia="zh-CN" w:bidi="ar-SA"/>
        </w:rPr>
        <w:t>33.履约保证金</w:t>
      </w:r>
    </w:p>
    <w:p w14:paraId="2934878C">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.1在签订合同前，成交供应商应按“供应商须知前附表”规定的金额、担保形式和采购人认可的履约担保格式向采购人提交履约保证金。</w:t>
      </w:r>
    </w:p>
    <w:p w14:paraId="429BB4A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.2成交供应商不能按本章第3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.1项要求提交履约担保的，视为放弃成交，给采购人造成损失的，成交供应商还应当承担民事责任。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34.签订合同</w:t>
      </w:r>
      <w:bookmarkEnd w:id="348"/>
      <w:bookmarkEnd w:id="349"/>
      <w:bookmarkEnd w:id="350"/>
      <w:bookmarkEnd w:id="351"/>
      <w:bookmarkEnd w:id="352"/>
      <w:bookmarkEnd w:id="353"/>
      <w:bookmarkEnd w:id="354"/>
      <w:bookmarkEnd w:id="355"/>
      <w:bookmarkEnd w:id="356"/>
      <w:bookmarkEnd w:id="357"/>
      <w:bookmarkEnd w:id="358"/>
    </w:p>
    <w:p w14:paraId="343B0C1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val="zh-CN"/>
        </w:rPr>
        <w:t>文件确定的合同文本以及采购标的、规格型号、采购金额、采购数量、技术和服务要求等事项签订政府采购合同。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p>
    <w:p w14:paraId="1C3196D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w:t>
      </w:r>
      <w:r>
        <w:rPr>
          <w:rFonts w:hint="eastAsia" w:cs="宋体"/>
          <w:color w:val="auto"/>
          <w:sz w:val="24"/>
          <w:szCs w:val="24"/>
          <w:highlight w:val="none"/>
          <w:lang w:val="en-US" w:eastAsia="zh-CN"/>
        </w:rPr>
        <w:t>非招标采购方式</w:t>
      </w:r>
      <w:r>
        <w:rPr>
          <w:rFonts w:hint="eastAsia" w:ascii="宋体" w:hAnsi="宋体" w:eastAsia="宋体" w:cs="宋体"/>
          <w:color w:val="auto"/>
          <w:sz w:val="24"/>
          <w:szCs w:val="24"/>
          <w:highlight w:val="none"/>
          <w:lang w:val="zh-CN"/>
        </w:rPr>
        <w:t>管理办法》（</w:t>
      </w:r>
      <w:r>
        <w:rPr>
          <w:rFonts w:hint="eastAsia" w:cs="宋体"/>
          <w:color w:val="auto"/>
          <w:sz w:val="24"/>
          <w:szCs w:val="24"/>
          <w:highlight w:val="none"/>
          <w:lang w:val="en-US" w:eastAsia="zh-CN"/>
        </w:rPr>
        <w:t>财政部令7</w:t>
      </w:r>
      <w:r>
        <w:rPr>
          <w:rFonts w:hint="eastAsia" w:ascii="宋体" w:hAnsi="宋体" w:eastAsia="宋体" w:cs="宋体"/>
          <w:color w:val="auto"/>
          <w:sz w:val="24"/>
          <w:szCs w:val="24"/>
          <w:highlight w:val="none"/>
          <w:lang w:val="zh-CN"/>
        </w:rPr>
        <w:t>4号）第</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条</w:t>
      </w:r>
      <w:r>
        <w:rPr>
          <w:rFonts w:hint="eastAsia" w:cs="宋体"/>
          <w:color w:val="auto"/>
          <w:sz w:val="24"/>
          <w:szCs w:val="24"/>
          <w:highlight w:val="none"/>
          <w:lang w:val="en-US" w:eastAsia="zh-CN"/>
        </w:rPr>
        <w:t>第二款</w:t>
      </w:r>
      <w:r>
        <w:rPr>
          <w:rFonts w:hint="eastAsia" w:ascii="宋体" w:hAnsi="宋体" w:eastAsia="宋体" w:cs="宋体"/>
          <w:color w:val="auto"/>
          <w:sz w:val="24"/>
          <w:szCs w:val="24"/>
          <w:highlight w:val="none"/>
          <w:lang w:val="zh-CN"/>
        </w:rPr>
        <w:t>的规定确定其他供应商作为成交供应商并签订政府采购合同，也可以重新开展采购活动。拒绝签订政府采购合同的成交供应商不得参加对该项目重新开展的采购活动。</w:t>
      </w:r>
    </w:p>
    <w:p w14:paraId="28320F9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供应商不得向对方提出任何不合理的要求，作为签订合同的条件，双方不得私下订立背离合同实质性内容的协议。</w:t>
      </w:r>
    </w:p>
    <w:p w14:paraId="26D222D9">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34.4联合体成交的，联合体各方应当共同与采购人签订合同，就采购合同约定的事项向采购人承担连带责任。</w:t>
      </w:r>
    </w:p>
    <w:p w14:paraId="7F760399">
      <w:pPr>
        <w:pStyle w:val="33"/>
        <w:keepNext w:val="0"/>
        <w:keepLines w:val="0"/>
        <w:pageBreakBefore w:val="0"/>
        <w:widowControl w:val="0"/>
        <w:kinsoku/>
        <w:overflowPunct/>
        <w:topLinePunct w:val="0"/>
        <w:bidi w:val="0"/>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34.5本项目的非主体、非关键性工作是否允许分包，见“供应商须知前附表”。</w:t>
      </w:r>
      <w:r>
        <w:rPr>
          <w:rFonts w:hint="eastAsia" w:ascii="宋体" w:hAnsi="宋体" w:eastAsia="宋体" w:cs="宋体"/>
          <w:color w:val="auto"/>
          <w:sz w:val="24"/>
          <w:szCs w:val="24"/>
          <w:highlight w:val="none"/>
        </w:rPr>
        <w:t>供应商未遵守竞争性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文件分包规定的，其</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成交无效</w:t>
      </w:r>
      <w:r>
        <w:rPr>
          <w:rFonts w:hint="eastAsia" w:ascii="宋体" w:hAnsi="宋体" w:eastAsia="宋体" w:cs="宋体"/>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0ABFD586">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34.7采购人应于签订合同之日起2个工作日内在政采云平台备案公示。</w:t>
      </w:r>
    </w:p>
    <w:bookmarkEnd w:id="345"/>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59" w:name="_Toc109900404"/>
      <w:bookmarkStart w:id="360" w:name="_Toc163493618"/>
      <w:bookmarkStart w:id="361" w:name="_Toc28173"/>
      <w:bookmarkStart w:id="362" w:name="_Toc109899566"/>
      <w:bookmarkStart w:id="363" w:name="_Toc46771673"/>
      <w:bookmarkStart w:id="364" w:name="_Toc109899985"/>
      <w:bookmarkStart w:id="365" w:name="_Toc109897467"/>
      <w:bookmarkStart w:id="366" w:name="_Toc470172693"/>
      <w:r>
        <w:rPr>
          <w:rFonts w:hint="eastAsia" w:ascii="宋体" w:hAnsi="宋体" w:eastAsia="宋体" w:cs="宋体"/>
          <w:b/>
          <w:bCs/>
          <w:color w:val="auto"/>
          <w:kern w:val="2"/>
          <w:sz w:val="24"/>
          <w:szCs w:val="24"/>
          <w:highlight w:val="none"/>
          <w:lang w:val="en-US" w:eastAsia="zh-CN" w:bidi="ar-SA"/>
        </w:rPr>
        <w:t>（十）质疑和投诉</w:t>
      </w:r>
      <w:bookmarkEnd w:id="359"/>
      <w:bookmarkEnd w:id="360"/>
      <w:bookmarkEnd w:id="361"/>
      <w:bookmarkEnd w:id="362"/>
      <w:bookmarkEnd w:id="363"/>
      <w:bookmarkEnd w:id="364"/>
      <w:bookmarkEnd w:id="365"/>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67" w:name="_Toc46771674"/>
      <w:bookmarkStart w:id="368" w:name="_Toc109900405"/>
      <w:bookmarkStart w:id="369" w:name="_Toc109899567"/>
      <w:bookmarkStart w:id="370" w:name="_Toc52960587"/>
      <w:bookmarkStart w:id="371" w:name="_Toc52962761"/>
      <w:bookmarkStart w:id="372" w:name="_Toc48846143"/>
      <w:bookmarkStart w:id="373" w:name="_Toc109897468"/>
      <w:bookmarkStart w:id="374" w:name="_Toc48688823"/>
      <w:bookmarkStart w:id="375" w:name="_Toc51674245"/>
      <w:bookmarkStart w:id="376" w:name="_Toc109899986"/>
      <w:bookmarkStart w:id="377" w:name="_Toc46772275"/>
      <w:r>
        <w:rPr>
          <w:rFonts w:hint="eastAsia" w:ascii="宋体" w:hAnsi="宋体" w:eastAsia="宋体" w:cs="宋体"/>
          <w:b/>
          <w:bCs/>
          <w:color w:val="auto"/>
          <w:kern w:val="2"/>
          <w:sz w:val="24"/>
          <w:szCs w:val="24"/>
          <w:highlight w:val="none"/>
          <w:lang w:val="en-US" w:eastAsia="zh-CN" w:bidi="ar-SA"/>
        </w:rPr>
        <w:t>35.质疑</w:t>
      </w:r>
      <w:bookmarkEnd w:id="367"/>
      <w:bookmarkEnd w:id="368"/>
      <w:bookmarkEnd w:id="369"/>
      <w:bookmarkEnd w:id="370"/>
      <w:bookmarkEnd w:id="371"/>
      <w:bookmarkEnd w:id="372"/>
      <w:bookmarkEnd w:id="373"/>
      <w:bookmarkEnd w:id="374"/>
      <w:bookmarkEnd w:id="375"/>
      <w:bookmarkEnd w:id="376"/>
      <w:bookmarkEnd w:id="377"/>
    </w:p>
    <w:p w14:paraId="097AA16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bookmarkStart w:id="378" w:name="_Toc52960588"/>
      <w:bookmarkStart w:id="379" w:name="_Toc109900406"/>
      <w:bookmarkStart w:id="380" w:name="_Toc109899568"/>
      <w:bookmarkStart w:id="381" w:name="_Toc46771675"/>
      <w:bookmarkStart w:id="382" w:name="_Toc109899987"/>
      <w:bookmarkStart w:id="383" w:name="_Toc48846144"/>
      <w:bookmarkStart w:id="384" w:name="_Toc46772276"/>
      <w:bookmarkStart w:id="385" w:name="_Toc52962762"/>
      <w:bookmarkStart w:id="386" w:name="_Toc109897469"/>
      <w:bookmarkStart w:id="387" w:name="_Toc48688824"/>
      <w:bookmarkStart w:id="388" w:name="_Toc51674246"/>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.1供应商认为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详见“供应商须知前附表”</w:t>
      </w:r>
      <w:r>
        <w:rPr>
          <w:rFonts w:hint="eastAsia" w:ascii="宋体" w:hAnsi="宋体" w:eastAsia="宋体" w:cs="宋体"/>
          <w:color w:val="auto"/>
          <w:sz w:val="24"/>
          <w:szCs w:val="24"/>
          <w:highlight w:val="none"/>
        </w:rPr>
        <w:t>。供应商在法定质疑期内一次性提出针对同一采购程序环节的质疑。</w:t>
      </w:r>
    </w:p>
    <w:p w14:paraId="35972B9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6503DC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35.3</w:t>
      </w:r>
      <w:r>
        <w:rPr>
          <w:rFonts w:hint="eastAsia" w:ascii="宋体" w:hAnsi="宋体" w:eastAsia="宋体" w:cs="宋体"/>
          <w:color w:val="auto"/>
          <w:sz w:val="24"/>
          <w:szCs w:val="24"/>
          <w:highlight w:val="none"/>
        </w:rPr>
        <w:t>潜在供应商已依法获取其可质疑的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文件的，可以对该文件提出质疑。对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文件提出质疑的，应当在获取</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文件或者</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文件公告期限届满之日起7个工作日内提出。</w:t>
      </w:r>
    </w:p>
    <w:p w14:paraId="7A916D6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35.4</w:t>
      </w:r>
      <w:r>
        <w:rPr>
          <w:rFonts w:hint="eastAsia" w:ascii="宋体" w:hAnsi="宋体" w:eastAsia="宋体" w:cs="宋体"/>
          <w:color w:val="auto"/>
          <w:sz w:val="24"/>
          <w:szCs w:val="24"/>
          <w:highlight w:val="none"/>
        </w:rPr>
        <w:t>供应商提出质疑应当提交质疑函和必要的证明材料。质疑函应当包括下列内容：</w:t>
      </w:r>
    </w:p>
    <w:p w14:paraId="57C1F48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）供应商的姓名或者名称、地址、邮编、联系人及联系电话；</w:t>
      </w:r>
    </w:p>
    <w:p w14:paraId="2B1F4E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1AA8BB7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6456E8B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D032AB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2E14DE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553B627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.5质疑函不符合上述要求的，采购人或代理机构应书面告知具体事项，质疑人应当按要求进行修改或补充，并在质疑有效期限内提交。</w:t>
      </w:r>
    </w:p>
    <w:p w14:paraId="76BD2AC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6供应商</w:t>
      </w:r>
      <w:r>
        <w:rPr>
          <w:rFonts w:hint="eastAsia" w:ascii="宋体" w:hAnsi="宋体" w:eastAsia="宋体" w:cs="宋体"/>
          <w:snapToGrid w:val="0"/>
          <w:color w:val="auto"/>
          <w:sz w:val="24"/>
          <w:szCs w:val="24"/>
          <w:highlight w:val="none"/>
        </w:rPr>
        <w:t>进行虚假和恶意</w:t>
      </w:r>
      <w:r>
        <w:rPr>
          <w:rFonts w:hint="eastAsia" w:ascii="宋体" w:hAnsi="宋体" w:eastAsia="宋体" w:cs="宋体"/>
          <w:snapToGrid w:val="0"/>
          <w:color w:val="auto"/>
          <w:sz w:val="24"/>
          <w:szCs w:val="24"/>
          <w:highlight w:val="none"/>
          <w:lang w:val="en-US" w:eastAsia="zh-CN"/>
        </w:rPr>
        <w:t>质疑投诉</w:t>
      </w:r>
      <w:r>
        <w:rPr>
          <w:rFonts w:hint="eastAsia" w:ascii="宋体" w:hAnsi="宋体" w:eastAsia="宋体" w:cs="宋体"/>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35.7</w:t>
      </w:r>
      <w:r>
        <w:rPr>
          <w:rFonts w:hint="eastAsia" w:ascii="宋体" w:hAnsi="宋体" w:eastAsia="宋体" w:cs="宋体"/>
          <w:color w:val="auto"/>
          <w:sz w:val="24"/>
          <w:szCs w:val="24"/>
          <w:highlight w:val="none"/>
        </w:rPr>
        <w:t>质疑函</w:t>
      </w:r>
      <w:r>
        <w:rPr>
          <w:rFonts w:hint="eastAsia" w:ascii="宋体" w:hAnsi="宋体" w:eastAsia="宋体" w:cs="宋体"/>
          <w:color w:val="auto"/>
          <w:sz w:val="24"/>
          <w:szCs w:val="24"/>
          <w:highlight w:val="none"/>
          <w:lang w:val="en-US" w:eastAsia="zh-CN"/>
        </w:rPr>
        <w:t>应当使用中文，并采用财政部门制定的范本。</w:t>
      </w:r>
    </w:p>
    <w:p w14:paraId="007DBE4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36.质疑答复</w:t>
      </w:r>
      <w:bookmarkEnd w:id="378"/>
      <w:bookmarkEnd w:id="379"/>
      <w:bookmarkEnd w:id="380"/>
      <w:bookmarkEnd w:id="381"/>
      <w:bookmarkEnd w:id="382"/>
      <w:bookmarkEnd w:id="383"/>
      <w:bookmarkEnd w:id="384"/>
      <w:bookmarkEnd w:id="385"/>
      <w:bookmarkEnd w:id="386"/>
      <w:bookmarkEnd w:id="387"/>
      <w:bookmarkEnd w:id="388"/>
    </w:p>
    <w:p w14:paraId="43D7F91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389" w:name="_Toc109899569"/>
      <w:bookmarkStart w:id="390" w:name="_Toc52960589"/>
      <w:bookmarkStart w:id="391" w:name="_Toc52962763"/>
      <w:bookmarkStart w:id="392" w:name="_Toc48846145"/>
      <w:bookmarkStart w:id="393" w:name="_Toc109900407"/>
      <w:bookmarkStart w:id="394" w:name="_Toc109897470"/>
      <w:bookmarkStart w:id="395" w:name="_Toc109899988"/>
      <w:bookmarkStart w:id="396" w:name="_Toc46771676"/>
      <w:bookmarkStart w:id="397" w:name="_Toc48688825"/>
      <w:bookmarkStart w:id="398" w:name="_Toc51674247"/>
      <w:bookmarkStart w:id="399" w:name="_Toc46772277"/>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6776834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36.2供应商对评审过程、成交结果提出质疑的，采购人、采购代理机构可以组织原竞争性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小组协助答复质疑。</w:t>
      </w:r>
    </w:p>
    <w:p w14:paraId="14E02AA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质疑答复应当包括下列内容：</w:t>
      </w:r>
    </w:p>
    <w:p w14:paraId="457CAA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）质疑供应商的姓名或者名称；</w:t>
      </w:r>
    </w:p>
    <w:p w14:paraId="462FCFC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）收到质疑函的日期、质疑项目名称及</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zh-CN" w:eastAsia="zh-CN"/>
        </w:rPr>
        <w:t>编号/包号；</w:t>
      </w:r>
    </w:p>
    <w:p w14:paraId="18D7215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）质疑事项、质疑答复的具体内容、事实依据和法律依据；</w:t>
      </w:r>
    </w:p>
    <w:p w14:paraId="416368F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）告知质疑供应商依法投诉的权利；</w:t>
      </w:r>
    </w:p>
    <w:p w14:paraId="36EE796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）质疑答复人名称；</w:t>
      </w:r>
    </w:p>
    <w:p w14:paraId="7E632C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）答复质疑的日期。</w:t>
      </w:r>
    </w:p>
    <w:p w14:paraId="56A5E1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36.3</w:t>
      </w:r>
      <w:r>
        <w:rPr>
          <w:rFonts w:hint="eastAsia" w:ascii="宋体" w:hAnsi="宋体" w:eastAsia="宋体" w:cs="宋体"/>
          <w:color w:val="auto"/>
          <w:sz w:val="24"/>
          <w:szCs w:val="24"/>
          <w:highlight w:val="none"/>
          <w:lang w:val="zh-CN" w:eastAsia="zh-CN"/>
        </w:rPr>
        <w:t>质疑答复的内容不得涉及商业秘密。</w:t>
      </w:r>
    </w:p>
    <w:p w14:paraId="61006068">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37.投诉</w:t>
      </w:r>
      <w:bookmarkEnd w:id="389"/>
      <w:bookmarkEnd w:id="390"/>
      <w:bookmarkEnd w:id="391"/>
      <w:bookmarkEnd w:id="392"/>
      <w:bookmarkEnd w:id="393"/>
      <w:bookmarkEnd w:id="394"/>
      <w:bookmarkEnd w:id="395"/>
      <w:bookmarkEnd w:id="396"/>
      <w:bookmarkEnd w:id="397"/>
      <w:bookmarkEnd w:id="398"/>
      <w:bookmarkEnd w:id="399"/>
    </w:p>
    <w:bookmarkEnd w:id="116"/>
    <w:bookmarkEnd w:id="366"/>
    <w:p w14:paraId="34C5EA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bookmarkStart w:id="400" w:name="_Toc163493619"/>
      <w:bookmarkStart w:id="401" w:name="_Toc109897471"/>
      <w:bookmarkStart w:id="402" w:name="_Hlk60570485"/>
      <w:bookmarkStart w:id="403" w:name="_Toc109899989"/>
      <w:bookmarkStart w:id="404" w:name="_Toc109899570"/>
      <w:bookmarkStart w:id="405" w:name="_Toc109900408"/>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sz w:val="24"/>
          <w:szCs w:val="24"/>
          <w:highlight w:val="none"/>
          <w:lang w:val="en-US" w:eastAsia="zh-CN"/>
        </w:rPr>
        <w:t>同级政府采购监督管理部门</w:t>
      </w:r>
      <w:r>
        <w:rPr>
          <w:rFonts w:hint="eastAsia" w:ascii="宋体" w:hAnsi="宋体" w:eastAsia="宋体" w:cs="宋体"/>
          <w:color w:val="auto"/>
          <w:sz w:val="24"/>
          <w:szCs w:val="24"/>
          <w:highlight w:val="none"/>
        </w:rPr>
        <w:t>提起投诉。</w:t>
      </w:r>
    </w:p>
    <w:p w14:paraId="7AE3C0F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）投诉人和被投诉人的姓名或者名称、通讯地址、邮编、联系人及联系电话；</w:t>
      </w:r>
    </w:p>
    <w:p w14:paraId="1A65A10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）质疑和质疑答复情况说明及相关证明材料；</w:t>
      </w:r>
    </w:p>
    <w:p w14:paraId="675A6D9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）具体、明确的投诉事项和与投诉事项相关的投诉请求；</w:t>
      </w:r>
    </w:p>
    <w:p w14:paraId="4A0C159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CFD3E0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）法律依据；</w:t>
      </w:r>
    </w:p>
    <w:p w14:paraId="35FA6A4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）提起投诉的日期。</w:t>
      </w:r>
    </w:p>
    <w:p w14:paraId="4FC7C3AB">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质疑、</w:t>
      </w:r>
      <w:r>
        <w:rPr>
          <w:rFonts w:hint="eastAsia" w:ascii="宋体" w:hAnsi="宋体" w:eastAsia="宋体" w:cs="宋体"/>
          <w:color w:val="auto"/>
          <w:sz w:val="24"/>
          <w:szCs w:val="24"/>
          <w:highlight w:val="none"/>
        </w:rPr>
        <w:t>投诉</w:t>
      </w:r>
      <w:r>
        <w:rPr>
          <w:rFonts w:hint="eastAsia" w:ascii="宋体" w:hAnsi="宋体" w:eastAsia="宋体" w:cs="宋体"/>
          <w:color w:val="auto"/>
          <w:sz w:val="24"/>
          <w:szCs w:val="24"/>
          <w:highlight w:val="none"/>
          <w:lang w:val="en-US" w:eastAsia="zh-CN"/>
        </w:rPr>
        <w:t>应当有明确的请求和必要的证明材料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供应商投诉的事项不得超出</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质疑事项的范围，但基于质疑答复内容提出的投诉事项除外</w:t>
      </w:r>
      <w:r>
        <w:rPr>
          <w:rFonts w:hint="eastAsia" w:ascii="宋体" w:hAnsi="宋体" w:eastAsia="宋体" w:cs="宋体"/>
          <w:bCs/>
          <w:color w:val="auto"/>
          <w:sz w:val="24"/>
          <w:szCs w:val="24"/>
          <w:highlight w:val="none"/>
        </w:rPr>
        <w:t>。</w:t>
      </w:r>
    </w:p>
    <w:p w14:paraId="4A2CC2E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37.4</w:t>
      </w:r>
      <w:r>
        <w:rPr>
          <w:rFonts w:hint="eastAsia" w:ascii="宋体" w:hAnsi="宋体" w:eastAsia="宋体" w:cs="宋体"/>
          <w:color w:val="auto"/>
          <w:sz w:val="24"/>
          <w:szCs w:val="24"/>
          <w:highlight w:val="none"/>
          <w:lang w:val="en-US" w:eastAsia="zh-CN"/>
        </w:rPr>
        <w:t>投诉书应当使用中文，并采用财政部门制定的范本。</w:t>
      </w:r>
    </w:p>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6" w:name="_Toc24137"/>
      <w:r>
        <w:rPr>
          <w:rFonts w:hint="eastAsia" w:ascii="宋体" w:hAnsi="宋体" w:eastAsia="宋体" w:cs="宋体"/>
          <w:b/>
          <w:bCs/>
          <w:color w:val="auto"/>
          <w:kern w:val="2"/>
          <w:sz w:val="24"/>
          <w:szCs w:val="24"/>
          <w:highlight w:val="none"/>
          <w:lang w:val="en-US" w:eastAsia="zh-CN" w:bidi="ar-SA"/>
        </w:rPr>
        <w:t>（十一）采购代理服务费</w:t>
      </w:r>
      <w:bookmarkEnd w:id="400"/>
      <w:bookmarkEnd w:id="406"/>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38.收取方式和标准</w:t>
      </w:r>
    </w:p>
    <w:p w14:paraId="0F0CA96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8</w:t>
      </w:r>
      <w:r>
        <w:rPr>
          <w:rFonts w:hint="eastAsia" w:ascii="宋体" w:hAnsi="宋体" w:eastAsia="宋体" w:cs="宋体"/>
          <w:color w:val="auto"/>
          <w:sz w:val="24"/>
          <w:szCs w:val="24"/>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7" w:name="_Toc163493620"/>
      <w:bookmarkStart w:id="408" w:name="_Toc2322"/>
      <w:r>
        <w:rPr>
          <w:rFonts w:hint="eastAsia" w:ascii="宋体" w:hAnsi="宋体" w:eastAsia="宋体" w:cs="宋体"/>
          <w:b/>
          <w:bCs/>
          <w:color w:val="auto"/>
          <w:kern w:val="2"/>
          <w:sz w:val="24"/>
          <w:szCs w:val="24"/>
          <w:highlight w:val="none"/>
          <w:lang w:val="en-US" w:eastAsia="zh-CN" w:bidi="ar-SA"/>
        </w:rPr>
        <w:t>（十二）无效响应和终止采购活动</w:t>
      </w:r>
      <w:bookmarkEnd w:id="407"/>
      <w:bookmarkEnd w:id="408"/>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09" w:name="_Toc161600338"/>
      <w:bookmarkStart w:id="410" w:name="_Toc140132806"/>
      <w:r>
        <w:rPr>
          <w:rFonts w:hint="eastAsia" w:ascii="宋体" w:hAnsi="宋体" w:eastAsia="宋体" w:cs="宋体"/>
          <w:b/>
          <w:bCs/>
          <w:color w:val="auto"/>
          <w:kern w:val="2"/>
          <w:sz w:val="24"/>
          <w:szCs w:val="24"/>
          <w:highlight w:val="none"/>
          <w:lang w:val="en-US" w:eastAsia="zh-CN" w:bidi="ar-SA"/>
        </w:rPr>
        <w:t>39.无效</w:t>
      </w:r>
      <w:bookmarkEnd w:id="409"/>
      <w:bookmarkEnd w:id="410"/>
      <w:r>
        <w:rPr>
          <w:rFonts w:hint="eastAsia" w:ascii="宋体" w:hAnsi="宋体" w:eastAsia="宋体" w:cs="宋体"/>
          <w:b/>
          <w:bCs/>
          <w:color w:val="auto"/>
          <w:kern w:val="2"/>
          <w:sz w:val="24"/>
          <w:szCs w:val="24"/>
          <w:highlight w:val="none"/>
          <w:lang w:val="en-US" w:eastAsia="zh-CN" w:bidi="ar-SA"/>
        </w:rPr>
        <w:t>响应</w:t>
      </w:r>
    </w:p>
    <w:p w14:paraId="132D1B41">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.1响应文件存在“第四章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评审方法及标准”规定的</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情形的，做</w:t>
      </w:r>
      <w:r>
        <w:rPr>
          <w:rFonts w:hint="eastAsia" w:ascii="宋体" w:hAnsi="宋体" w:eastAsia="宋体" w:cs="宋体"/>
          <w:b/>
          <w:bCs/>
          <w:color w:val="auto"/>
          <w:sz w:val="24"/>
          <w:szCs w:val="24"/>
          <w:highlight w:val="none"/>
        </w:rPr>
        <w:t>无效响应</w:t>
      </w:r>
      <w:r>
        <w:rPr>
          <w:rFonts w:hint="eastAsia" w:ascii="宋体" w:hAnsi="宋体" w:eastAsia="宋体" w:cs="宋体"/>
          <w:color w:val="auto"/>
          <w:sz w:val="24"/>
          <w:szCs w:val="24"/>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40.终止采购活动</w:t>
      </w:r>
    </w:p>
    <w:p w14:paraId="65CAB1F7">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.1出现下列情形之一的，应当终止竞争性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采购活动，发布项目终止公告并说明原因，重新开展采购活动：</w:t>
      </w:r>
    </w:p>
    <w:p w14:paraId="3F03AB9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采购方式适用情形的；</w:t>
      </w:r>
    </w:p>
    <w:p w14:paraId="34F0BDE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EDE2978">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要求的供应商或者报价未超过采购预算的供应商不足3家的（市场竞争不充分的科研项目、需要扶持的科技成果转化项目以及政府购买服务项目&lt;含政府和社会资本合作项目&gt;）的提交最后报价的供应商可以为2家）。</w:t>
      </w:r>
    </w:p>
    <w:p w14:paraId="18EA97F2">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40.2在采购活动中因重大变故，采购任务取消的，采购人或者采购代理机构应当终止采购活动，</w:t>
      </w:r>
      <w:r>
        <w:rPr>
          <w:rFonts w:hint="eastAsia" w:ascii="宋体" w:hAnsi="宋体" w:eastAsia="宋体" w:cs="宋体"/>
          <w:color w:val="auto"/>
          <w:sz w:val="24"/>
          <w:szCs w:val="24"/>
          <w:highlight w:val="none"/>
          <w:lang w:val="en-US" w:eastAsia="zh-CN"/>
        </w:rPr>
        <w:t>通知所有参加采购活动的供应商</w:t>
      </w:r>
      <w:r>
        <w:rPr>
          <w:rFonts w:hint="eastAsia" w:cs="宋体"/>
          <w:color w:val="auto"/>
          <w:sz w:val="24"/>
          <w:szCs w:val="24"/>
          <w:highlight w:val="none"/>
          <w:lang w:val="en-US" w:eastAsia="zh-CN"/>
        </w:rPr>
        <w:t>并告知终止理由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并将项目实施情况和采购任务取消原因报送本级财政部门。</w:t>
      </w:r>
    </w:p>
    <w:p w14:paraId="56C7680B">
      <w:pPr>
        <w:keepNext w:val="0"/>
        <w:keepLines w:val="0"/>
        <w:widowControl/>
        <w:suppressLineNumbers w:val="0"/>
        <w:jc w:val="left"/>
        <w:rPr>
          <w:rFonts w:hint="eastAsia" w:ascii="宋体" w:hAnsi="宋体" w:eastAsia="宋体" w:cs="宋体"/>
          <w:color w:val="auto"/>
          <w:sz w:val="24"/>
          <w:szCs w:val="24"/>
          <w:highlight w:val="none"/>
        </w:rPr>
      </w:pPr>
      <w:bookmarkStart w:id="411" w:name="_Toc163493621"/>
      <w:bookmarkStart w:id="412" w:name="_Toc140132766"/>
      <w:bookmarkStart w:id="413" w:name="_Toc161600340"/>
      <w:r>
        <w:rPr>
          <w:rFonts w:hint="eastAsia" w:ascii="宋体" w:hAnsi="宋体" w:eastAsia="宋体" w:cs="宋体"/>
          <w:b/>
          <w:bCs/>
          <w:color w:val="auto"/>
          <w:kern w:val="2"/>
          <w:sz w:val="24"/>
          <w:szCs w:val="24"/>
          <w:highlight w:val="none"/>
          <w:lang w:val="en-US" w:eastAsia="zh-CN" w:bidi="ar-SA"/>
        </w:rPr>
        <w:t>（十三）落实政府采购政策</w:t>
      </w:r>
      <w:bookmarkEnd w:id="411"/>
      <w:bookmarkEnd w:id="412"/>
      <w:bookmarkEnd w:id="413"/>
      <w:r>
        <w:rPr>
          <w:rFonts w:hint="eastAsia" w:ascii="宋体" w:hAnsi="宋体" w:eastAsia="宋体" w:cs="宋体"/>
          <w:b/>
          <w:bCs/>
          <w:color w:val="auto"/>
          <w:kern w:val="2"/>
          <w:sz w:val="24"/>
          <w:szCs w:val="24"/>
          <w:highlight w:val="none"/>
          <w:lang w:val="en-US" w:eastAsia="zh-CN" w:bidi="ar-SA"/>
        </w:rPr>
        <w:t>（包括但不限于下列具体政策要求）</w:t>
      </w:r>
    </w:p>
    <w:p w14:paraId="1D377CD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4" w:name="_Toc161600341"/>
      <w:r>
        <w:rPr>
          <w:rFonts w:hint="eastAsia" w:ascii="宋体" w:hAnsi="宋体" w:eastAsia="宋体" w:cs="宋体"/>
          <w:b/>
          <w:bCs/>
          <w:color w:val="auto"/>
          <w:kern w:val="2"/>
          <w:sz w:val="24"/>
          <w:szCs w:val="24"/>
          <w:highlight w:val="none"/>
          <w:lang w:val="en-US" w:eastAsia="zh-CN" w:bidi="ar-SA"/>
        </w:rPr>
        <w:t>41.支持国产和进口产品审批</w:t>
      </w:r>
      <w:bookmarkEnd w:id="414"/>
    </w:p>
    <w:p w14:paraId="34DE22C5">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41.2进口产品指通过中国海关报关验放进入中国境内且产自关境外的产品，包括已经进入中国境内的进口产品。</w:t>
      </w:r>
    </w:p>
    <w:p w14:paraId="0C404CE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41.3若采购需求中写明允许采购进口产品，供应商应保证所响应产品可履行合法报通关手续进入中国关境内。</w:t>
      </w:r>
    </w:p>
    <w:p w14:paraId="25B118D0">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41.4若采购需求中未写明允许采购进口产品，如供应商所响应产品为进口产品，其响应将被认定为</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5" w:name="_Toc161600342"/>
      <w:r>
        <w:rPr>
          <w:rFonts w:hint="eastAsia" w:ascii="宋体" w:hAnsi="宋体" w:eastAsia="宋体" w:cs="宋体"/>
          <w:b/>
          <w:bCs/>
          <w:color w:val="auto"/>
          <w:kern w:val="2"/>
          <w:sz w:val="24"/>
          <w:szCs w:val="24"/>
          <w:highlight w:val="none"/>
          <w:lang w:val="en-US" w:eastAsia="zh-CN" w:bidi="ar-SA"/>
        </w:rPr>
        <w:t>42.中小企业、监狱企业及残疾人福利性单位</w:t>
      </w:r>
      <w:bookmarkEnd w:id="415"/>
    </w:p>
    <w:p w14:paraId="6CF3C24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snapToGrid w:val="0"/>
          <w:color w:val="auto"/>
          <w:sz w:val="24"/>
          <w:szCs w:val="24"/>
          <w:highlight w:val="none"/>
          <w:lang w:eastAsia="zh-CN"/>
        </w:rPr>
        <w:t>需享受中小企业相关政策的，且</w:t>
      </w:r>
      <w:r>
        <w:rPr>
          <w:rFonts w:hint="eastAsia" w:ascii="宋体" w:hAnsi="宋体" w:eastAsia="宋体" w:cs="宋体"/>
          <w:snapToGrid w:val="0"/>
          <w:color w:val="auto"/>
          <w:sz w:val="24"/>
          <w:szCs w:val="24"/>
          <w:highlight w:val="none"/>
        </w:rPr>
        <w:t>符合上述文件规定的，</w:t>
      </w:r>
      <w:r>
        <w:rPr>
          <w:rFonts w:hint="eastAsia" w:ascii="宋体" w:hAnsi="宋体" w:eastAsia="宋体" w:cs="宋体"/>
          <w:snapToGrid w:val="0"/>
          <w:color w:val="auto"/>
          <w:sz w:val="24"/>
          <w:szCs w:val="24"/>
          <w:highlight w:val="none"/>
          <w:lang w:eastAsia="zh-CN"/>
        </w:rPr>
        <w:t>应按本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eastAsia="zh-CN"/>
        </w:rPr>
        <w:t>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，评审时，</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rPr>
        <w:t>小组将依据</w:t>
      </w:r>
      <w:r>
        <w:rPr>
          <w:rFonts w:hint="eastAsia" w:ascii="宋体" w:hAnsi="宋体" w:eastAsia="宋体" w:cs="宋体"/>
          <w:snapToGrid w:val="0"/>
          <w:color w:val="auto"/>
          <w:sz w:val="24"/>
          <w:szCs w:val="24"/>
          <w:highlight w:val="none"/>
          <w:lang w:eastAsia="zh-CN"/>
        </w:rPr>
        <w:t>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eastAsia="zh-CN"/>
        </w:rPr>
        <w:t>文件</w:t>
      </w:r>
      <w:r>
        <w:rPr>
          <w:rFonts w:hint="eastAsia" w:ascii="宋体" w:hAnsi="宋体" w:eastAsia="宋体" w:cs="宋体"/>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snapToGrid w:val="0"/>
          <w:color w:val="auto"/>
          <w:sz w:val="24"/>
          <w:szCs w:val="24"/>
          <w:highlight w:val="none"/>
          <w:lang w:eastAsia="zh-CN"/>
        </w:rPr>
        <w:t>；</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eastAsia="zh-CN"/>
        </w:rPr>
        <w:t>公告中明确项目专门面向中小企业采购的，“</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”为资格要求文件，</w:t>
      </w:r>
      <w:r>
        <w:rPr>
          <w:rFonts w:hint="eastAsia" w:ascii="宋体" w:hAnsi="宋体" w:eastAsia="宋体" w:cs="宋体"/>
          <w:snapToGrid w:val="0"/>
          <w:color w:val="auto"/>
          <w:sz w:val="24"/>
          <w:szCs w:val="24"/>
          <w:highlight w:val="none"/>
        </w:rPr>
        <w:t>供应商</w:t>
      </w:r>
      <w:r>
        <w:rPr>
          <w:rFonts w:hint="eastAsia" w:ascii="宋体" w:hAnsi="宋体" w:eastAsia="宋体" w:cs="宋体"/>
          <w:snapToGrid w:val="0"/>
          <w:color w:val="auto"/>
          <w:sz w:val="24"/>
          <w:szCs w:val="24"/>
          <w:highlight w:val="none"/>
          <w:lang w:eastAsia="zh-CN"/>
        </w:rPr>
        <w:t>参与</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eastAsia="zh-CN"/>
        </w:rPr>
        <w:t>须按本</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lang w:eastAsia="zh-CN"/>
        </w:rPr>
        <w:t>文件规定格式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”等作为资格证明文件。</w:t>
      </w:r>
    </w:p>
    <w:p w14:paraId="5BE3F99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42.3供应商提供的货物、工程或者服务符合下列情形的，享受中小企业扶持政策： </w:t>
      </w:r>
    </w:p>
    <w:p w14:paraId="7C4E60D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42.3.1在货物采购项目中，货物由中小企业制造，即货物由中小企业生产且使用该中小企业商号或者注册商标； </w:t>
      </w:r>
    </w:p>
    <w:p w14:paraId="49BB740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42.3.2在工程采购项目中，工程由中小企业承建，即工程施工单位为中小企业； </w:t>
      </w:r>
    </w:p>
    <w:p w14:paraId="194B49D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42.3.3在服务采购项目中，服务由中小企业承接，即提供服务的人员为中小企业依照《中华人民共和国劳动合同法》订立劳动合同的从业人员。</w:t>
      </w:r>
    </w:p>
    <w:p w14:paraId="209AD49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42.4 在货物采购项目中，供应商提供的货物既有中小企业制造货物，也有大型企业制造货物的，不享受中小企业扶持政策。 </w:t>
      </w:r>
    </w:p>
    <w:p w14:paraId="6B88E28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42.5 以联合体形式参加政府采购活动，联合体各方均为中小企业的，联合体视同中小企业。其中，联合体各方均为小微企业的，联合体视同小微企业。      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3C32E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34DA9DC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7828A46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42.7.2 依法与安置的每位残疾人签订了1年以上（含1年）的劳动合同或服务协议； </w:t>
      </w:r>
    </w:p>
    <w:p w14:paraId="33AEDD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07E8110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50FF7002">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715268A0">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6313DD1">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42.8 本项目是否专门面向中小企业预留采购份额见“第一章 竞争性</w:t>
      </w:r>
      <w:r>
        <w:rPr>
          <w:rFonts w:hint="eastAsia" w:cs="宋体"/>
          <w:color w:val="auto"/>
          <w:sz w:val="24"/>
          <w:szCs w:val="24"/>
          <w:highlight w:val="none"/>
          <w:lang w:val="en-US" w:eastAsia="zh-CN"/>
        </w:rPr>
        <w:t>谈判</w:t>
      </w:r>
      <w:r>
        <w:rPr>
          <w:rFonts w:hint="eastAsia" w:cs="宋体"/>
          <w:snapToGrid w:val="0"/>
          <w:color w:val="auto"/>
          <w:sz w:val="24"/>
          <w:szCs w:val="24"/>
          <w:highlight w:val="none"/>
          <w:lang w:val="en-US" w:eastAsia="zh-CN"/>
        </w:rPr>
        <w:t>公告</w:t>
      </w:r>
      <w:r>
        <w:rPr>
          <w:rFonts w:hint="eastAsia" w:ascii="宋体" w:hAnsi="宋体" w:eastAsia="宋体" w:cs="宋体"/>
          <w:snapToGrid w:val="0"/>
          <w:color w:val="auto"/>
          <w:sz w:val="24"/>
          <w:szCs w:val="24"/>
          <w:highlight w:val="none"/>
          <w:lang w:val="en-US" w:eastAsia="zh-CN"/>
        </w:rPr>
        <w:t>”。</w:t>
      </w:r>
    </w:p>
    <w:p w14:paraId="5A70CB6C">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42.9 采购标的对应的中小企业划分标准所属行业见“供应商须知前附表”。    42.10小微企业价格评审优惠的政策调整：见“第四章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16" w:name="_Toc161600343"/>
      <w:r>
        <w:rPr>
          <w:rFonts w:hint="eastAsia" w:ascii="宋体" w:hAnsi="宋体" w:eastAsia="宋体" w:cs="宋体"/>
          <w:b/>
          <w:bCs/>
          <w:color w:val="auto"/>
          <w:kern w:val="2"/>
          <w:sz w:val="24"/>
          <w:szCs w:val="24"/>
          <w:highlight w:val="none"/>
          <w:lang w:val="en-US" w:eastAsia="zh-CN" w:bidi="ar-SA"/>
        </w:rPr>
        <w:t>43.政府采购节能产品、环境标志产品</w:t>
      </w:r>
      <w:bookmarkEnd w:id="416"/>
    </w:p>
    <w:p w14:paraId="0A420FD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强制采购或优先采购。 </w:t>
      </w:r>
    </w:p>
    <w:p w14:paraId="1379730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 </w:t>
      </w:r>
    </w:p>
    <w:p w14:paraId="57389A7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43.4 非政府强制采购的节能产品或环境标志产品，依据品目清单和认证证书实施政府优先采购。优先采购的具体规定见“第四章 评审方法及标准”（如涉及）。</w:t>
      </w:r>
    </w:p>
    <w:p w14:paraId="1E54CD45">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43.5 供应商</w:t>
      </w:r>
      <w:r>
        <w:rPr>
          <w:rFonts w:hint="eastAsia" w:ascii="宋体" w:hAnsi="宋体" w:eastAsia="宋体" w:cs="宋体"/>
          <w:snapToGrid w:val="0"/>
          <w:color w:val="auto"/>
          <w:sz w:val="24"/>
          <w:szCs w:val="24"/>
          <w:highlight w:val="none"/>
        </w:rPr>
        <w:t>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产品不一致的，视为未提供。属于政府强制采购产品的，已作为</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rPr>
        <w:t>时强制性要求不再</w:t>
      </w:r>
      <w:r>
        <w:rPr>
          <w:rFonts w:hint="eastAsia" w:ascii="宋体" w:hAnsi="宋体" w:eastAsia="宋体" w:cs="宋体"/>
          <w:snapToGrid w:val="0"/>
          <w:color w:val="auto"/>
          <w:sz w:val="24"/>
          <w:szCs w:val="24"/>
          <w:highlight w:val="none"/>
        </w:rPr>
        <w:t>给予</w:t>
      </w:r>
      <w:r>
        <w:rPr>
          <w:rFonts w:hint="eastAsia" w:ascii="宋体" w:hAnsi="宋体" w:eastAsia="宋体" w:cs="宋体"/>
          <w:snapToGrid w:val="0"/>
          <w:color w:val="auto"/>
          <w:sz w:val="24"/>
          <w:szCs w:val="24"/>
          <w:highlight w:val="none"/>
          <w:lang w:val="en-US" w:eastAsia="zh-CN"/>
        </w:rPr>
        <w:t>评审优惠</w:t>
      </w:r>
      <w:r>
        <w:rPr>
          <w:rFonts w:hint="eastAsia" w:ascii="宋体" w:hAnsi="宋体" w:eastAsia="宋体" w:cs="宋体"/>
          <w:snapToGrid w:val="0"/>
          <w:color w:val="auto"/>
          <w:sz w:val="24"/>
          <w:szCs w:val="24"/>
          <w:highlight w:val="none"/>
        </w:rPr>
        <w:t>，未提供认证证书的视为</w:t>
      </w:r>
      <w:r>
        <w:rPr>
          <w:rFonts w:hint="eastAsia" w:ascii="宋体" w:hAnsi="宋体" w:eastAsia="宋体" w:cs="宋体"/>
          <w:b/>
          <w:bCs/>
          <w:snapToGrid w:val="0"/>
          <w:color w:val="auto"/>
          <w:sz w:val="24"/>
          <w:szCs w:val="24"/>
          <w:highlight w:val="none"/>
        </w:rPr>
        <w:t>无效响应</w:t>
      </w:r>
      <w:r>
        <w:rPr>
          <w:rFonts w:hint="eastAsia" w:ascii="宋体" w:hAnsi="宋体" w:eastAsia="宋体" w:cs="宋体"/>
          <w:snapToGrid w:val="0"/>
          <w:color w:val="auto"/>
          <w:sz w:val="24"/>
          <w:szCs w:val="24"/>
          <w:highlight w:val="none"/>
        </w:rPr>
        <w:t>。属于</w:t>
      </w:r>
      <w:r>
        <w:rPr>
          <w:rFonts w:hint="eastAsia" w:ascii="宋体" w:hAnsi="宋体" w:eastAsia="宋体" w:cs="宋体"/>
          <w:snapToGrid w:val="0"/>
          <w:color w:val="auto"/>
          <w:sz w:val="24"/>
          <w:szCs w:val="24"/>
          <w:highlight w:val="none"/>
          <w:lang w:val="en-US" w:eastAsia="zh-CN"/>
        </w:rPr>
        <w:t>优先采购</w:t>
      </w:r>
      <w:r>
        <w:rPr>
          <w:rFonts w:hint="eastAsia" w:ascii="宋体" w:hAnsi="宋体" w:eastAsia="宋体" w:cs="宋体"/>
          <w:snapToGrid w:val="0"/>
          <w:color w:val="auto"/>
          <w:sz w:val="24"/>
          <w:szCs w:val="24"/>
          <w:highlight w:val="none"/>
        </w:rPr>
        <w:t>节能产品政府采购品目清单、环境标志产品政府采购品目清单</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创新产品</w:t>
      </w:r>
      <w:r>
        <w:rPr>
          <w:rFonts w:hint="eastAsia" w:ascii="宋体" w:hAnsi="宋体" w:eastAsia="宋体" w:cs="宋体"/>
          <w:snapToGrid w:val="0"/>
          <w:color w:val="auto"/>
          <w:sz w:val="24"/>
          <w:szCs w:val="24"/>
          <w:highlight w:val="none"/>
        </w:rPr>
        <w:t>范围的，按照“</w:t>
      </w:r>
      <w:r>
        <w:rPr>
          <w:rFonts w:hint="eastAsia" w:ascii="宋体" w:hAnsi="宋体" w:eastAsia="宋体" w:cs="宋体"/>
          <w:snapToGrid w:val="0"/>
          <w:color w:val="auto"/>
          <w:sz w:val="24"/>
          <w:szCs w:val="24"/>
          <w:highlight w:val="none"/>
          <w:lang w:val="en-US" w:eastAsia="zh-CN"/>
        </w:rPr>
        <w:t>第四章 评审方法及标准</w:t>
      </w:r>
      <w:r>
        <w:rPr>
          <w:rFonts w:hint="eastAsia" w:ascii="宋体" w:hAnsi="宋体" w:eastAsia="宋体" w:cs="宋体"/>
          <w:snapToGrid w:val="0"/>
          <w:color w:val="auto"/>
          <w:sz w:val="24"/>
          <w:szCs w:val="24"/>
          <w:highlight w:val="none"/>
        </w:rPr>
        <w:t>”中相关规定</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val="en-US" w:eastAsia="zh-CN"/>
        </w:rPr>
        <w:t>评审时给予优惠</w:t>
      </w:r>
      <w:r>
        <w:rPr>
          <w:rFonts w:hint="eastAsia" w:ascii="宋体" w:hAnsi="宋体" w:eastAsia="宋体" w:cs="宋体"/>
          <w:color w:val="auto"/>
          <w:sz w:val="24"/>
          <w:szCs w:val="24"/>
          <w:highlight w:val="none"/>
          <w:lang w:val="en-US" w:eastAsia="zh-CN"/>
        </w:rPr>
        <w:t>，具体详见</w:t>
      </w:r>
      <w:r>
        <w:rPr>
          <w:rFonts w:hint="eastAsia" w:ascii="宋体" w:hAnsi="宋体" w:eastAsia="宋体" w:cs="宋体"/>
          <w:snapToGrid w:val="0"/>
          <w:color w:val="auto"/>
          <w:sz w:val="24"/>
          <w:szCs w:val="24"/>
          <w:highlight w:val="none"/>
          <w:lang w:val="en-US" w:eastAsia="zh-CN"/>
        </w:rPr>
        <w:t>“供应商须知前附表”及</w:t>
      </w:r>
      <w:r>
        <w:rPr>
          <w:rFonts w:hint="eastAsia" w:ascii="宋体" w:hAnsi="宋体" w:eastAsia="宋体" w:cs="宋体"/>
          <w:color w:val="auto"/>
          <w:sz w:val="24"/>
          <w:szCs w:val="24"/>
          <w:highlight w:val="none"/>
          <w:lang w:val="en-US" w:eastAsia="zh-CN"/>
        </w:rPr>
        <w:t>“第四章 评审方法及标准”</w:t>
      </w:r>
      <w:r>
        <w:rPr>
          <w:rFonts w:hint="eastAsia" w:ascii="宋体" w:hAnsi="宋体" w:eastAsia="宋体" w:cs="宋体"/>
          <w:color w:val="auto"/>
          <w:sz w:val="24"/>
          <w:szCs w:val="24"/>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44.正版软件</w:t>
      </w:r>
    </w:p>
    <w:p w14:paraId="1F0E8307">
      <w:pPr>
        <w:pStyle w:val="33"/>
        <w:keepNext w:val="0"/>
        <w:keepLines w:val="0"/>
        <w:pageBreakBefore w:val="0"/>
        <w:widowControl w:val="0"/>
        <w:kinsoku/>
        <w:overflowPunct/>
        <w:topLinePunct w:val="0"/>
        <w:autoSpaceDE/>
        <w:autoSpaceDN/>
        <w:bidi w:val="0"/>
        <w:adjustRightInd/>
        <w:snapToGri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65060989">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45.网络安全专用产品 </w:t>
      </w:r>
    </w:p>
    <w:p w14:paraId="13C0877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46.采购需求标准 </w:t>
      </w:r>
    </w:p>
    <w:bookmarkEnd w:id="401"/>
    <w:bookmarkEnd w:id="402"/>
    <w:bookmarkEnd w:id="403"/>
    <w:bookmarkEnd w:id="404"/>
    <w:bookmarkEnd w:id="405"/>
    <w:p w14:paraId="1251808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bookmarkStart w:id="417" w:name="_Toc109900412"/>
      <w:bookmarkStart w:id="418" w:name="_Toc109899574"/>
      <w:bookmarkStart w:id="419" w:name="_Toc163493622"/>
      <w:bookmarkStart w:id="420" w:name="_Toc109899993"/>
      <w:bookmarkStart w:id="421" w:name="_Toc109897475"/>
      <w:r>
        <w:rPr>
          <w:rFonts w:hint="eastAsia" w:ascii="宋体" w:hAnsi="宋体" w:eastAsia="宋体" w:cs="宋体"/>
          <w:snapToGrid w:val="0"/>
          <w:color w:val="auto"/>
          <w:sz w:val="24"/>
          <w:szCs w:val="24"/>
          <w:highlight w:val="none"/>
          <w:lang w:val="en-US" w:eastAsia="zh-CN"/>
        </w:rPr>
        <w:t xml:space="preserve">46.1 商品包装、快递包装政府采购需求标准（试行） </w:t>
      </w:r>
    </w:p>
    <w:p w14:paraId="527BC2D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 项目采购需求”。 </w:t>
      </w:r>
    </w:p>
    <w:p w14:paraId="088B5DEF">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46.2 绿色数据中心政府采购需求标准（试行） </w:t>
      </w:r>
    </w:p>
    <w:p w14:paraId="2BAD2545">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 项目采购需求”。 </w:t>
      </w:r>
    </w:p>
    <w:p w14:paraId="33C6F27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46.3台式计算机政府采购需求标准</w:t>
      </w:r>
    </w:p>
    <w:p w14:paraId="7FE94F3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 项目采购需求”。</w:t>
      </w:r>
    </w:p>
    <w:p w14:paraId="683C9A6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46.4便携式计算机政府采购需求标准</w:t>
      </w:r>
    </w:p>
    <w:p w14:paraId="56D621A3">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 项目采购需求”。</w:t>
      </w:r>
    </w:p>
    <w:p w14:paraId="48ED666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46.5一体式计算机政府采购需求标准</w:t>
      </w:r>
    </w:p>
    <w:p w14:paraId="7A06F60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 项目采购需求”。</w:t>
      </w:r>
    </w:p>
    <w:p w14:paraId="6AA36A4C">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46.6工作站政府采购需求标准</w:t>
      </w:r>
    </w:p>
    <w:p w14:paraId="401E48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 项目采购需求”。</w:t>
      </w:r>
    </w:p>
    <w:p w14:paraId="6AA55F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46.7通用服务器政府采购需求标准</w:t>
      </w:r>
    </w:p>
    <w:p w14:paraId="6FE6FE7A">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 项目采购需求”。</w:t>
      </w:r>
    </w:p>
    <w:p w14:paraId="5E799E3E">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46.8操作系统政府采购需求标准</w:t>
      </w:r>
    </w:p>
    <w:p w14:paraId="71E70859">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 项目采购需求”。</w:t>
      </w:r>
    </w:p>
    <w:p w14:paraId="757FBE3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46.9数据库政府采购需求标准</w:t>
      </w:r>
    </w:p>
    <w:p w14:paraId="4096E2F1">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 项目采购需求”。</w:t>
      </w:r>
    </w:p>
    <w:p w14:paraId="0F23144D">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46.10物业管理服务政府采购需求标准（办公场所类）（试行）</w:t>
      </w:r>
    </w:p>
    <w:p w14:paraId="0169F247">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 项目采购需求”。</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2" w:name="_Toc18350"/>
      <w:r>
        <w:rPr>
          <w:rFonts w:hint="eastAsia" w:ascii="宋体" w:hAnsi="宋体" w:eastAsia="宋体" w:cs="宋体"/>
          <w:b/>
          <w:bCs/>
          <w:color w:val="auto"/>
          <w:kern w:val="2"/>
          <w:sz w:val="24"/>
          <w:szCs w:val="24"/>
          <w:highlight w:val="none"/>
          <w:lang w:val="en-US" w:eastAsia="zh-CN" w:bidi="ar-SA"/>
        </w:rPr>
        <w:t>（十四）政府采购合同融资政策</w:t>
      </w:r>
      <w:bookmarkEnd w:id="417"/>
      <w:bookmarkEnd w:id="418"/>
      <w:bookmarkEnd w:id="419"/>
      <w:bookmarkEnd w:id="420"/>
      <w:bookmarkEnd w:id="421"/>
      <w:bookmarkEnd w:id="422"/>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3" w:name="_Toc161600345"/>
      <w:bookmarkStart w:id="424" w:name="_Toc109897476"/>
      <w:r>
        <w:rPr>
          <w:rFonts w:hint="eastAsia" w:ascii="宋体" w:hAnsi="宋体" w:eastAsia="宋体" w:cs="宋体"/>
          <w:b/>
          <w:bCs/>
          <w:color w:val="auto"/>
          <w:kern w:val="2"/>
          <w:sz w:val="24"/>
          <w:szCs w:val="24"/>
          <w:highlight w:val="none"/>
          <w:lang w:val="en-US" w:eastAsia="zh-CN" w:bidi="ar-SA"/>
        </w:rPr>
        <w:t>47.政府采购合同融资政策</w:t>
      </w:r>
      <w:bookmarkEnd w:id="423"/>
    </w:p>
    <w:p w14:paraId="59269D30">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40" w:after="14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25" w:name="_Toc109899575"/>
      <w:bookmarkStart w:id="426" w:name="_Toc109900413"/>
      <w:bookmarkStart w:id="427" w:name="_Toc31397"/>
      <w:bookmarkStart w:id="428" w:name="_Toc163493623"/>
      <w:bookmarkStart w:id="429" w:name="_Toc109899994"/>
      <w:r>
        <w:rPr>
          <w:rFonts w:hint="eastAsia" w:ascii="宋体" w:hAnsi="宋体" w:eastAsia="宋体" w:cs="宋体"/>
          <w:b/>
          <w:bCs/>
          <w:color w:val="auto"/>
          <w:kern w:val="2"/>
          <w:sz w:val="24"/>
          <w:szCs w:val="24"/>
          <w:highlight w:val="none"/>
          <w:lang w:val="en-US" w:eastAsia="zh-CN" w:bidi="ar-SA"/>
        </w:rPr>
        <w:t>（十五）其他</w:t>
      </w:r>
      <w:bookmarkEnd w:id="424"/>
      <w:bookmarkEnd w:id="425"/>
      <w:bookmarkEnd w:id="426"/>
      <w:bookmarkEnd w:id="427"/>
      <w:bookmarkEnd w:id="428"/>
      <w:bookmarkEnd w:id="429"/>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0" w:name="_Toc161600347"/>
      <w:r>
        <w:rPr>
          <w:rFonts w:hint="eastAsia" w:ascii="宋体" w:hAnsi="宋体" w:eastAsia="宋体" w:cs="宋体"/>
          <w:b/>
          <w:bCs/>
          <w:color w:val="auto"/>
          <w:kern w:val="2"/>
          <w:sz w:val="24"/>
          <w:szCs w:val="24"/>
          <w:highlight w:val="none"/>
          <w:lang w:val="en-US" w:eastAsia="zh-CN" w:bidi="ar-SA"/>
        </w:rPr>
        <w:t>48.需要补充的其他内容</w:t>
      </w:r>
      <w:bookmarkEnd w:id="430"/>
    </w:p>
    <w:p w14:paraId="3957C993">
      <w:pPr>
        <w:pStyle w:val="33"/>
        <w:keepNext w:val="0"/>
        <w:keepLines w:val="0"/>
        <w:pageBreakBefore w:val="0"/>
        <w:widowControl w:val="0"/>
        <w:kinsoku/>
        <w:overflowPunct/>
        <w:topLinePunct w:val="0"/>
        <w:bidi w:val="0"/>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1" w:name="_Toc109900414"/>
      <w:bookmarkStart w:id="432" w:name="_Toc109897477"/>
      <w:bookmarkStart w:id="433" w:name="_Toc109899576"/>
      <w:bookmarkStart w:id="434" w:name="_Toc109899995"/>
      <w:r>
        <w:rPr>
          <w:rFonts w:hint="eastAsia" w:ascii="宋体" w:hAnsi="宋体" w:eastAsia="宋体" w:cs="宋体"/>
          <w:b/>
          <w:bCs/>
          <w:color w:val="auto"/>
          <w:kern w:val="2"/>
          <w:sz w:val="24"/>
          <w:szCs w:val="24"/>
          <w:highlight w:val="none"/>
          <w:lang w:val="en-US" w:eastAsia="zh-CN" w:bidi="ar-SA"/>
        </w:rPr>
        <w:t>49.适用法律</w:t>
      </w:r>
      <w:bookmarkEnd w:id="431"/>
      <w:bookmarkEnd w:id="432"/>
      <w:bookmarkEnd w:id="433"/>
      <w:bookmarkEnd w:id="434"/>
    </w:p>
    <w:p w14:paraId="48B6B3FD">
      <w:pPr>
        <w:keepNext w:val="0"/>
        <w:keepLines w:val="0"/>
        <w:pageBreakBefore w:val="0"/>
        <w:widowControl w:val="0"/>
        <w:tabs>
          <w:tab w:val="left" w:pos="426"/>
        </w:tabs>
        <w:kinsoku/>
        <w:overflowPunct/>
        <w:topLinePunct w:val="0"/>
        <w:autoSpaceDE w:val="0"/>
        <w:autoSpaceDN w:val="0"/>
        <w:bidi w:val="0"/>
        <w:adjustRightInd w:val="0"/>
        <w:snapToGrid w:val="0"/>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.1采购人、采购代理机构及供应商的一切采购活动均适用《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w:t>
      </w:r>
      <w:r>
        <w:rPr>
          <w:rFonts w:hint="eastAsia" w:cs="宋体"/>
          <w:color w:val="auto"/>
          <w:sz w:val="24"/>
          <w:szCs w:val="24"/>
          <w:highlight w:val="none"/>
          <w:lang w:val="en-US" w:eastAsia="zh-CN"/>
        </w:rPr>
        <w:t>非招标采购方式管理</w:t>
      </w:r>
      <w:r>
        <w:rPr>
          <w:rFonts w:hint="eastAsia" w:ascii="宋体" w:hAnsi="宋体" w:eastAsia="宋体" w:cs="宋体"/>
          <w:color w:val="auto"/>
          <w:sz w:val="24"/>
          <w:szCs w:val="24"/>
          <w:highlight w:val="none"/>
        </w:rPr>
        <w:t>办法》（财</w:t>
      </w:r>
      <w:r>
        <w:rPr>
          <w:rFonts w:hint="eastAsia" w:cs="宋体"/>
          <w:color w:val="auto"/>
          <w:sz w:val="24"/>
          <w:szCs w:val="24"/>
          <w:highlight w:val="none"/>
          <w:lang w:val="en-US" w:eastAsia="zh-CN"/>
        </w:rPr>
        <w:t>政部令第7</w:t>
      </w:r>
      <w:r>
        <w:rPr>
          <w:rFonts w:hint="eastAsia" w:ascii="宋体" w:hAnsi="宋体" w:eastAsia="宋体" w:cs="宋体"/>
          <w:color w:val="auto"/>
          <w:sz w:val="24"/>
          <w:szCs w:val="24"/>
          <w:highlight w:val="none"/>
        </w:rPr>
        <w:t>4号）</w:t>
      </w:r>
      <w:r>
        <w:rPr>
          <w:rFonts w:hint="eastAsia" w:ascii="宋体" w:hAnsi="宋体" w:eastAsia="宋体" w:cs="宋体"/>
          <w:snapToGrid w:val="0"/>
          <w:color w:val="auto"/>
          <w:sz w:val="24"/>
          <w:szCs w:val="24"/>
          <w:highlight w:val="none"/>
          <w:lang w:val="zh-CN"/>
        </w:rPr>
        <w:t>及相关法律法规。</w:t>
      </w:r>
    </w:p>
    <w:p w14:paraId="7EF83039">
      <w:pPr>
        <w:pStyle w:val="33"/>
        <w:keepNext w:val="0"/>
        <w:keepLines w:val="0"/>
        <w:pageBreakBefore w:val="0"/>
        <w:widowControl w:val="0"/>
        <w:kinsoku/>
        <w:overflowPunct/>
        <w:topLinePunct w:val="0"/>
        <w:bidi w:val="0"/>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.2政府采购合同的履行、违约责任和解决争议的方法等适用《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35" w:name="_Toc161600349"/>
      <w:bookmarkStart w:id="436" w:name="_Toc155185887"/>
      <w:r>
        <w:rPr>
          <w:rFonts w:hint="eastAsia" w:ascii="宋体" w:hAnsi="宋体" w:eastAsia="宋体" w:cs="宋体"/>
          <w:b/>
          <w:bCs/>
          <w:color w:val="auto"/>
          <w:kern w:val="2"/>
          <w:sz w:val="24"/>
          <w:szCs w:val="24"/>
          <w:highlight w:val="none"/>
          <w:lang w:val="en-US" w:eastAsia="zh-CN" w:bidi="ar-SA"/>
        </w:rPr>
        <w:t>50.解释权</w:t>
      </w:r>
      <w:bookmarkEnd w:id="435"/>
      <w:bookmarkEnd w:id="436"/>
    </w:p>
    <w:p w14:paraId="5C6D27F8">
      <w:pPr>
        <w:pStyle w:val="33"/>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r>
        <w:rPr>
          <w:rFonts w:hint="eastAsia" w:ascii="宋体" w:hAnsi="宋体" w:eastAsia="宋体" w:cs="宋体"/>
          <w:snapToGrid w:val="0"/>
          <w:color w:val="auto"/>
          <w:sz w:val="24"/>
          <w:szCs w:val="24"/>
          <w:highlight w:val="none"/>
          <w:lang w:val="en-US" w:eastAsia="zh-CN"/>
        </w:rPr>
        <w:t>50</w:t>
      </w:r>
      <w:r>
        <w:rPr>
          <w:rFonts w:hint="eastAsia" w:ascii="宋体" w:hAnsi="宋体" w:eastAsia="宋体" w:cs="宋体"/>
          <w:snapToGrid w:val="0"/>
          <w:color w:val="auto"/>
          <w:sz w:val="24"/>
          <w:szCs w:val="24"/>
          <w:highlight w:val="none"/>
        </w:rPr>
        <w:t>.1本竞争性</w:t>
      </w:r>
      <w:r>
        <w:rPr>
          <w:rFonts w:hint="eastAsia" w:cs="宋体"/>
          <w:color w:val="auto"/>
          <w:sz w:val="24"/>
          <w:szCs w:val="24"/>
          <w:highlight w:val="none"/>
          <w:lang w:val="en-US" w:eastAsia="zh-CN"/>
        </w:rPr>
        <w:t>谈判</w:t>
      </w:r>
      <w:r>
        <w:rPr>
          <w:rFonts w:hint="eastAsia" w:ascii="宋体" w:hAnsi="宋体" w:eastAsia="宋体" w:cs="宋体"/>
          <w:snapToGrid w:val="0"/>
          <w:color w:val="auto"/>
          <w:sz w:val="24"/>
          <w:szCs w:val="24"/>
          <w:highlight w:val="none"/>
        </w:rPr>
        <w:t>文件最终解释权归采购人</w:t>
      </w:r>
      <w:r>
        <w:rPr>
          <w:rFonts w:hint="eastAsia" w:eastAsia="宋体"/>
          <w:snapToGrid w:val="0"/>
          <w:color w:val="auto"/>
          <w:sz w:val="24"/>
          <w:highlight w:val="none"/>
        </w:rPr>
        <w:t>或采购代理机构所有。</w:t>
      </w:r>
    </w:p>
    <w:p w14:paraId="0F169FC7">
      <w:pPr>
        <w:pStyle w:val="33"/>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p>
    <w:p w14:paraId="39B2275E">
      <w:pPr>
        <w:pStyle w:val="2"/>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37" w:name="_Toc1164"/>
      <w:bookmarkStart w:id="438" w:name="_Toc21072"/>
      <w:r>
        <w:rPr>
          <w:rFonts w:hint="eastAsia" w:ascii="宋体" w:hAnsi="宋体" w:eastAsia="宋体" w:cs="宋体"/>
          <w:b/>
          <w:bCs/>
          <w:color w:val="auto"/>
          <w:kern w:val="44"/>
          <w:sz w:val="36"/>
          <w:szCs w:val="36"/>
          <w:highlight w:val="none"/>
          <w:lang w:val="en-US" w:eastAsia="zh-CN" w:bidi="ar-SA"/>
        </w:rPr>
        <w:t>第三章 项目采购需求</w:t>
      </w:r>
      <w:bookmarkEnd w:id="437"/>
      <w:bookmarkEnd w:id="438"/>
    </w:p>
    <w:p w14:paraId="398BAAE6">
      <w:pPr>
        <w:keepNext w:val="0"/>
        <w:keepLines w:val="0"/>
        <w:pageBreakBefore w:val="0"/>
        <w:widowControl w:val="0"/>
        <w:kinsoku/>
        <w:wordWrap/>
        <w:overflowPunct/>
        <w:topLinePunct w:val="0"/>
        <w:autoSpaceDE/>
        <w:autoSpaceDN/>
        <w:bidi w:val="0"/>
        <w:adjustRightInd/>
        <w:snapToGrid/>
        <w:textAlignment w:val="auto"/>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3"/>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439" w:name="_Toc140132812"/>
      <w:bookmarkStart w:id="440" w:name="_Toc163492886"/>
      <w:bookmarkStart w:id="441" w:name="_Toc155185889"/>
      <w:r>
        <w:rPr>
          <w:rFonts w:hint="eastAsia"/>
          <w:b/>
          <w:bCs/>
          <w:snapToGrid w:val="0"/>
          <w:color w:val="auto"/>
          <w:sz w:val="24"/>
          <w:szCs w:val="24"/>
          <w:highlight w:val="none"/>
          <w:lang w:val="en-US" w:eastAsia="zh-CN"/>
        </w:rPr>
        <w:t xml:space="preserve">说明： </w:t>
      </w:r>
    </w:p>
    <w:p w14:paraId="04A97FB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采购标的（货物需求一览表或简要服务内容及数量） </w:t>
      </w:r>
    </w:p>
    <w:p w14:paraId="366DD99F">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说明：如为货物采购，须标明是否接受进口产品。 </w:t>
      </w:r>
    </w:p>
    <w:p w14:paraId="1611B4AC">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0AB507AA">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ascii="宋体" w:hAnsi="宋体" w:eastAsia="宋体"/>
          <w:b/>
          <w:bCs/>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 xml:space="preserve">二、商务要求【根据项目实际需求调整，如有实质性响应条款要求的，以“★”号作醒目标识，其他非实质性条款明确是否允许负偏离，允许几项负偏离】 </w:t>
      </w:r>
    </w:p>
    <w:p w14:paraId="395092DD">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53263E1E">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53D4F60">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6426B7BA">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5B90F3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410303DC">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72C32B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33FC3DE">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6.</w:t>
      </w:r>
      <w:r>
        <w:rPr>
          <w:rFonts w:hint="eastAsia"/>
          <w:snapToGrid w:val="0"/>
          <w:color w:val="auto"/>
          <w:sz w:val="24"/>
          <w:szCs w:val="24"/>
          <w:highlight w:val="none"/>
          <w:lang w:val="en-US" w:eastAsia="zh-CN"/>
        </w:rPr>
        <w:t>其他要求【如有】</w:t>
      </w:r>
    </w:p>
    <w:p w14:paraId="24AEA6EC">
      <w:pPr>
        <w:pStyle w:val="33"/>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 xml:space="preserve">【根据项目实际需求调整，如有实质性响应条款要求的，以“★”号作醒目标识，其他非实质性条款明确是否允许负偏离，允许几项负偏离】 </w:t>
      </w:r>
    </w:p>
    <w:p w14:paraId="1CCCD90C">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服务内容及要求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货物技术要求 </w:t>
      </w:r>
    </w:p>
    <w:p w14:paraId="08193B93">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3"/>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0F4A2B36">
      <w:pPr>
        <w:pStyle w:val="33"/>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p>
    <w:p w14:paraId="2BA12C5D">
      <w:pPr>
        <w:pStyle w:val="33"/>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b/>
          <w:bCs/>
          <w:snapToGrid w:val="0"/>
          <w:color w:val="auto"/>
          <w:sz w:val="24"/>
          <w:szCs w:val="24"/>
          <w:highlight w:val="none"/>
          <w:lang w:val="en-US" w:eastAsia="zh-CN"/>
        </w:rPr>
        <w:t>四、根据</w:t>
      </w:r>
      <w:r>
        <w:rPr>
          <w:rFonts w:hint="eastAsia"/>
          <w:b/>
          <w:bCs/>
          <w:snapToGrid w:val="0"/>
          <w:color w:val="auto"/>
          <w:sz w:val="24"/>
          <w:szCs w:val="24"/>
          <w:highlight w:val="none"/>
          <w:lang w:val="en-US" w:eastAsia="zh-CN"/>
        </w:rPr>
        <w:t>谈判</w:t>
      </w:r>
      <w:r>
        <w:rPr>
          <w:rFonts w:hint="eastAsia" w:ascii="宋体" w:hAnsi="宋体" w:eastAsia="宋体"/>
          <w:b/>
          <w:bCs/>
          <w:snapToGrid w:val="0"/>
          <w:color w:val="auto"/>
          <w:sz w:val="24"/>
          <w:szCs w:val="24"/>
          <w:highlight w:val="none"/>
          <w:lang w:val="en-US" w:eastAsia="zh-CN"/>
        </w:rPr>
        <w:t>情况可能实质性变动的内容【包括采购需求中的技术、服务要求以及合同草案条款】</w:t>
      </w:r>
    </w:p>
    <w:bookmarkEnd w:id="439"/>
    <w:bookmarkEnd w:id="440"/>
    <w:bookmarkEnd w:id="441"/>
    <w:p w14:paraId="0A7213FE">
      <w:pPr>
        <w:rPr>
          <w:rFonts w:hint="eastAsia" w:ascii="宋体" w:hAnsi="宋体" w:eastAsia="黑体" w:cstheme="minorBidi"/>
          <w:b/>
          <w:bCs/>
          <w:color w:val="auto"/>
          <w:kern w:val="44"/>
          <w:sz w:val="44"/>
          <w:szCs w:val="44"/>
          <w:highlight w:val="none"/>
          <w:lang w:val="en-US" w:eastAsia="zh-CN" w:bidi="ar-SA"/>
        </w:rPr>
      </w:pPr>
    </w:p>
    <w:p w14:paraId="75823E1B">
      <w:pPr>
        <w:keepNext w:val="0"/>
        <w:keepLines w:val="0"/>
        <w:widowControl/>
        <w:suppressLineNumbers w:val="0"/>
        <w:jc w:val="left"/>
        <w:rPr>
          <w:color w:val="auto"/>
          <w:highlight w:val="none"/>
        </w:rPr>
      </w:pPr>
    </w:p>
    <w:p w14:paraId="46C449C0">
      <w:pPr>
        <w:keepNext w:val="0"/>
        <w:keepLines w:val="0"/>
        <w:widowControl/>
        <w:suppressLineNumbers w:val="0"/>
        <w:jc w:val="left"/>
        <w:rPr>
          <w:color w:val="auto"/>
          <w:highlight w:val="none"/>
        </w:rPr>
      </w:pPr>
    </w:p>
    <w:p w14:paraId="5EA19B22">
      <w:pPr>
        <w:keepNext w:val="0"/>
        <w:keepLines w:val="0"/>
        <w:widowControl/>
        <w:suppressLineNumbers w:val="0"/>
        <w:jc w:val="left"/>
        <w:rPr>
          <w:color w:val="auto"/>
          <w:highlight w:val="none"/>
        </w:rPr>
      </w:pPr>
    </w:p>
    <w:p w14:paraId="737DFBFD">
      <w:pPr>
        <w:keepNext w:val="0"/>
        <w:keepLines w:val="0"/>
        <w:widowControl/>
        <w:suppressLineNumbers w:val="0"/>
        <w:jc w:val="left"/>
        <w:rPr>
          <w:color w:val="auto"/>
          <w:highlight w:val="none"/>
        </w:rPr>
      </w:pPr>
    </w:p>
    <w:p w14:paraId="28FA2165">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442" w:name="_Toc25167"/>
      <w:bookmarkStart w:id="443" w:name="_Toc716"/>
      <w:r>
        <w:rPr>
          <w:rFonts w:hint="eastAsia" w:ascii="宋体" w:hAnsi="宋体" w:eastAsia="宋体" w:cs="宋体"/>
          <w:b/>
          <w:bCs/>
          <w:color w:val="auto"/>
          <w:kern w:val="44"/>
          <w:sz w:val="36"/>
          <w:szCs w:val="36"/>
          <w:highlight w:val="none"/>
          <w:lang w:val="en-US" w:eastAsia="zh-CN" w:bidi="ar-SA"/>
        </w:rPr>
        <w:t>第四章 评审方法及标准</w:t>
      </w:r>
      <w:bookmarkEnd w:id="442"/>
      <w:bookmarkEnd w:id="443"/>
    </w:p>
    <w:p w14:paraId="3C2D8384">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44" w:name="_Toc19311"/>
      <w:bookmarkStart w:id="445" w:name="_Toc28495"/>
      <w:r>
        <w:rPr>
          <w:rFonts w:hint="eastAsia" w:ascii="宋体" w:hAnsi="宋体" w:eastAsia="宋体" w:cs="宋体"/>
          <w:color w:val="auto"/>
          <w:sz w:val="28"/>
          <w:szCs w:val="28"/>
          <w:highlight w:val="none"/>
          <w:lang w:val="en-US" w:eastAsia="zh-CN"/>
        </w:rPr>
        <w:t>一、</w:t>
      </w:r>
      <w:r>
        <w:rPr>
          <w:rFonts w:hint="eastAsia" w:ascii="宋体" w:hAnsi="宋体" w:eastAsia="宋体" w:cs="宋体"/>
          <w:color w:val="auto"/>
          <w:sz w:val="28"/>
          <w:szCs w:val="28"/>
          <w:highlight w:val="none"/>
          <w:lang w:val="zh-CN" w:eastAsia="zh-CN"/>
        </w:rPr>
        <w:t>评审方法</w:t>
      </w:r>
      <w:bookmarkEnd w:id="444"/>
      <w:bookmarkEnd w:id="445"/>
    </w:p>
    <w:p w14:paraId="53640E9C">
      <w:pPr>
        <w:pStyle w:val="33"/>
        <w:keepNext w:val="0"/>
        <w:keepLines w:val="0"/>
        <w:pageBreakBefore w:val="0"/>
        <w:widowControl w:val="0"/>
        <w:kinsoku/>
        <w:wordWrap w:val="0"/>
        <w:overflowPunct/>
        <w:topLinePunct w:val="0"/>
        <w:autoSpaceDE/>
        <w:autoSpaceDN/>
        <w:bidi w:val="0"/>
        <w:adjustRightInd/>
        <w:snapToGrid/>
        <w:spacing w:line="420" w:lineRule="exact"/>
        <w:ind w:firstLine="480"/>
        <w:textAlignment w:val="auto"/>
        <w:rPr>
          <w:rFonts w:hint="eastAsia" w:ascii="宋体" w:hAnsi="宋体" w:eastAsia="宋体" w:cs="宋体"/>
          <w:color w:val="auto"/>
          <w:highlight w:val="none"/>
        </w:rPr>
      </w:pPr>
      <w:r>
        <w:rPr>
          <w:rFonts w:hint="eastAsia" w:cs="宋体"/>
          <w:color w:val="auto"/>
          <w:highlight w:val="none"/>
          <w:lang w:val="en-US" w:eastAsia="zh-CN"/>
        </w:rPr>
        <w:t>评审方法：</w:t>
      </w:r>
      <w:r>
        <w:rPr>
          <w:rFonts w:hint="eastAsia" w:ascii="宋体" w:hAnsi="宋体" w:eastAsia="宋体" w:cs="宋体"/>
          <w:color w:val="auto"/>
          <w:highlight w:val="none"/>
          <w:lang w:val="en-US" w:eastAsia="zh-CN"/>
        </w:rPr>
        <w:t>谈判小组与符合资格条件的供应商就采购货物、工程和服务事宜进行谈判，供应商按照谈判文件的要求提交响应文件和最后报价</w:t>
      </w:r>
      <w:r>
        <w:rPr>
          <w:rFonts w:hint="eastAsia" w:ascii="宋体" w:hAnsi="宋体" w:eastAsia="宋体" w:cs="宋体"/>
          <w:b/>
          <w:bCs/>
          <w:color w:val="auto"/>
          <w:szCs w:val="24"/>
          <w:highlight w:val="none"/>
          <w:lang w:val="zh-CN"/>
        </w:rPr>
        <w:t>（因落实政府采购政策进行价格调整的，以调整后的价格计算）</w:t>
      </w:r>
      <w:r>
        <w:rPr>
          <w:rFonts w:hint="eastAsia" w:ascii="宋体" w:hAnsi="宋体" w:eastAsia="宋体" w:cs="宋体"/>
          <w:color w:val="auto"/>
          <w:highlight w:val="none"/>
          <w:lang w:val="en-US" w:eastAsia="zh-CN"/>
        </w:rPr>
        <w:t>，采购人从谈判小组提出的成交候选人中确定成交供应商</w:t>
      </w:r>
      <w:r>
        <w:rPr>
          <w:rFonts w:hint="eastAsia" w:ascii="宋体" w:hAnsi="宋体" w:eastAsia="宋体" w:cs="宋体"/>
          <w:color w:val="auto"/>
          <w:highlight w:val="none"/>
        </w:rPr>
        <w:t>。</w:t>
      </w:r>
    </w:p>
    <w:p w14:paraId="2E5B7BB0">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480" w:lineRule="exact"/>
        <w:ind w:left="420" w:leftChars="0" w:hanging="420" w:firstLineChars="0"/>
        <w:textAlignment w:val="auto"/>
        <w:rPr>
          <w:rFonts w:hint="default" w:ascii="宋体" w:hAnsi="宋体" w:eastAsia="宋体" w:cs="宋体"/>
          <w:color w:val="auto"/>
          <w:sz w:val="28"/>
          <w:szCs w:val="28"/>
          <w:highlight w:val="none"/>
          <w:lang w:val="en-US" w:eastAsia="zh-CN"/>
        </w:rPr>
      </w:pPr>
      <w:bookmarkStart w:id="446" w:name="_Toc9798"/>
      <w:bookmarkStart w:id="447" w:name="_Toc662"/>
      <w:r>
        <w:rPr>
          <w:rFonts w:hint="eastAsia" w:ascii="宋体" w:hAnsi="宋体" w:eastAsia="宋体" w:cs="宋体"/>
          <w:color w:val="auto"/>
          <w:sz w:val="28"/>
          <w:szCs w:val="28"/>
          <w:highlight w:val="none"/>
          <w:lang w:val="en-US" w:eastAsia="zh-CN"/>
        </w:rPr>
        <w:t>二、</w:t>
      </w:r>
      <w:r>
        <w:rPr>
          <w:rFonts w:hint="eastAsia" w:ascii="宋体" w:hAnsi="宋体" w:eastAsia="宋体" w:cs="宋体"/>
          <w:color w:val="auto"/>
          <w:sz w:val="28"/>
          <w:szCs w:val="28"/>
          <w:highlight w:val="none"/>
          <w:lang w:val="zh-CN" w:eastAsia="zh-CN"/>
        </w:rPr>
        <w:t>评审程序</w:t>
      </w:r>
      <w:bookmarkEnd w:id="446"/>
      <w:bookmarkEnd w:id="447"/>
    </w:p>
    <w:p w14:paraId="2541236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48" w:name="_Toc1596"/>
      <w:bookmarkStart w:id="449" w:name="_Toc163493634"/>
      <w:r>
        <w:rPr>
          <w:rFonts w:hint="eastAsia" w:ascii="宋体" w:hAnsi="宋体" w:eastAsia="宋体" w:cs="宋体"/>
          <w:b/>
          <w:bCs/>
          <w:color w:val="auto"/>
          <w:kern w:val="2"/>
          <w:sz w:val="24"/>
          <w:szCs w:val="24"/>
          <w:highlight w:val="none"/>
          <w:lang w:val="zh-CN" w:eastAsia="zh-CN" w:bidi="ar-SA"/>
        </w:rPr>
        <w:t>（一）资格审查和符合性审查</w:t>
      </w:r>
      <w:bookmarkEnd w:id="448"/>
      <w:bookmarkEnd w:id="449"/>
    </w:p>
    <w:p w14:paraId="6C7F2EBF">
      <w:pPr>
        <w:keepNext w:val="0"/>
        <w:keepLines w:val="0"/>
        <w:pageBreakBefore w:val="0"/>
        <w:widowControl w:val="0"/>
        <w:tabs>
          <w:tab w:val="left" w:pos="312"/>
        </w:tabs>
        <w:kinsoku/>
        <w:wordWrap w:val="0"/>
        <w:overflowPunct/>
        <w:topLinePunct w:val="0"/>
        <w:autoSpaceDE/>
        <w:autoSpaceDN/>
        <w:bidi w:val="0"/>
        <w:adjustRightInd w:val="0"/>
        <w:snapToGrid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文件规定的供应商资格条件、评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成交的标准等事项，对供应商的响应文件进行评审。资格审查和符合性审查不符合</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文件要求的响应文件，按</w:t>
      </w:r>
      <w:r>
        <w:rPr>
          <w:rFonts w:hint="eastAsia" w:ascii="宋体" w:hAnsi="宋体" w:eastAsia="宋体" w:cs="宋体"/>
          <w:b/>
          <w:bCs/>
          <w:color w:val="auto"/>
          <w:sz w:val="24"/>
          <w:szCs w:val="24"/>
          <w:highlight w:val="none"/>
        </w:rPr>
        <w:t>无效文件</w:t>
      </w:r>
      <w:r>
        <w:rPr>
          <w:rFonts w:hint="eastAsia" w:ascii="宋体" w:hAnsi="宋体" w:eastAsia="宋体" w:cs="宋体"/>
          <w:color w:val="auto"/>
          <w:sz w:val="24"/>
          <w:szCs w:val="24"/>
          <w:highlight w:val="none"/>
        </w:rPr>
        <w:t>处理，不进入</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，并告知有关供应商</w:t>
      </w:r>
      <w:r>
        <w:rPr>
          <w:rFonts w:hint="eastAsia" w:ascii="宋体" w:hAnsi="宋体" w:eastAsia="宋体" w:cs="宋体"/>
          <w:color w:val="auto"/>
          <w:sz w:val="24"/>
          <w:szCs w:val="24"/>
          <w:highlight w:val="none"/>
          <w:lang w:val="zh-CN"/>
        </w:rPr>
        <w:t>。</w:t>
      </w:r>
    </w:p>
    <w:p w14:paraId="1C382249">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2.同品牌检查：</w:t>
      </w:r>
    </w:p>
    <w:p w14:paraId="30880557">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2.1单一产品采购（或非单一产品采购中的核心产品），提供相同品牌产品且通过资格审查、符合性审查的不同供应商参加同一合同项下谈判的，按一家供应商计算。</w:t>
      </w:r>
    </w:p>
    <w:p w14:paraId="6D41A4A2">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非单一产品采购项目，采购人应当根据采购项目技术构成、产品价格比重等合理确定一个核心产品（采购清单中作“与核心产品相同〈或同一〉品牌”实质性要求的产品，视为一个核心产品），并以“核心产品”在竞争性谈判文件中载明，评审时按前款规定处理。</w:t>
      </w:r>
    </w:p>
    <w:p w14:paraId="52208256">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2.3有效品牌不足3家的应按废标处理</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公开招标的货物和服务项目，招标过程中提交投标文件或者经评审实质性响应招标文件要求的供应商只有2家时，经本级财政部门批准后采用竞争性谈判方式采购的可以为2家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w:t>
      </w:r>
    </w:p>
    <w:p w14:paraId="2480155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0" w:name="_Toc11015"/>
      <w:bookmarkStart w:id="451" w:name="_Toc163493635"/>
      <w:bookmarkStart w:id="452" w:name="_Hlk158124046"/>
      <w:bookmarkStart w:id="453" w:name="_Toc102116178"/>
      <w:bookmarkStart w:id="454" w:name="_Toc102116048"/>
      <w:bookmarkStart w:id="455" w:name="_Toc102119879"/>
      <w:bookmarkStart w:id="456" w:name="_Toc102114946"/>
      <w:bookmarkStart w:id="457" w:name="_Toc102057744"/>
      <w:bookmarkStart w:id="458" w:name="_Toc102056244"/>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响应文件澄清</w:t>
      </w:r>
      <w:bookmarkEnd w:id="450"/>
      <w:bookmarkEnd w:id="451"/>
    </w:p>
    <w:p w14:paraId="4E589A43">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1.评审期间，</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在对响应文件的有效性、完整性和响应程度进行审查时，可以要求供应商对响应文件中含义不明确、同类问题表述不一致或者有明显文字和计算错误的内容等作出必要的澄清、说明或者更正。供应商应按照谈判小组要求在规定时间内作出澄清、说明或者补正，澄清、说明或者补正不得超出响应文件的范围或者改变响应文件的实质性内容。</w:t>
      </w:r>
    </w:p>
    <w:p w14:paraId="7D6F80BE">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2.谈判小组应当以书面形式要求供应商作出澄清、说明或者更正响应文件。供应商的澄清、说明或者更正</w:t>
      </w:r>
      <w:r>
        <w:rPr>
          <w:rFonts w:hint="eastAsia" w:ascii="宋体" w:hAnsi="宋体" w:eastAsia="宋体" w:cs="宋体"/>
          <w:color w:val="auto"/>
          <w:sz w:val="24"/>
          <w:szCs w:val="24"/>
          <w:highlight w:val="none"/>
        </w:rPr>
        <w:t>是其响应文件的有效组成部分，澄清、说明或者补正应当以书面的方式</w:t>
      </w:r>
      <w:r>
        <w:rPr>
          <w:rFonts w:hint="eastAsia" w:ascii="宋体" w:hAnsi="宋体" w:eastAsia="宋体" w:cs="宋体"/>
          <w:color w:val="auto"/>
          <w:sz w:val="24"/>
          <w:szCs w:val="24"/>
          <w:highlight w:val="none"/>
          <w:lang w:val="en-US" w:eastAsia="zh-CN"/>
        </w:rPr>
        <w:t>由法定代表人或其授权代表签字或者加盖公章（</w:t>
      </w:r>
      <w:r>
        <w:rPr>
          <w:rFonts w:hint="eastAsia" w:ascii="宋体" w:hAnsi="宋体" w:eastAsia="宋体" w:cs="宋体"/>
          <w:color w:val="auto"/>
          <w:sz w:val="24"/>
          <w:szCs w:val="24"/>
          <w:highlight w:val="none"/>
        </w:rPr>
        <w:t>电子印章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后提交</w:t>
      </w:r>
      <w:r>
        <w:rPr>
          <w:rFonts w:hint="eastAsia" w:ascii="宋体" w:hAnsi="宋体" w:eastAsia="宋体" w:cs="宋体"/>
          <w:color w:val="auto"/>
          <w:sz w:val="24"/>
          <w:szCs w:val="24"/>
          <w:highlight w:val="none"/>
          <w:lang w:val="en-US" w:eastAsia="zh-CN"/>
        </w:rPr>
        <w:t>。由授权代表签字的，应当附法定代表人授权书。供应商为自然人的，应当由本人签字并附身份证明。</w:t>
      </w:r>
    </w:p>
    <w:bookmarkEnd w:id="452"/>
    <w:p w14:paraId="27E4E052">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59" w:name="_Toc13539"/>
      <w:bookmarkStart w:id="460" w:name="_Toc163493636"/>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zh-CN" w:eastAsia="zh-CN" w:bidi="ar-SA"/>
        </w:rPr>
        <w:t>谈判程序</w:t>
      </w:r>
      <w:bookmarkEnd w:id="459"/>
      <w:bookmarkEnd w:id="460"/>
    </w:p>
    <w:p w14:paraId="3B21DF86">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小组应当依据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文件规定的程序、评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成交的标准等事项与</w:t>
      </w:r>
      <w:r>
        <w:rPr>
          <w:rFonts w:hint="eastAsia" w:ascii="宋体" w:hAnsi="宋体" w:eastAsia="宋体" w:cs="宋体"/>
          <w:color w:val="auto"/>
          <w:sz w:val="24"/>
          <w:szCs w:val="24"/>
          <w:highlight w:val="none"/>
          <w:lang w:val="zh-CN"/>
        </w:rPr>
        <w:t>实质性</w:t>
      </w:r>
      <w:r>
        <w:rPr>
          <w:rFonts w:hint="eastAsia" w:ascii="宋体" w:hAnsi="宋体" w:eastAsia="宋体" w:cs="宋体"/>
          <w:color w:val="auto"/>
          <w:sz w:val="24"/>
          <w:szCs w:val="24"/>
          <w:highlight w:val="none"/>
        </w:rPr>
        <w:t>响应</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文件要求的供应商进行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410355B6">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1.第一轮谈判</w:t>
      </w:r>
    </w:p>
    <w:p w14:paraId="0B92300B">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1.1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小组将按照系统随机的顺序决定供应商的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顺序，并集中与单一供应商分别进行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7F6A6EA2">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小组所有成员应当对照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文件和响应文件就采购需求、质量和服务等内容集中与单一供应商分别进行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，并给予所有参加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的供应商平等的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机会。在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的任何一方不得透露与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有关的其他供应商的技术资料、价格和其他信息。</w:t>
      </w:r>
    </w:p>
    <w:p w14:paraId="1BC6C917">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过程中，</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情况实质性变动采购需求中的技术、服务要求以及合同草案条款，但不得变动</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文件中的其他内容。实质性变动的内容，须经采购人代表确认。</w:t>
      </w:r>
    </w:p>
    <w:p w14:paraId="26C7DC2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文件作出的实质性变动的内容是</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文件的有效组成部分。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小组应将</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文件的变动情况以书面</w:t>
      </w:r>
      <w:r>
        <w:rPr>
          <w:rFonts w:hint="eastAsia" w:ascii="宋体" w:hAnsi="宋体" w:eastAsia="宋体" w:cs="宋体"/>
          <w:color w:val="auto"/>
          <w:sz w:val="24"/>
          <w:szCs w:val="24"/>
          <w:highlight w:val="none"/>
          <w:lang w:val="en-US" w:eastAsia="zh-CN"/>
        </w:rPr>
        <w:t>形</w:t>
      </w:r>
      <w:r>
        <w:rPr>
          <w:rFonts w:hint="eastAsia" w:ascii="宋体" w:hAnsi="宋体" w:eastAsia="宋体" w:cs="宋体"/>
          <w:color w:val="auto"/>
          <w:sz w:val="24"/>
          <w:szCs w:val="24"/>
          <w:highlight w:val="none"/>
        </w:rPr>
        <w:t>式通知所有参加</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的供应商。</w:t>
      </w:r>
    </w:p>
    <w:p w14:paraId="708F2F98">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1.5供应商应当按照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文件的变动情况和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的要求在规定的时间内重新提交响应文件，并由其法定代表人或授权代表签字或者加盖公章。由授权代表签字的，应当附法定代表人授权书。供应商为自然人的，应当由本人签字并附身份证明。逾时不提交的，视同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296A5BF1">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2.多轮谈判</w:t>
      </w:r>
    </w:p>
    <w:p w14:paraId="07D8F4C4">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文件中不能详细列明采购标的的技术、服务要求，需经</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由供应商提供最终设计方案或解决方案的项目，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小组可以根据采购人对采购需求的确认情况，进行多轮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，直到采购人代表最终确认采购需求为止。</w:t>
      </w:r>
    </w:p>
    <w:p w14:paraId="7990D9D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程序同第一轮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0F051FC6">
      <w:pPr>
        <w:pStyle w:val="33"/>
        <w:keepNext w:val="0"/>
        <w:keepLines w:val="0"/>
        <w:pageBreakBefore w:val="0"/>
        <w:widowControl w:val="0"/>
        <w:kinsoku/>
        <w:overflowPunct/>
        <w:topLinePunct w:val="0"/>
        <w:autoSpaceDE/>
        <w:autoSpaceDN/>
        <w:bidi w:val="0"/>
        <w:spacing w:line="420" w:lineRule="exact"/>
        <w:ind w:firstLine="480"/>
        <w:textAlignment w:val="auto"/>
        <w:rPr>
          <w:rFonts w:hint="default"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2.4如谈判</w:t>
      </w:r>
      <w:r>
        <w:rPr>
          <w:rFonts w:hint="eastAsia" w:ascii="宋体" w:hAnsi="宋体" w:eastAsia="宋体" w:cs="宋体"/>
          <w:color w:val="auto"/>
          <w:sz w:val="24"/>
          <w:szCs w:val="24"/>
          <w:highlight w:val="none"/>
        </w:rPr>
        <w:t>小组根据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文件和</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情况</w:t>
      </w:r>
      <w:r>
        <w:rPr>
          <w:rFonts w:hint="eastAsia" w:cs="宋体"/>
          <w:color w:val="auto"/>
          <w:sz w:val="24"/>
          <w:szCs w:val="24"/>
          <w:highlight w:val="none"/>
          <w:lang w:val="en-US" w:eastAsia="zh-CN"/>
        </w:rPr>
        <w:t>未</w:t>
      </w:r>
      <w:r>
        <w:rPr>
          <w:rFonts w:hint="eastAsia" w:ascii="宋体" w:hAnsi="宋体" w:eastAsia="宋体" w:cs="宋体"/>
          <w:color w:val="auto"/>
          <w:sz w:val="24"/>
          <w:szCs w:val="24"/>
          <w:highlight w:val="none"/>
        </w:rPr>
        <w:t>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文件作出实质性变动</w:t>
      </w:r>
      <w:r>
        <w:rPr>
          <w:rFonts w:hint="eastAsia" w:cs="宋体"/>
          <w:color w:val="auto"/>
          <w:sz w:val="24"/>
          <w:szCs w:val="24"/>
          <w:highlight w:val="none"/>
          <w:lang w:val="en-US" w:eastAsia="zh-CN"/>
        </w:rPr>
        <w:t>增加新的需求，则供应商后一轮报价不得高于前一轮报价。</w:t>
      </w:r>
      <w:r>
        <w:rPr>
          <w:rFonts w:hint="eastAsia" w:cs="宋体"/>
          <w:color w:val="auto"/>
          <w:sz w:val="24"/>
          <w:szCs w:val="24"/>
          <w:highlight w:val="none"/>
          <w:lang w:val="en-US" w:eastAsia="zh-CN"/>
        </w:rPr>
        <w:t>本项目谈判轮次及谈判顺序详“供应商须知前附表”。</w:t>
      </w:r>
    </w:p>
    <w:p w14:paraId="47413248">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3.最后报价</w:t>
      </w:r>
    </w:p>
    <w:p w14:paraId="3FE2B13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文件中能够详细列明采购标的的技术、服务要求的，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小组应当要求所有</w:t>
      </w:r>
      <w:r>
        <w:rPr>
          <w:rFonts w:hint="eastAsia" w:ascii="宋体" w:hAnsi="宋体" w:eastAsia="宋体" w:cs="宋体"/>
          <w:color w:val="auto"/>
          <w:sz w:val="24"/>
          <w:szCs w:val="24"/>
          <w:highlight w:val="none"/>
          <w:lang w:val="en-US" w:eastAsia="zh-CN"/>
        </w:rPr>
        <w:t>实质性响应</w:t>
      </w:r>
      <w:r>
        <w:rPr>
          <w:rFonts w:hint="eastAsia" w:ascii="宋体" w:hAnsi="宋体" w:eastAsia="宋体" w:cs="宋体"/>
          <w:color w:val="auto"/>
          <w:sz w:val="24"/>
          <w:szCs w:val="24"/>
          <w:highlight w:val="none"/>
        </w:rPr>
        <w:t>的供应商，在规定时间内，以书面的方式经</w:t>
      </w:r>
      <w:r>
        <w:rPr>
          <w:rFonts w:hint="eastAsia" w:cs="宋体"/>
          <w:color w:val="auto"/>
          <w:sz w:val="24"/>
          <w:szCs w:val="24"/>
          <w:highlight w:val="none"/>
          <w:lang w:val="en-US" w:eastAsia="zh-CN"/>
        </w:rPr>
        <w:t>法定代表人或</w:t>
      </w:r>
      <w:r>
        <w:rPr>
          <w:rFonts w:hint="eastAsia" w:ascii="宋体" w:hAnsi="宋体" w:eastAsia="宋体" w:cs="宋体"/>
          <w:color w:val="auto"/>
          <w:sz w:val="24"/>
          <w:szCs w:val="24"/>
          <w:highlight w:val="none"/>
        </w:rPr>
        <w:t>授权代表签字（或加盖公章）后提交最后报价，提交最后报价的供应商不得少于3家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市场竞争不充分的科研项目，以及需要扶持的科技成果转化项目可以为2家，</w:t>
      </w:r>
      <w:r>
        <w:rPr>
          <w:rFonts w:hint="eastAsia" w:ascii="宋体" w:hAnsi="宋体" w:eastAsia="宋体" w:cs="宋体"/>
          <w:snapToGrid w:val="0"/>
          <w:color w:val="auto"/>
          <w:sz w:val="24"/>
          <w:szCs w:val="24"/>
          <w:highlight w:val="none"/>
        </w:rPr>
        <w:t>政府购买服务项目[含政府和社会资本合作项目]，在采购过程中符合要求的供应商[社会资本]只有2家的</w:t>
      </w:r>
      <w:r>
        <w:rPr>
          <w:rFonts w:hint="eastAsia" w:ascii="宋体" w:hAnsi="宋体" w:eastAsia="宋体" w:cs="宋体"/>
          <w:color w:val="auto"/>
          <w:sz w:val="24"/>
          <w:szCs w:val="24"/>
          <w:highlight w:val="none"/>
        </w:rPr>
        <w:t>可以为2家</w:t>
      </w:r>
      <w:r>
        <w:rPr>
          <w:rFonts w:hint="eastAsia" w:cs="宋体"/>
          <w:color w:val="auto"/>
          <w:sz w:val="24"/>
          <w:szCs w:val="24"/>
          <w:highlight w:val="none"/>
          <w:lang w:val="en-US" w:eastAsia="zh-CN"/>
        </w:rPr>
        <w:t>；公开招标的货物和服务项目，招标过程中提交投标文件或者经评审实质性响应招标文件要求的供应商只有2家时，经本级财政部门批准后采用竞争性谈判方式采购的可以为2家</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w:t>
      </w:r>
    </w:p>
    <w:p w14:paraId="45C3849D">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文件中不能详细列明采购标的的技术、服务要求，需经</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由供应商提供最</w:t>
      </w:r>
      <w:r>
        <w:rPr>
          <w:rFonts w:hint="eastAsia" w:ascii="宋体" w:hAnsi="宋体" w:eastAsia="宋体" w:cs="宋体"/>
          <w:color w:val="auto"/>
          <w:sz w:val="24"/>
          <w:szCs w:val="24"/>
          <w:highlight w:val="none"/>
          <w:lang w:val="en-US" w:eastAsia="zh-CN"/>
        </w:rPr>
        <w:t>终</w:t>
      </w:r>
      <w:r>
        <w:rPr>
          <w:rFonts w:hint="eastAsia" w:ascii="宋体" w:hAnsi="宋体" w:eastAsia="宋体" w:cs="宋体"/>
          <w:color w:val="auto"/>
          <w:sz w:val="24"/>
          <w:szCs w:val="24"/>
          <w:highlight w:val="none"/>
        </w:rPr>
        <w:t>设计方案或解决方案的，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小组应当按照少数服从多数的原则投票推荐3家以上（公开招标的货物和服务项目，招标过程中提交投标文件或者经评审实质性响应招标文件要求的供应商只有2家时，经本级财政部门批准后采用竞争性谈判方式采购的可以为2家）供应商的设计方案或者解决方案，并要求其在规定时间内提交最后报价。</w:t>
      </w:r>
    </w:p>
    <w:p w14:paraId="6A85ACA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最后报价是供应商响应文件的有效组成部分。逾时不提交的，视同退出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w:t>
      </w:r>
    </w:p>
    <w:p w14:paraId="6331671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最后报价出现前后不一致的，按照下列规定修正：</w:t>
      </w:r>
    </w:p>
    <w:p w14:paraId="41A8A1D4">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（1）大写金额和小写金额不一致的，以大写金额为准；</w:t>
      </w:r>
    </w:p>
    <w:p w14:paraId="79A2142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（2）单价金额</w:t>
      </w:r>
      <w:r>
        <w:rPr>
          <w:rFonts w:hint="eastAsia" w:ascii="宋体" w:hAnsi="宋体" w:eastAsia="宋体" w:cs="宋体"/>
          <w:color w:val="auto"/>
          <w:sz w:val="24"/>
          <w:szCs w:val="24"/>
          <w:highlight w:val="none"/>
        </w:rPr>
        <w:t>小数点</w:t>
      </w:r>
      <w:r>
        <w:rPr>
          <w:rFonts w:hint="eastAsia" w:ascii="宋体" w:hAnsi="宋体" w:eastAsia="宋体" w:cs="宋体"/>
          <w:color w:val="auto"/>
          <w:sz w:val="24"/>
          <w:szCs w:val="24"/>
          <w:highlight w:val="none"/>
          <w:lang w:val="zh-CN"/>
        </w:rPr>
        <w:t>或百分比有明显错位的，以最后报价表的总价为准，并修改单价；</w:t>
      </w:r>
    </w:p>
    <w:p w14:paraId="53C9A123">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（3）总价金额与按单价汇总金额不一致的，以单价金额计算结果为准；</w:t>
      </w:r>
    </w:p>
    <w:p w14:paraId="62F02C6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（4）同时出现</w:t>
      </w:r>
      <w:r>
        <w:rPr>
          <w:rFonts w:hint="eastAsia" w:ascii="宋体" w:hAnsi="宋体" w:eastAsia="宋体" w:cs="宋体"/>
          <w:color w:val="auto"/>
          <w:sz w:val="24"/>
          <w:szCs w:val="24"/>
          <w:highlight w:val="none"/>
        </w:rPr>
        <w:t>两种</w:t>
      </w:r>
      <w:r>
        <w:rPr>
          <w:rFonts w:hint="eastAsia" w:ascii="宋体" w:hAnsi="宋体" w:eastAsia="宋体" w:cs="宋体"/>
          <w:color w:val="auto"/>
          <w:sz w:val="24"/>
          <w:szCs w:val="24"/>
          <w:highlight w:val="none"/>
          <w:lang w:val="zh-CN"/>
        </w:rPr>
        <w:t>以上不一致的，按照前款规定的顺序修正；</w:t>
      </w:r>
    </w:p>
    <w:p w14:paraId="492B1BC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修正后的报价应通过书面方式通知供应商，由供应商</w:t>
      </w:r>
      <w:r>
        <w:rPr>
          <w:rFonts w:hint="eastAsia" w:cs="宋体"/>
          <w:color w:val="auto"/>
          <w:sz w:val="24"/>
          <w:szCs w:val="24"/>
          <w:highlight w:val="none"/>
          <w:lang w:val="en-US" w:eastAsia="zh-CN"/>
        </w:rPr>
        <w:t>法定代表人或</w:t>
      </w:r>
      <w:r>
        <w:rPr>
          <w:rFonts w:hint="eastAsia" w:ascii="宋体" w:hAnsi="宋体" w:eastAsia="宋体" w:cs="宋体"/>
          <w:color w:val="auto"/>
          <w:sz w:val="24"/>
          <w:szCs w:val="24"/>
          <w:highlight w:val="none"/>
          <w:lang w:val="zh-CN"/>
        </w:rPr>
        <w:t>授权代表签字（或加盖公章）确认后产生约束力，供应商不确认的，按照</w:t>
      </w:r>
      <w:r>
        <w:rPr>
          <w:rFonts w:hint="eastAsia" w:ascii="宋体" w:hAnsi="宋体" w:eastAsia="宋体" w:cs="宋体"/>
          <w:b/>
          <w:bCs/>
          <w:color w:val="auto"/>
          <w:sz w:val="24"/>
          <w:szCs w:val="24"/>
          <w:highlight w:val="none"/>
          <w:lang w:val="zh-CN"/>
        </w:rPr>
        <w:t>无效响应</w:t>
      </w:r>
      <w:r>
        <w:rPr>
          <w:rFonts w:hint="eastAsia" w:ascii="宋体" w:hAnsi="宋体" w:eastAsia="宋体" w:cs="宋体"/>
          <w:color w:val="auto"/>
          <w:sz w:val="24"/>
          <w:szCs w:val="24"/>
          <w:highlight w:val="none"/>
          <w:lang w:val="zh-CN"/>
        </w:rPr>
        <w:t>处理。</w:t>
      </w:r>
    </w:p>
    <w:p w14:paraId="040E7FCB">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bookmarkStart w:id="461" w:name="_Toc102056245"/>
      <w:bookmarkStart w:id="462" w:name="_Toc102119880"/>
      <w:bookmarkStart w:id="463" w:name="_Toc102116049"/>
      <w:bookmarkStart w:id="464" w:name="_Toc102114947"/>
      <w:bookmarkStart w:id="465" w:name="_Toc102116179"/>
      <w:bookmarkStart w:id="466" w:name="_Toc102057745"/>
      <w:r>
        <w:rPr>
          <w:rFonts w:hint="eastAsia" w:ascii="宋体" w:hAnsi="宋体" w:eastAsia="宋体" w:cs="宋体"/>
          <w:color w:val="auto"/>
          <w:sz w:val="24"/>
          <w:szCs w:val="24"/>
          <w:highlight w:val="none"/>
          <w:lang w:val="en-US" w:eastAsia="zh-CN"/>
        </w:rPr>
        <w:t>3.4已提交响应文件的供应商，在提交最后报价之前，可以根据</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情况退出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，退出</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供应商的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保证金可予以退还。</w:t>
      </w:r>
    </w:p>
    <w:p w14:paraId="37D01FAF">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4.商务技术评审</w:t>
      </w:r>
    </w:p>
    <w:p w14:paraId="2D2ED263">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4.1</w:t>
      </w:r>
      <w:r>
        <w:rPr>
          <w:rFonts w:hint="eastAsia" w:cs="宋体"/>
          <w:color w:val="auto"/>
          <w:sz w:val="24"/>
          <w:szCs w:val="24"/>
          <w:highlight w:val="none"/>
          <w:lang w:val="en-US" w:eastAsia="zh-CN"/>
        </w:rPr>
        <w:t>谈判小组根据本章的评审标准以及谈判文件实质性变动的内容，按谈判文件要求对修正后的响应文件进行商务技术评审，未实质性响应谈判文件要求的响应文件按</w:t>
      </w:r>
      <w:r>
        <w:rPr>
          <w:rFonts w:hint="eastAsia" w:cs="宋体"/>
          <w:b/>
          <w:bCs/>
          <w:color w:val="auto"/>
          <w:sz w:val="24"/>
          <w:szCs w:val="24"/>
          <w:highlight w:val="none"/>
          <w:lang w:val="en-US" w:eastAsia="zh-CN"/>
        </w:rPr>
        <w:t>无效响应</w:t>
      </w:r>
      <w:r>
        <w:rPr>
          <w:rFonts w:hint="eastAsia" w:cs="宋体"/>
          <w:color w:val="auto"/>
          <w:sz w:val="24"/>
          <w:szCs w:val="24"/>
          <w:highlight w:val="none"/>
          <w:lang w:val="en-US" w:eastAsia="zh-CN"/>
        </w:rPr>
        <w:t>处理</w:t>
      </w:r>
      <w:r>
        <w:rPr>
          <w:rFonts w:hint="eastAsia" w:ascii="宋体" w:hAnsi="宋体" w:eastAsia="宋体" w:cs="宋体"/>
          <w:color w:val="auto"/>
          <w:sz w:val="24"/>
          <w:szCs w:val="24"/>
          <w:highlight w:val="none"/>
          <w:lang w:val="zh-CN"/>
        </w:rPr>
        <w:t>。</w:t>
      </w:r>
    </w:p>
    <w:bookmarkEnd w:id="453"/>
    <w:bookmarkEnd w:id="454"/>
    <w:bookmarkEnd w:id="455"/>
    <w:bookmarkEnd w:id="456"/>
    <w:bookmarkEnd w:id="457"/>
    <w:bookmarkEnd w:id="458"/>
    <w:bookmarkEnd w:id="461"/>
    <w:bookmarkEnd w:id="462"/>
    <w:bookmarkEnd w:id="463"/>
    <w:bookmarkEnd w:id="464"/>
    <w:bookmarkEnd w:id="465"/>
    <w:bookmarkEnd w:id="466"/>
    <w:p w14:paraId="11B2A599">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67" w:name="_Toc102116051"/>
      <w:bookmarkStart w:id="468" w:name="_Toc102119882"/>
      <w:bookmarkStart w:id="469" w:name="_Toc102116181"/>
      <w:bookmarkStart w:id="470" w:name="_Toc102114949"/>
      <w:bookmarkStart w:id="471" w:name="_Toc102057747"/>
      <w:bookmarkStart w:id="472" w:name="_Toc102056247"/>
      <w:r>
        <w:rPr>
          <w:rFonts w:hint="eastAsia" w:ascii="宋体" w:hAnsi="宋体" w:eastAsia="宋体" w:cs="宋体"/>
          <w:b/>
          <w:bCs/>
          <w:color w:val="auto"/>
          <w:kern w:val="2"/>
          <w:sz w:val="24"/>
          <w:szCs w:val="24"/>
          <w:highlight w:val="none"/>
          <w:lang w:val="en-US" w:eastAsia="zh-CN" w:bidi="ar-SA"/>
        </w:rPr>
        <w:t>5.报价评</w:t>
      </w:r>
      <w:bookmarkEnd w:id="467"/>
      <w:bookmarkEnd w:id="468"/>
      <w:bookmarkEnd w:id="469"/>
      <w:bookmarkEnd w:id="470"/>
      <w:bookmarkEnd w:id="471"/>
      <w:bookmarkEnd w:id="472"/>
      <w:r>
        <w:rPr>
          <w:rFonts w:hint="eastAsia" w:ascii="宋体" w:hAnsi="宋体" w:eastAsia="宋体" w:cs="宋体"/>
          <w:b/>
          <w:bCs/>
          <w:color w:val="auto"/>
          <w:kern w:val="2"/>
          <w:sz w:val="24"/>
          <w:szCs w:val="24"/>
          <w:highlight w:val="none"/>
          <w:lang w:val="en-US" w:eastAsia="zh-CN" w:bidi="ar-SA"/>
        </w:rPr>
        <w:t>审</w:t>
      </w:r>
    </w:p>
    <w:p w14:paraId="4F87D81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5.1报价合理性说明：</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小组认为供应商的最后报价明显低于其他供应商最后报价，有可能影响</w:t>
      </w:r>
      <w:r>
        <w:rPr>
          <w:rFonts w:hint="eastAsia" w:ascii="宋体" w:hAnsi="宋体" w:eastAsia="宋体" w:cs="宋体"/>
          <w:color w:val="auto"/>
          <w:sz w:val="24"/>
          <w:szCs w:val="24"/>
          <w:highlight w:val="none"/>
          <w:lang w:val="en-US" w:eastAsia="zh-CN"/>
        </w:rPr>
        <w:t>货物</w:t>
      </w:r>
      <w:r>
        <w:rPr>
          <w:rFonts w:hint="eastAsia" w:ascii="宋体" w:hAnsi="宋体" w:eastAsia="宋体" w:cs="宋体"/>
          <w:color w:val="auto"/>
          <w:sz w:val="24"/>
          <w:szCs w:val="24"/>
          <w:highlight w:val="none"/>
          <w:lang w:val="zh-CN"/>
        </w:rPr>
        <w:t>质量或者不能诚信履约的，应当要求其在合理的时间内提供说明，必要时提交相关证明材料；供应商不能证明其最后报价合理性的，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小组应当将其作</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zh-CN"/>
        </w:rPr>
        <w:t>。</w:t>
      </w:r>
    </w:p>
    <w:p w14:paraId="1B3E8B52">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5.1.1供应商应根据答疑内容在规定的时间内提供说明和成本清单等相关证明材料，</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小组认定相关证明材料对此报价的说明或者证明材料可以佐证此报价的货物质量和具有诚信履约能力，予以通过审查；</w:t>
      </w:r>
    </w:p>
    <w:p w14:paraId="61371D00">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5.1.2供应商提供的说明或者证明材料必须按照国家财务会计制度的规定要求，逐项就供应商提供的货物和服务的主营业务成本、税收及附加、销售费用、管理费用、财务费用等成本构成事项详细陈述，并由法定代表人或者其授权代表签字确认并加盖公章；</w:t>
      </w:r>
    </w:p>
    <w:p w14:paraId="3E3AF71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5.1.3供应商不能合理说明或者不能提供相关证明材料的，由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小组认定该供应商以低于成本报价竞标，有可能影响货物质量或者不能诚信履约，应当</w:t>
      </w:r>
      <w:r>
        <w:rPr>
          <w:rFonts w:hint="eastAsia" w:ascii="宋体" w:hAnsi="宋体" w:eastAsia="宋体" w:cs="宋体"/>
          <w:color w:val="auto"/>
          <w:sz w:val="24"/>
          <w:szCs w:val="24"/>
          <w:highlight w:val="none"/>
          <w:lang w:val="zh-CN"/>
        </w:rPr>
        <w:t>将其作为</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en-US" w:eastAsia="zh-CN"/>
        </w:rPr>
        <w:t>；</w:t>
      </w:r>
    </w:p>
    <w:p w14:paraId="0E9AEE79">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5.1.4供应商也可以有预见性地准备好上述要求的书面说明和相关证明材料并加盖公章。</w:t>
      </w:r>
    </w:p>
    <w:p w14:paraId="1784FDB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5.2价格扣除： </w:t>
      </w:r>
    </w:p>
    <w:p w14:paraId="1F4B5526">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w:t>
      </w:r>
      <w:r>
        <w:rPr>
          <w:rFonts w:hint="eastAsia" w:ascii="宋体" w:hAnsi="宋体" w:eastAsia="宋体" w:cs="宋体"/>
          <w:color w:val="auto"/>
          <w:sz w:val="24"/>
          <w:szCs w:val="24"/>
          <w:highlight w:val="none"/>
        </w:rPr>
        <w:t>非专门面向中小企业的采购项目或采购包，对符合规定的小微企业（监狱企业、残疾人福利性单位、联合体各方均为小微企业的联合体、符合小微企业划分标准的个体工商户视同小微企业）报价按照竞争性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ascii="宋体" w:hAnsi="宋体" w:eastAsia="宋体" w:cs="宋体"/>
          <w:color w:val="auto"/>
          <w:sz w:val="24"/>
          <w:szCs w:val="24"/>
          <w:highlight w:val="none"/>
          <w:lang w:val="en-US" w:eastAsia="zh-CN"/>
        </w:rPr>
        <w:t>竞争性谈判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ascii="宋体" w:hAnsi="宋体" w:eastAsia="宋体" w:cs="宋体"/>
          <w:color w:val="auto"/>
          <w:sz w:val="24"/>
          <w:szCs w:val="24"/>
          <w:highlight w:val="none"/>
          <w:lang w:val="en-US" w:eastAsia="zh-CN"/>
        </w:rPr>
        <w:t>竞争性谈判</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rPr>
        <w:t>。</w:t>
      </w:r>
    </w:p>
    <w:p w14:paraId="72014FEF">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1A495953">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（3）组成联合体或者接受分包的小微企业与联合体内其他企业、分包企业之间存在直接控股、管理关系的，不享受价格扣除优惠政策。</w:t>
      </w:r>
    </w:p>
    <w:p w14:paraId="60984AA9">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（4）价格扣除比例对小型企业和微型企业同等对待，不作区分。</w:t>
      </w:r>
    </w:p>
    <w:p w14:paraId="19B743D0">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（5）</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36F5294C">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6）若供应商同时属于小型或微型企业、监狱企业、残疾人福利性单位 中的两种及以上，将不重复享受小微企业价格扣减的优惠政策。</w:t>
      </w:r>
    </w:p>
    <w:p w14:paraId="5E5FD8B2">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6.相同品牌处理原则</w:t>
      </w:r>
    </w:p>
    <w:p w14:paraId="4D6606A2">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6.1单一产品采购（或非单一产品采购中的核心产品），提供相同品牌产品的不同供应商参加同一项目下谈判的，以其中通过商务技术评审且最后报价最低的参加评审；报价相同的，由采购人确定或者采购人委托谈判小组以投票方式确定一个参加评审的供应商。</w:t>
      </w:r>
    </w:p>
    <w:p w14:paraId="5E195C1A">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6.2非单一产品采购项目，采购人应当根据采购项目技术构成、产品价格比重等合理确定一个核心产品（采购清单中作“与核心产品相同〈或同一〉品牌”要求的产品，视为一个核心产品），并以“核心产品”在谈判文件中载明，评审时按照前款规定处理。</w:t>
      </w:r>
    </w:p>
    <w:p w14:paraId="6D6DB070">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7.确定成交候选供应商</w:t>
      </w:r>
    </w:p>
    <w:p w14:paraId="0A48BCBB">
      <w:pPr>
        <w:pStyle w:val="33"/>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7.1谈判小组按照谈判文件确定的评审方法、程序及标准，对响应文件进行评审。评审结果按最后报价（因落实政府采购政策进行价格扣除的，以扣除后的价格计算）由低到高顺序排列。</w:t>
      </w:r>
      <w:r>
        <w:rPr>
          <w:rFonts w:hint="eastAsia" w:cs="宋体"/>
          <w:color w:val="0000FF"/>
          <w:sz w:val="24"/>
          <w:szCs w:val="24"/>
          <w:highlight w:val="none"/>
          <w:lang w:val="en-US" w:eastAsia="zh-CN"/>
        </w:rPr>
        <w:t>报价相同并列的按照“供应商须知前附表”的规定排序。</w:t>
      </w:r>
      <w:r>
        <w:rPr>
          <w:rFonts w:hint="eastAsia" w:cs="宋体"/>
          <w:color w:val="auto"/>
          <w:sz w:val="24"/>
          <w:szCs w:val="24"/>
          <w:highlight w:val="none"/>
          <w:lang w:val="en-US" w:eastAsia="zh-CN"/>
        </w:rPr>
        <w:t>响应文件全部实质性满足谈判文件要求且报价最低的供应商为排名第一的成交候选供应商。</w:t>
      </w:r>
    </w:p>
    <w:p w14:paraId="5C7A17A0">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7.2除资格性审查认定错误和价格计算错误外，采购人或者采购代理机构不得以任何理由组织重新评审。采购人、采购代理机构发现谈判小组未按照采购文件规定的评定成交的标准进行评审的，应当重新开展采购活动，并同时书面报告本级财政部门。</w:t>
      </w:r>
    </w:p>
    <w:p w14:paraId="4D6D309B">
      <w:pPr>
        <w:pStyle w:val="33"/>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7.3采购人或者采购代理机构不得通过对样品进行检测、对供应商进行考察等方式改变评审结果。</w:t>
      </w:r>
    </w:p>
    <w:p w14:paraId="1F8EBB86">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73" w:name="_Toc102116054"/>
      <w:bookmarkStart w:id="474" w:name="_Toc102056250"/>
      <w:bookmarkStart w:id="475" w:name="_Toc102119885"/>
      <w:bookmarkStart w:id="476" w:name="_Toc102057750"/>
      <w:bookmarkStart w:id="477" w:name="_Toc102116184"/>
      <w:bookmarkStart w:id="478" w:name="_Toc102114952"/>
      <w:r>
        <w:rPr>
          <w:rFonts w:hint="eastAsia" w:ascii="宋体" w:hAnsi="宋体" w:eastAsia="宋体" w:cs="宋体"/>
          <w:b/>
          <w:bCs/>
          <w:color w:val="auto"/>
          <w:kern w:val="2"/>
          <w:sz w:val="24"/>
          <w:szCs w:val="24"/>
          <w:highlight w:val="none"/>
          <w:lang w:val="en-US" w:eastAsia="zh-CN" w:bidi="ar-SA"/>
        </w:rPr>
        <w:t>8.评审报告</w:t>
      </w:r>
      <w:bookmarkEnd w:id="473"/>
      <w:bookmarkEnd w:id="474"/>
      <w:bookmarkEnd w:id="475"/>
      <w:bookmarkEnd w:id="476"/>
      <w:bookmarkEnd w:id="477"/>
      <w:bookmarkEnd w:id="478"/>
    </w:p>
    <w:p w14:paraId="1836027C">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8.1</w:t>
      </w:r>
      <w:r>
        <w:rPr>
          <w:rFonts w:hint="eastAsia" w:cs="宋体"/>
          <w:color w:val="auto"/>
          <w:sz w:val="24"/>
          <w:szCs w:val="24"/>
          <w:highlight w:val="none"/>
          <w:lang w:val="en-US" w:eastAsia="zh-CN"/>
        </w:rPr>
        <w:t>谈判小组依据评审结果，</w:t>
      </w:r>
      <w:r>
        <w:rPr>
          <w:rFonts w:hint="eastAsia" w:cs="宋体"/>
          <w:color w:val="auto"/>
          <w:sz w:val="24"/>
          <w:szCs w:val="24"/>
          <w:highlight w:val="none"/>
          <w:lang w:val="en-US" w:eastAsia="zh-CN"/>
        </w:rPr>
        <w:t>从质量和服务均能满足采购文件实质性响应要求的供应商中，</w:t>
      </w:r>
      <w:r>
        <w:rPr>
          <w:rFonts w:hint="eastAsia" w:cs="宋体"/>
          <w:color w:val="auto"/>
          <w:sz w:val="24"/>
          <w:szCs w:val="24"/>
          <w:highlight w:val="none"/>
          <w:lang w:val="en-US" w:eastAsia="zh-CN"/>
        </w:rPr>
        <w:t>按照最后报价（因落实政府采购政策进行价格扣除的，以扣除后的价格计算）由低到高的顺序向采购人推荐3家（公开招标的货物和服务项目，招标过程中提交投标文件或者经评审实质性响应招标文件要求的供应商只有2家时，经本级财政部门批准后采用竞争性谈判方式采购的可以为2家）以上成交候选供应商，</w:t>
      </w:r>
      <w:r>
        <w:rPr>
          <w:rFonts w:hint="eastAsia" w:cs="宋体"/>
          <w:color w:val="auto"/>
          <w:sz w:val="24"/>
          <w:szCs w:val="24"/>
          <w:highlight w:val="none"/>
          <w:lang w:val="en-US" w:eastAsia="zh-CN"/>
        </w:rPr>
        <w:t>并根据评审记录和评审结果编写评审报告</w:t>
      </w:r>
      <w:r>
        <w:rPr>
          <w:rFonts w:hint="eastAsia" w:ascii="宋体" w:hAnsi="宋体" w:eastAsia="宋体" w:cs="宋体"/>
          <w:color w:val="auto"/>
          <w:sz w:val="24"/>
          <w:szCs w:val="24"/>
          <w:highlight w:val="none"/>
          <w:lang w:eastAsia="zh-CN"/>
        </w:rPr>
        <w:t>。</w:t>
      </w:r>
    </w:p>
    <w:p w14:paraId="541E582F">
      <w:pPr>
        <w:pStyle w:val="33"/>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8.</w:t>
      </w:r>
      <w:bookmarkStart w:id="479" w:name="_Toc102057717"/>
      <w:bookmarkStart w:id="480" w:name="_Toc102116151"/>
      <w:bookmarkStart w:id="481" w:name="_Toc102116021"/>
      <w:bookmarkStart w:id="482" w:name="_Toc102114919"/>
      <w:bookmarkStart w:id="483" w:name="_Toc102056217"/>
      <w:bookmarkStart w:id="484" w:name="_Toc102119852"/>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评审报告应当由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小组全体人员签字认可</w:t>
      </w:r>
      <w:r>
        <w:rPr>
          <w:rFonts w:hint="eastAsia" w:cs="Helvetica"/>
          <w:szCs w:val="24"/>
          <w:highlight w:val="none"/>
          <w:lang w:val="zh-CN"/>
        </w:rPr>
        <w:t>，对自己的评审意见依法承担相应责任</w:t>
      </w:r>
      <w:r>
        <w:rPr>
          <w:rFonts w:hint="eastAsia" w:ascii="宋体" w:hAnsi="宋体" w:eastAsia="宋体" w:cs="宋体"/>
          <w:color w:val="auto"/>
          <w:sz w:val="24"/>
          <w:szCs w:val="24"/>
          <w:highlight w:val="none"/>
          <w:lang w:val="zh-CN" w:eastAsia="zh-CN"/>
        </w:rPr>
        <w:t>。</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小组按照少数服从多数的原则推荐成交候选供应商，采购程序继续进行。对评审报告有异议的</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小组成员，应当在报告上签署不同意见并说明理由，由</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小组书面记录相关情况。</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eastAsia="zh-CN"/>
        </w:rPr>
        <w:t>小组成员拒绝在报告上签字又不书面说明其不同意见和理由的，视为同意评审报告。</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485" w:name="_Toc102056218"/>
      <w:bookmarkStart w:id="486" w:name="_Toc102119853"/>
      <w:bookmarkStart w:id="487" w:name="_Toc102057718"/>
      <w:bookmarkStart w:id="488" w:name="_Toc102116022"/>
      <w:bookmarkStart w:id="489" w:name="_Toc102116152"/>
      <w:bookmarkStart w:id="490" w:name="_Toc102114920"/>
      <w:r>
        <w:rPr>
          <w:rFonts w:hint="eastAsia" w:ascii="宋体" w:hAnsi="宋体" w:eastAsia="宋体" w:cs="宋体"/>
          <w:b/>
          <w:bCs/>
          <w:color w:val="auto"/>
          <w:kern w:val="2"/>
          <w:sz w:val="24"/>
          <w:szCs w:val="24"/>
          <w:highlight w:val="none"/>
          <w:lang w:val="en-US" w:eastAsia="zh-CN" w:bidi="ar-SA"/>
        </w:rPr>
        <w:t>9.响应无效的情形</w:t>
      </w:r>
    </w:p>
    <w:p w14:paraId="21B88F58">
      <w:pPr>
        <w:keepNext w:val="0"/>
        <w:keepLines w:val="0"/>
        <w:pageBreakBefore w:val="0"/>
        <w:widowControl/>
        <w:suppressLineNumbers w:val="0"/>
        <w:kinsoku/>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9.1</w:t>
      </w:r>
      <w:r>
        <w:rPr>
          <w:rFonts w:hint="eastAsia" w:ascii="宋体" w:hAnsi="宋体" w:eastAsia="宋体" w:cs="宋体"/>
          <w:b w:val="0"/>
          <w:bCs w:val="0"/>
          <w:color w:val="auto"/>
          <w:sz w:val="24"/>
          <w:szCs w:val="24"/>
          <w:highlight w:val="none"/>
        </w:rPr>
        <w:t>供应商存在下列情况之一的，</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无效</w:t>
      </w:r>
      <w:r>
        <w:rPr>
          <w:rFonts w:hint="eastAsia" w:ascii="宋体" w:hAnsi="宋体" w:eastAsia="宋体" w:cs="宋体"/>
          <w:b w:val="0"/>
          <w:bCs w:val="0"/>
          <w:color w:val="auto"/>
          <w:sz w:val="24"/>
          <w:szCs w:val="24"/>
          <w:highlight w:val="none"/>
        </w:rPr>
        <w:t>：</w:t>
      </w:r>
    </w:p>
    <w:p w14:paraId="702D1A6A">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不同供应商的响应文件由同一单位或者个人编制；</w:t>
      </w:r>
    </w:p>
    <w:p w14:paraId="2B2A7ABE">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不同供应商委托同一单位或者个人办理</w:t>
      </w:r>
      <w:r>
        <w:rPr>
          <w:rFonts w:hint="eastAsia" w:ascii="宋体" w:hAnsi="宋体" w:eastAsia="宋体" w:cs="宋体"/>
          <w:b w:val="0"/>
          <w:bCs w:val="0"/>
          <w:color w:val="auto"/>
          <w:sz w:val="24"/>
          <w:szCs w:val="24"/>
          <w:highlight w:val="none"/>
          <w:lang w:val="en-US" w:eastAsia="zh-CN"/>
        </w:rPr>
        <w:t>谈判响应</w:t>
      </w:r>
      <w:r>
        <w:rPr>
          <w:rFonts w:hint="eastAsia" w:ascii="宋体" w:hAnsi="宋体" w:eastAsia="宋体" w:cs="宋体"/>
          <w:b w:val="0"/>
          <w:bCs w:val="0"/>
          <w:color w:val="auto"/>
          <w:sz w:val="24"/>
          <w:szCs w:val="24"/>
          <w:highlight w:val="none"/>
        </w:rPr>
        <w:t>事宜；</w:t>
      </w:r>
    </w:p>
    <w:p w14:paraId="4EE2FB0A">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不同供应商的响应文件载明的项目管理成员或者联系人员为同一人；</w:t>
      </w:r>
    </w:p>
    <w:p w14:paraId="53A78381">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不同供应商的响应文件异常一致或者</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报价呈规律性差异；</w:t>
      </w:r>
    </w:p>
    <w:p w14:paraId="60D5A539">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不同供应商的响应文件相互混装；</w:t>
      </w:r>
    </w:p>
    <w:p w14:paraId="2FF50D83">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不同供应商的</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保证金从同一单位或者个人的账户转出</w:t>
      </w:r>
      <w:r>
        <w:rPr>
          <w:rFonts w:hint="eastAsia" w:ascii="宋体" w:hAnsi="宋体" w:eastAsia="宋体" w:cs="宋体"/>
          <w:b w:val="0"/>
          <w:bCs w:val="0"/>
          <w:color w:val="auto"/>
          <w:sz w:val="24"/>
          <w:szCs w:val="24"/>
          <w:highlight w:val="none"/>
          <w:lang w:val="en-US" w:eastAsia="zh-CN"/>
        </w:rPr>
        <w:t>；</w:t>
      </w:r>
    </w:p>
    <w:p w14:paraId="29DA958A">
      <w:pPr>
        <w:pStyle w:val="33"/>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（7）法律、法规、规章和竞争性</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文件规定的其他响应无效的情形。</w:t>
      </w:r>
    </w:p>
    <w:p w14:paraId="51CFEB2F">
      <w:pPr>
        <w:pStyle w:val="55"/>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小组应当审查</w:t>
      </w:r>
      <w:r>
        <w:rPr>
          <w:rFonts w:hint="eastAsia" w:ascii="宋体" w:hAnsi="宋体" w:eastAsia="宋体" w:cs="宋体"/>
          <w:b w:val="0"/>
          <w:bCs w:val="0"/>
          <w:color w:val="auto"/>
          <w:sz w:val="24"/>
          <w:szCs w:val="24"/>
          <w:highlight w:val="none"/>
          <w:lang w:val="en-US" w:eastAsia="zh-CN"/>
        </w:rPr>
        <w:t>所有供应商的</w:t>
      </w:r>
      <w:r>
        <w:rPr>
          <w:rFonts w:hint="eastAsia" w:ascii="宋体" w:hAnsi="宋体" w:eastAsia="宋体" w:cs="宋体"/>
          <w:b w:val="0"/>
          <w:bCs w:val="0"/>
          <w:color w:val="auto"/>
          <w:sz w:val="24"/>
          <w:szCs w:val="24"/>
          <w:highlight w:val="none"/>
        </w:rPr>
        <w:t>响应文件是否对竞争性</w:t>
      </w:r>
      <w:r>
        <w:rPr>
          <w:rFonts w:hint="eastAsia" w:ascii="宋体" w:hAnsi="宋体" w:eastAsia="宋体"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rPr>
        <w:t>文件提出的所有实质性要求和条件做出响应。未能实质</w:t>
      </w:r>
      <w:r>
        <w:rPr>
          <w:rFonts w:hint="eastAsia" w:ascii="宋体" w:hAnsi="宋体" w:eastAsia="宋体" w:cs="宋体"/>
          <w:b w:val="0"/>
          <w:bCs w:val="0"/>
          <w:color w:val="auto"/>
          <w:sz w:val="24"/>
          <w:szCs w:val="24"/>
          <w:highlight w:val="none"/>
          <w:lang w:val="en-US" w:eastAsia="zh-CN"/>
        </w:rPr>
        <w:t>性</w:t>
      </w:r>
      <w:r>
        <w:rPr>
          <w:rFonts w:hint="eastAsia" w:ascii="宋体" w:hAnsi="宋体" w:eastAsia="宋体" w:cs="宋体"/>
          <w:b w:val="0"/>
          <w:bCs w:val="0"/>
          <w:color w:val="auto"/>
          <w:sz w:val="24"/>
          <w:szCs w:val="24"/>
          <w:highlight w:val="none"/>
        </w:rPr>
        <w:t>响应的</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076ED559">
      <w:pPr>
        <w:keepNext w:val="0"/>
        <w:keepLines w:val="0"/>
        <w:pageBreakBefore w:val="0"/>
        <w:widowControl/>
        <w:suppressLineNumbers w:val="0"/>
        <w:kinsoku/>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9</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 xml:space="preserve"> 供应商不得误导、干扰</w:t>
      </w:r>
      <w:r>
        <w:rPr>
          <w:rFonts w:hint="eastAsia" w:cs="宋体"/>
          <w:b w:val="0"/>
          <w:bCs w:val="0"/>
          <w:color w:val="auto"/>
          <w:sz w:val="24"/>
          <w:szCs w:val="24"/>
          <w:highlight w:val="none"/>
          <w:lang w:val="en-US" w:eastAsia="zh-CN"/>
        </w:rPr>
        <w:t>谈判</w:t>
      </w:r>
      <w:r>
        <w:rPr>
          <w:rFonts w:hint="eastAsia" w:ascii="宋体" w:hAnsi="宋体" w:eastAsia="宋体" w:cs="宋体"/>
          <w:b w:val="0"/>
          <w:bCs w:val="0"/>
          <w:color w:val="auto"/>
          <w:sz w:val="24"/>
          <w:szCs w:val="24"/>
          <w:highlight w:val="none"/>
          <w:lang w:val="en-US" w:eastAsia="zh-CN"/>
        </w:rPr>
        <w:t>小组</w:t>
      </w:r>
      <w:r>
        <w:rPr>
          <w:rFonts w:hint="eastAsia" w:ascii="宋体" w:hAnsi="宋体" w:eastAsia="宋体" w:cs="宋体"/>
          <w:b w:val="0"/>
          <w:bCs w:val="0"/>
          <w:color w:val="auto"/>
          <w:sz w:val="24"/>
          <w:szCs w:val="24"/>
          <w:highlight w:val="none"/>
        </w:rPr>
        <w:t>的评审活动，否则其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054A61A3">
      <w:pPr>
        <w:pStyle w:val="5"/>
        <w:keepNext w:val="0"/>
        <w:keepLines w:val="0"/>
        <w:pageBreakBefore w:val="0"/>
        <w:widowControl w:val="0"/>
        <w:numPr>
          <w:ilvl w:val="0"/>
          <w:numId w:val="0"/>
        </w:numPr>
        <w:kinsoku/>
        <w:wordWrap/>
        <w:overflowPunct/>
        <w:topLinePunct w:val="0"/>
        <w:autoSpaceDE/>
        <w:autoSpaceDN/>
        <w:bidi w:val="0"/>
        <w:adjustRightInd/>
        <w:snapToGrid/>
        <w:spacing w:before="6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10.停止评审的情形</w:t>
      </w:r>
      <w:bookmarkEnd w:id="485"/>
      <w:bookmarkEnd w:id="486"/>
      <w:bookmarkEnd w:id="487"/>
      <w:bookmarkEnd w:id="488"/>
      <w:bookmarkEnd w:id="489"/>
      <w:bookmarkEnd w:id="490"/>
    </w:p>
    <w:p w14:paraId="58A3D9D5">
      <w:pPr>
        <w:keepNext w:val="0"/>
        <w:keepLines w:val="0"/>
        <w:pageBreakBefore w:val="0"/>
        <w:widowControl w:val="0"/>
        <w:suppressLineNumbers w:val="0"/>
        <w:kinsoku/>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en-US" w:eastAsia="zh-CN" w:bidi="ar-SA"/>
        </w:rPr>
        <w:t>10</w:t>
      </w:r>
      <w:r>
        <w:rPr>
          <w:rFonts w:hint="eastAsia" w:ascii="宋体" w:hAnsi="宋体" w:eastAsia="宋体" w:cs="宋体"/>
          <w:color w:val="auto"/>
          <w:kern w:val="2"/>
          <w:sz w:val="24"/>
          <w:szCs w:val="24"/>
          <w:highlight w:val="none"/>
          <w:lang w:val="zh-CN" w:eastAsia="zh-CN" w:bidi="ar-SA"/>
        </w:rPr>
        <w:t>.1</w:t>
      </w:r>
      <w:r>
        <w:rPr>
          <w:rFonts w:hint="eastAsia" w:cs="宋体"/>
          <w:color w:val="auto"/>
          <w:kern w:val="2"/>
          <w:sz w:val="24"/>
          <w:szCs w:val="24"/>
          <w:highlight w:val="none"/>
          <w:lang w:val="en-US" w:eastAsia="zh-CN" w:bidi="ar-SA"/>
        </w:rPr>
        <w:t>谈判</w:t>
      </w:r>
      <w:r>
        <w:rPr>
          <w:rFonts w:hint="eastAsia" w:ascii="宋体" w:hAnsi="宋体" w:eastAsia="宋体" w:cs="宋体"/>
          <w:color w:val="auto"/>
          <w:kern w:val="2"/>
          <w:sz w:val="24"/>
          <w:szCs w:val="24"/>
          <w:highlight w:val="none"/>
          <w:lang w:val="en-US" w:eastAsia="zh-CN" w:bidi="ar-SA"/>
        </w:rPr>
        <w:t>小组在评审过程中发现供应商有行贿、提供虚假材料或者串通等违法行为的，应当及时向财政部门报告。</w:t>
      </w:r>
    </w:p>
    <w:p w14:paraId="47788DEC">
      <w:pPr>
        <w:pStyle w:val="33"/>
        <w:keepNext w:val="0"/>
        <w:keepLines w:val="0"/>
        <w:pageBreakBefore w:val="0"/>
        <w:widowControl w:val="0"/>
        <w:kinsoku/>
        <w:overflowPunct/>
        <w:topLinePunct w:val="0"/>
        <w:autoSpaceDE/>
        <w:autoSpaceDN/>
        <w:bidi w:val="0"/>
        <w:adjustRightInd/>
        <w:snapToGrid/>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10.2</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小组发现</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文件存在歧义、重大缺陷导致评审工作无法进行，或者</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文件内容违反国家有关强制性规定的，应当停止评审工作，与采购人或者采购代理机构沟通并作书面记录。采购人或者采购代理机构确认后，应当修改</w:t>
      </w: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zh-CN"/>
        </w:rPr>
        <w:t>文件，重新组织采购活动。</w:t>
      </w:r>
    </w:p>
    <w:bookmarkEnd w:id="479"/>
    <w:bookmarkEnd w:id="480"/>
    <w:bookmarkEnd w:id="481"/>
    <w:bookmarkEnd w:id="482"/>
    <w:bookmarkEnd w:id="483"/>
    <w:bookmarkEnd w:id="484"/>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48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491" w:name="_Toc22597"/>
      <w:bookmarkStart w:id="492" w:name="_Toc15055"/>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491"/>
      <w:bookmarkEnd w:id="492"/>
    </w:p>
    <w:p w14:paraId="3B9B7B2C">
      <w:pPr>
        <w:pStyle w:val="33"/>
        <w:keepNext w:val="0"/>
        <w:keepLines w:val="0"/>
        <w:pageBreakBefore w:val="0"/>
        <w:widowControl w:val="0"/>
        <w:kinsoku/>
        <w:overflowPunct/>
        <w:topLinePunct w:val="0"/>
        <w:autoSpaceDE/>
        <w:autoSpaceDN/>
        <w:bidi w:val="0"/>
        <w:adjustRightInd/>
        <w:snapToGrid/>
        <w:spacing w:line="440" w:lineRule="exact"/>
        <w:ind w:firstLine="480" w:firstLineChars="0"/>
        <w:textAlignment w:val="auto"/>
        <w:rPr>
          <w:rFonts w:hint="eastAsia" w:ascii="宋体" w:hAnsi="宋体" w:eastAsia="宋体" w:cs="宋体"/>
          <w:iCs/>
          <w:color w:val="auto"/>
          <w:highlight w:val="none"/>
          <w:shd w:val="clear" w:color="auto" w:fill="FFFFFF" w:themeFill="background1"/>
          <w:lang w:val="en-US" w:eastAsia="zh-CN"/>
        </w:rPr>
      </w:pPr>
      <w:r>
        <w:rPr>
          <w:rFonts w:hint="eastAsia" w:ascii="宋体" w:hAnsi="宋体" w:eastAsia="宋体" w:cs="宋体"/>
          <w:iCs/>
          <w:color w:val="auto"/>
          <w:highlight w:val="none"/>
          <w:shd w:val="clear" w:color="auto" w:fill="FFFFFF" w:themeFill="background1"/>
          <w:lang w:val="zh-CN" w:eastAsia="zh-CN"/>
        </w:rPr>
        <w:t>【</w:t>
      </w:r>
      <w:r>
        <w:rPr>
          <w:rFonts w:hint="eastAsia" w:ascii="宋体" w:hAnsi="宋体" w:eastAsia="宋体" w:cs="宋体"/>
          <w:iCs/>
          <w:color w:val="auto"/>
          <w:highlight w:val="none"/>
          <w:shd w:val="clear" w:color="auto" w:fill="FFFFFF" w:themeFill="background1"/>
          <w:lang w:val="en-US" w:eastAsia="zh-CN"/>
        </w:rPr>
        <w:t>可根据项目的情况增加上述内容中未包含的要求</w:t>
      </w:r>
      <w:r>
        <w:rPr>
          <w:rFonts w:hint="eastAsia" w:ascii="宋体" w:hAnsi="宋体" w:eastAsia="宋体" w:cs="宋体"/>
          <w:iCs/>
          <w:color w:val="auto"/>
          <w:highlight w:val="none"/>
          <w:shd w:val="clear" w:color="auto" w:fill="FFFFFF" w:themeFill="background1"/>
          <w:lang w:val="zh-CN" w:eastAsia="zh-CN"/>
        </w:rPr>
        <w:t>】</w:t>
      </w:r>
    </w:p>
    <w:p w14:paraId="0FAE5B4D">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48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493" w:name="_Toc5881"/>
      <w:bookmarkStart w:id="494" w:name="_Toc28211"/>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493"/>
      <w:bookmarkEnd w:id="494"/>
    </w:p>
    <w:p w14:paraId="79FEBCC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6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95" w:name="_Toc163493638"/>
      <w:bookmarkStart w:id="496" w:name="_Toc9052"/>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495"/>
      <w:bookmarkEnd w:id="496"/>
    </w:p>
    <w:p w14:paraId="50D957CF">
      <w:pPr>
        <w:rPr>
          <w:rFonts w:hint="eastAsia" w:ascii="宋体" w:hAnsi="宋体" w:eastAsia="宋体" w:cs="宋体"/>
          <w:b/>
          <w:bCs/>
          <w:color w:val="auto"/>
          <w:kern w:val="2"/>
          <w:sz w:val="24"/>
          <w:szCs w:val="24"/>
          <w:highlight w:val="none"/>
          <w:lang w:val="zh-CN" w:eastAsia="zh-CN" w:bidi="ar-SA"/>
        </w:rPr>
      </w:pPr>
    </w:p>
    <w:p w14:paraId="468FCB62">
      <w:pPr>
        <w:rPr>
          <w:rFonts w:hint="eastAsia" w:ascii="宋体" w:hAnsi="宋体" w:eastAsia="宋体" w:cs="宋体"/>
          <w:b/>
          <w:bCs/>
          <w:color w:val="auto"/>
          <w:kern w:val="2"/>
          <w:sz w:val="24"/>
          <w:szCs w:val="24"/>
          <w:highlight w:val="none"/>
          <w:lang w:val="zh-CN" w:eastAsia="zh-CN" w:bidi="ar-SA"/>
        </w:rPr>
      </w:pPr>
    </w:p>
    <w:tbl>
      <w:tblPr>
        <w:tblStyle w:val="27"/>
        <w:tblW w:w="5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86"/>
        <w:gridCol w:w="1764"/>
        <w:gridCol w:w="5861"/>
        <w:gridCol w:w="1386"/>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06" w:hRule="atLeast"/>
          <w:jc w:val="center"/>
        </w:trPr>
        <w:tc>
          <w:tcPr>
            <w:tcW w:w="401" w:type="pct"/>
            <w:shd w:val="clear" w:color="auto" w:fill="D8D8D8" w:themeFill="background1" w:themeFillShade="D9"/>
            <w:vAlign w:val="center"/>
          </w:tcPr>
          <w:p w14:paraId="01EAF759">
            <w:pPr>
              <w:pStyle w:val="44"/>
              <w:spacing w:line="240" w:lineRule="auto"/>
              <w:jc w:val="center"/>
              <w:rPr>
                <w:rFonts w:hint="eastAsia" w:ascii="宋体" w:hAnsi="宋体" w:eastAsia="宋体" w:cs="宋体"/>
                <w:b/>
                <w:bCs/>
                <w:color w:val="auto"/>
                <w:sz w:val="21"/>
                <w:szCs w:val="21"/>
                <w:highlight w:val="none"/>
              </w:rPr>
            </w:pPr>
            <w:bookmarkStart w:id="497" w:name="_Toc156490348"/>
            <w:r>
              <w:rPr>
                <w:rFonts w:hint="eastAsia" w:ascii="宋体" w:hAnsi="宋体" w:eastAsia="宋体" w:cs="宋体"/>
                <w:b/>
                <w:bCs/>
                <w:color w:val="auto"/>
                <w:sz w:val="21"/>
                <w:szCs w:val="21"/>
                <w:highlight w:val="none"/>
              </w:rPr>
              <w:t>序号</w:t>
            </w:r>
          </w:p>
        </w:tc>
        <w:tc>
          <w:tcPr>
            <w:tcW w:w="900" w:type="pct"/>
            <w:shd w:val="clear" w:color="auto" w:fill="D8D8D8" w:themeFill="background1" w:themeFillShade="D9"/>
            <w:vAlign w:val="center"/>
          </w:tcPr>
          <w:p w14:paraId="3D378484">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审查因素</w:t>
            </w:r>
          </w:p>
        </w:tc>
        <w:tc>
          <w:tcPr>
            <w:tcW w:w="2990" w:type="pct"/>
            <w:shd w:val="clear" w:color="auto" w:fill="D8D8D8" w:themeFill="background1" w:themeFillShade="D9"/>
            <w:vAlign w:val="center"/>
          </w:tcPr>
          <w:p w14:paraId="371C8F58">
            <w:pPr>
              <w:pStyle w:val="44"/>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审查内容</w:t>
            </w:r>
          </w:p>
        </w:tc>
        <w:tc>
          <w:tcPr>
            <w:tcW w:w="707" w:type="pct"/>
            <w:shd w:val="clear" w:color="auto" w:fill="D8D8D8" w:themeFill="background1" w:themeFillShade="D9"/>
            <w:vAlign w:val="center"/>
          </w:tcPr>
          <w:p w14:paraId="7919DF36">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8" w:hRule="atLeast"/>
          <w:jc w:val="center"/>
        </w:trPr>
        <w:tc>
          <w:tcPr>
            <w:tcW w:w="401" w:type="pct"/>
            <w:shd w:val="clear" w:color="auto" w:fill="FFFFFF" w:themeFill="background1"/>
            <w:vAlign w:val="center"/>
          </w:tcPr>
          <w:p w14:paraId="67660E99">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900" w:type="pct"/>
            <w:shd w:val="clear" w:color="auto" w:fill="FFFFFF" w:themeFill="background1"/>
            <w:vAlign w:val="center"/>
          </w:tcPr>
          <w:p w14:paraId="3AA250A6">
            <w:pPr>
              <w:pStyle w:val="44"/>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满足《政府采购法》第二十二条规定</w:t>
            </w:r>
          </w:p>
        </w:tc>
        <w:tc>
          <w:tcPr>
            <w:tcW w:w="2990" w:type="pct"/>
            <w:shd w:val="clear" w:color="auto" w:fill="FFFFFF" w:themeFill="background1"/>
            <w:vAlign w:val="center"/>
          </w:tcPr>
          <w:p w14:paraId="502E0E33">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竞争性谈判公告”</w:t>
            </w:r>
          </w:p>
        </w:tc>
        <w:tc>
          <w:tcPr>
            <w:tcW w:w="707" w:type="pct"/>
            <w:shd w:val="clear" w:color="auto" w:fill="FFFFFF" w:themeFill="background1"/>
            <w:vAlign w:val="center"/>
          </w:tcPr>
          <w:p w14:paraId="4AD69B19">
            <w:pPr>
              <w:pStyle w:val="44"/>
              <w:spacing w:line="240" w:lineRule="auto"/>
              <w:jc w:val="center"/>
              <w:rPr>
                <w:rFonts w:hint="eastAsia" w:ascii="宋体" w:hAnsi="宋体" w:eastAsia="宋体" w:cs="宋体"/>
                <w:b/>
                <w:bCs/>
                <w:color w:val="auto"/>
                <w:sz w:val="21"/>
                <w:szCs w:val="21"/>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796" w:hRule="atLeast"/>
          <w:jc w:val="center"/>
        </w:trPr>
        <w:tc>
          <w:tcPr>
            <w:tcW w:w="401" w:type="pct"/>
            <w:shd w:val="clear" w:color="auto" w:fill="FFFFFF" w:themeFill="background1"/>
            <w:vAlign w:val="center"/>
          </w:tcPr>
          <w:p w14:paraId="2FC50E41">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p>
        </w:tc>
        <w:tc>
          <w:tcPr>
            <w:tcW w:w="900" w:type="pct"/>
            <w:shd w:val="clear" w:color="auto" w:fill="FFFFFF" w:themeFill="background1"/>
            <w:vAlign w:val="center"/>
          </w:tcPr>
          <w:p w14:paraId="37D7A6E3">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营业执照等证明文件</w:t>
            </w:r>
          </w:p>
        </w:tc>
        <w:tc>
          <w:tcPr>
            <w:tcW w:w="2990" w:type="pct"/>
            <w:shd w:val="clear" w:color="auto" w:fill="FFFFFF" w:themeFill="background1"/>
            <w:vAlign w:val="center"/>
          </w:tcPr>
          <w:p w14:paraId="417B7527">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供应商为企业（包括合伙企业）的，应提供有效的“营业执照”； </w:t>
            </w:r>
          </w:p>
          <w:p w14:paraId="55CBD279">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供应商为事业单位的，应提供有效的“事业单位法人证书” ； </w:t>
            </w:r>
          </w:p>
          <w:p w14:paraId="633CFB81">
            <w:pPr>
              <w:keepNext w:val="0"/>
              <w:keepLines w:val="0"/>
              <w:pageBreakBefore w:val="0"/>
              <w:widowControl/>
              <w:suppressLineNumbers w:val="0"/>
              <w:tabs>
                <w:tab w:val="left" w:pos="5280"/>
              </w:tabs>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供应商是非企业机构的，应提供有效的“执业许可证”、“登记证书”等证明文件； </w:t>
            </w:r>
          </w:p>
          <w:p w14:paraId="41E5D4AB">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供应商是个体工商户的，应提供有效的“个体工商户营业执照”； </w:t>
            </w:r>
          </w:p>
          <w:p w14:paraId="4600EC40">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11"/>
                <w:kern w:val="0"/>
                <w:sz w:val="21"/>
                <w:szCs w:val="21"/>
                <w:highlight w:val="none"/>
                <w:lang w:val="en-US" w:eastAsia="zh-CN" w:bidi="ar"/>
              </w:rPr>
              <w:t>是自然人的，应提供有效的自然人身份证明。</w:t>
            </w:r>
          </w:p>
        </w:tc>
        <w:tc>
          <w:tcPr>
            <w:tcW w:w="707"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5756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88" w:hRule="atLeast"/>
          <w:jc w:val="center"/>
        </w:trPr>
        <w:tc>
          <w:tcPr>
            <w:tcW w:w="401" w:type="pct"/>
            <w:shd w:val="clear" w:color="auto" w:fill="FFFFFF" w:themeFill="background1"/>
            <w:vAlign w:val="center"/>
          </w:tcPr>
          <w:p w14:paraId="4176278F">
            <w:pPr>
              <w:pStyle w:val="44"/>
              <w:spacing w:line="24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p>
        </w:tc>
        <w:tc>
          <w:tcPr>
            <w:tcW w:w="900" w:type="pct"/>
            <w:shd w:val="clear" w:color="auto" w:fill="FFFFFF" w:themeFill="background1"/>
            <w:vAlign w:val="center"/>
          </w:tcPr>
          <w:p w14:paraId="0FA26F93">
            <w:pPr>
              <w:pStyle w:val="44"/>
              <w:spacing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90" w:type="pct"/>
            <w:shd w:val="clear" w:color="auto" w:fill="FFFFFF" w:themeFill="background1"/>
            <w:vAlign w:val="center"/>
          </w:tcPr>
          <w:p w14:paraId="254F2F40">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color w:val="auto"/>
                <w:sz w:val="21"/>
                <w:szCs w:val="21"/>
                <w:highlight w:val="none"/>
                <w:lang w:val="en-US" w:eastAsia="zh-CN"/>
              </w:rPr>
              <w:t>具体规定见“第一章 竞争性谈判公告”</w:t>
            </w:r>
          </w:p>
        </w:tc>
        <w:tc>
          <w:tcPr>
            <w:tcW w:w="707" w:type="pct"/>
            <w:shd w:val="clear" w:color="auto" w:fill="FFFFFF" w:themeFill="background1"/>
            <w:vAlign w:val="center"/>
          </w:tcPr>
          <w:p w14:paraId="7EECE0D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00" w:hRule="atLeast"/>
          <w:jc w:val="center"/>
        </w:trPr>
        <w:tc>
          <w:tcPr>
            <w:tcW w:w="401" w:type="pct"/>
            <w:shd w:val="clear" w:color="auto" w:fill="FFFFFF" w:themeFill="background1"/>
            <w:vAlign w:val="center"/>
          </w:tcPr>
          <w:p w14:paraId="65F7D7D4">
            <w:pPr>
              <w:pStyle w:val="44"/>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r>
              <w:rPr>
                <w:rFonts w:hint="eastAsia" w:cs="宋体"/>
                <w:b/>
                <w:bCs/>
                <w:color w:val="auto"/>
                <w:sz w:val="21"/>
                <w:szCs w:val="21"/>
                <w:highlight w:val="none"/>
                <w:lang w:val="en-US" w:eastAsia="zh-CN"/>
              </w:rPr>
              <w:t>-1</w:t>
            </w:r>
          </w:p>
        </w:tc>
        <w:tc>
          <w:tcPr>
            <w:tcW w:w="900" w:type="pct"/>
            <w:shd w:val="clear" w:color="auto" w:fill="FFFFFF" w:themeFill="background1"/>
            <w:vAlign w:val="center"/>
          </w:tcPr>
          <w:p w14:paraId="3F369769">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90" w:type="pct"/>
            <w:shd w:val="clear" w:color="auto" w:fill="FFFFFF" w:themeFill="background1"/>
            <w:vAlign w:val="center"/>
          </w:tcPr>
          <w:p w14:paraId="0A495102">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提供了符合竞争性谈判文件要求的《兵团政府采购供应商信用承诺函》。</w:t>
            </w:r>
          </w:p>
        </w:tc>
        <w:tc>
          <w:tcPr>
            <w:tcW w:w="707" w:type="pct"/>
            <w:shd w:val="clear" w:color="auto" w:fill="FFFFFF" w:themeFill="background1"/>
            <w:vAlign w:val="center"/>
          </w:tcPr>
          <w:p w14:paraId="6C3E21E7">
            <w:pPr>
              <w:pStyle w:val="44"/>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704" w:hRule="atLeast"/>
          <w:jc w:val="center"/>
        </w:trPr>
        <w:tc>
          <w:tcPr>
            <w:tcW w:w="401" w:type="pct"/>
            <w:shd w:val="clear" w:color="auto" w:fill="FFFFFF" w:themeFill="background1"/>
            <w:vAlign w:val="center"/>
          </w:tcPr>
          <w:p w14:paraId="6020E885">
            <w:pPr>
              <w:pStyle w:val="44"/>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2-2</w:t>
            </w:r>
          </w:p>
        </w:tc>
        <w:tc>
          <w:tcPr>
            <w:tcW w:w="900" w:type="pct"/>
            <w:shd w:val="clear" w:color="auto" w:fill="FFFFFF" w:themeFill="background1"/>
            <w:vAlign w:val="center"/>
          </w:tcPr>
          <w:p w14:paraId="69681D10">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信用记录查询</w:t>
            </w:r>
          </w:p>
        </w:tc>
        <w:tc>
          <w:tcPr>
            <w:tcW w:w="2990" w:type="pct"/>
            <w:shd w:val="clear" w:color="auto" w:fill="FFFFFF" w:themeFill="background1"/>
            <w:vAlign w:val="center"/>
          </w:tcPr>
          <w:p w14:paraId="3640903D">
            <w:pPr>
              <w:pStyle w:val="44"/>
              <w:keepNext w:val="0"/>
              <w:keepLines w:val="0"/>
              <w:pageBreakBefore w:val="0"/>
              <w:widowControl w:val="0"/>
              <w:kinsoku/>
              <w:wordWrap w:val="0"/>
              <w:overflowPunct/>
              <w:topLinePunct w:val="0"/>
              <w:autoSpaceDE/>
              <w:autoSpaceDN/>
              <w:bidi w:val="0"/>
              <w:adjustRightInd/>
              <w:snapToGrid/>
              <w:spacing w:line="3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查询渠道：信用中国网站和中国政府采购网（ www.creditchina.gov.cn 、www.ccgp.gov.cn）；</w:t>
            </w:r>
            <w:r>
              <w:rPr>
                <w:rFonts w:hint="eastAsia" w:ascii="宋体" w:hAnsi="宋体" w:eastAsia="宋体" w:cs="宋体"/>
                <w:color w:val="auto"/>
                <w:sz w:val="21"/>
                <w:szCs w:val="21"/>
                <w:highlight w:val="none"/>
                <w:lang w:val="en-US" w:eastAsia="zh-CN"/>
              </w:rPr>
              <w:t xml:space="preserve"> </w:t>
            </w:r>
          </w:p>
          <w:p w14:paraId="270FA147">
            <w:pPr>
              <w:pStyle w:val="44"/>
              <w:keepNext w:val="0"/>
              <w:keepLines w:val="0"/>
              <w:pageBreakBefore w:val="0"/>
              <w:widowControl w:val="0"/>
              <w:kinsoku/>
              <w:overflowPunct/>
              <w:topLinePunct w:val="0"/>
              <w:autoSpaceDE/>
              <w:autoSpaceDN/>
              <w:bidi w:val="0"/>
              <w:adjustRightInd/>
              <w:snapToGrid/>
              <w:spacing w:line="3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截止时间：递交响应文件截止时间以后、资格审查阶段对供应商信用记录的实际查询时间； </w:t>
            </w:r>
          </w:p>
          <w:p w14:paraId="3CC5E33C">
            <w:pPr>
              <w:pStyle w:val="44"/>
              <w:keepNext w:val="0"/>
              <w:keepLines w:val="0"/>
              <w:pageBreakBefore w:val="0"/>
              <w:widowControl w:val="0"/>
              <w:kinsoku/>
              <w:overflowPunct/>
              <w:topLinePunct w:val="0"/>
              <w:autoSpaceDE/>
              <w:autoSpaceDN/>
              <w:bidi w:val="0"/>
              <w:adjustRightInd/>
              <w:snapToGrid/>
              <w:spacing w:line="3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信用信息查询记录和证据留存具体方式：查询结果网页打印页作为查询记录和证据，与其他采购文件一并保存； </w:t>
            </w:r>
          </w:p>
          <w:p w14:paraId="23E5D1AC">
            <w:pPr>
              <w:pStyle w:val="44"/>
              <w:keepNext w:val="0"/>
              <w:keepLines w:val="0"/>
              <w:pageBreakBefore w:val="0"/>
              <w:widowControl w:val="0"/>
              <w:kinsoku/>
              <w:overflowPunct/>
              <w:topLinePunct w:val="0"/>
              <w:autoSpaceDE/>
              <w:autoSpaceDN/>
              <w:bidi w:val="0"/>
              <w:adjustRightInd/>
              <w:snapToGrid/>
              <w:spacing w:line="30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信用记录的使用原</w:t>
            </w:r>
            <w:r>
              <w:rPr>
                <w:rFonts w:hint="eastAsia" w:ascii="宋体" w:hAnsi="宋体" w:eastAsia="宋体" w:cs="宋体"/>
                <w:color w:val="auto"/>
                <w:spacing w:val="-6"/>
                <w:sz w:val="21"/>
                <w:szCs w:val="21"/>
                <w:highlight w:val="none"/>
                <w:shd w:val="clear"/>
                <w:lang w:val="en-US" w:eastAsia="zh-CN"/>
              </w:rPr>
              <w:t>则：经认定被列入失信被执行人、重大税收违法失信主体、政府采购严重违法失信行为记录名单的</w:t>
            </w:r>
            <w:r>
              <w:rPr>
                <w:rFonts w:hint="eastAsia" w:ascii="宋体" w:hAnsi="宋体" w:eastAsia="宋体" w:cs="宋体"/>
                <w:color w:val="auto"/>
                <w:spacing w:val="-6"/>
                <w:kern w:val="0"/>
                <w:sz w:val="21"/>
                <w:szCs w:val="21"/>
                <w:highlight w:val="none"/>
                <w:shd w:val="clear"/>
                <w:lang w:val="en-US" w:eastAsia="zh-CN" w:bidi="ar"/>
              </w:rPr>
              <w:t>供应商</w:t>
            </w:r>
            <w:r>
              <w:rPr>
                <w:rFonts w:hint="eastAsia" w:ascii="宋体" w:hAnsi="宋体" w:eastAsia="宋体" w:cs="宋体"/>
                <w:color w:val="auto"/>
                <w:spacing w:val="-6"/>
                <w:sz w:val="21"/>
                <w:szCs w:val="21"/>
                <w:highlight w:val="none"/>
                <w:shd w:val="clear"/>
                <w:lang w:val="en-US" w:eastAsia="zh-CN"/>
              </w:rPr>
              <w:t>，</w:t>
            </w:r>
            <w:r>
              <w:rPr>
                <w:rFonts w:hint="eastAsia" w:ascii="宋体" w:hAnsi="宋体" w:eastAsia="宋体" w:cs="宋体"/>
                <w:b/>
                <w:bCs/>
                <w:color w:val="auto"/>
                <w:spacing w:val="-6"/>
                <w:sz w:val="21"/>
                <w:szCs w:val="21"/>
                <w:highlight w:val="none"/>
                <w:shd w:val="clear"/>
                <w:lang w:val="en-US" w:eastAsia="zh-CN"/>
              </w:rPr>
              <w:t>其谈判响应无效</w:t>
            </w:r>
            <w:r>
              <w:rPr>
                <w:rFonts w:hint="eastAsia" w:ascii="宋体" w:hAnsi="宋体" w:eastAsia="宋体" w:cs="宋体"/>
                <w:color w:val="auto"/>
                <w:spacing w:val="-6"/>
                <w:sz w:val="21"/>
                <w:szCs w:val="21"/>
                <w:highlight w:val="none"/>
                <w:shd w:val="clear"/>
                <w:lang w:val="en-US" w:eastAsia="zh-CN"/>
              </w:rPr>
              <w:t>。联合体形式响应的，联合体成员存在不良信用记录，视同联合体存</w:t>
            </w:r>
            <w:r>
              <w:rPr>
                <w:rFonts w:hint="eastAsia" w:ascii="宋体" w:hAnsi="宋体" w:eastAsia="宋体" w:cs="宋体"/>
                <w:color w:val="auto"/>
                <w:spacing w:val="-6"/>
                <w:sz w:val="21"/>
                <w:szCs w:val="21"/>
                <w:highlight w:val="none"/>
                <w:lang w:val="en-US" w:eastAsia="zh-CN"/>
              </w:rPr>
              <w:t>在不良信用记录。</w:t>
            </w:r>
          </w:p>
        </w:tc>
        <w:tc>
          <w:tcPr>
            <w:tcW w:w="707"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无须</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440" w:hRule="atLeast"/>
          <w:jc w:val="center"/>
        </w:trPr>
        <w:tc>
          <w:tcPr>
            <w:tcW w:w="401" w:type="pct"/>
            <w:shd w:val="clear" w:color="auto" w:fill="FFFFFF" w:themeFill="background1"/>
            <w:vAlign w:val="center"/>
          </w:tcPr>
          <w:p w14:paraId="7290BB72">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3</w:t>
            </w:r>
          </w:p>
        </w:tc>
        <w:tc>
          <w:tcPr>
            <w:tcW w:w="900" w:type="pct"/>
            <w:shd w:val="clear" w:color="auto" w:fill="FFFFFF" w:themeFill="background1"/>
            <w:vAlign w:val="center"/>
          </w:tcPr>
          <w:p w14:paraId="0A3A5C74">
            <w:pPr>
              <w:pStyle w:val="44"/>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2990" w:type="pct"/>
            <w:shd w:val="clear" w:color="auto" w:fill="FFFFFF" w:themeFill="background1"/>
            <w:vAlign w:val="center"/>
          </w:tcPr>
          <w:p w14:paraId="6B5BBDA4">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707" w:type="pct"/>
            <w:shd w:val="clear" w:color="auto" w:fill="FFFFFF" w:themeFill="background1"/>
            <w:vAlign w:val="center"/>
          </w:tcPr>
          <w:p w14:paraId="5839134B">
            <w:pPr>
              <w:pStyle w:val="44"/>
              <w:spacing w:line="240" w:lineRule="auto"/>
              <w:jc w:val="center"/>
              <w:rPr>
                <w:rFonts w:hint="eastAsia" w:ascii="宋体" w:hAnsi="宋体" w:eastAsia="宋体" w:cs="宋体"/>
                <w:b/>
                <w:bCs/>
                <w:color w:val="auto"/>
                <w:sz w:val="21"/>
                <w:szCs w:val="21"/>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56" w:hRule="atLeast"/>
          <w:jc w:val="center"/>
        </w:trPr>
        <w:tc>
          <w:tcPr>
            <w:tcW w:w="401" w:type="pct"/>
            <w:shd w:val="clear" w:color="auto" w:fill="FFFFFF" w:themeFill="background1"/>
            <w:vAlign w:val="center"/>
          </w:tcPr>
          <w:p w14:paraId="6C255CE7">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900" w:type="pct"/>
            <w:shd w:val="clear" w:color="auto" w:fill="FFFFFF" w:themeFill="background1"/>
            <w:vAlign w:val="center"/>
          </w:tcPr>
          <w:p w14:paraId="07A47C7F">
            <w:pPr>
              <w:pStyle w:val="44"/>
              <w:keepNext w:val="0"/>
              <w:keepLines w:val="0"/>
              <w:pageBreakBefore w:val="0"/>
              <w:widowControl w:val="0"/>
              <w:kinsoku/>
              <w:wordWrap/>
              <w:overflowPunct/>
              <w:topLinePunct w:val="0"/>
              <w:autoSpaceDE/>
              <w:autoSpaceDN/>
              <w:bidi w:val="0"/>
              <w:adjustRightInd/>
              <w:snapToGrid/>
              <w:spacing w:line="2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落实政府采购政策需满足的资格要求</w:t>
            </w:r>
          </w:p>
        </w:tc>
        <w:tc>
          <w:tcPr>
            <w:tcW w:w="2990" w:type="pct"/>
            <w:shd w:val="clear" w:color="auto" w:fill="FFFFFF" w:themeFill="background1"/>
            <w:vAlign w:val="center"/>
          </w:tcPr>
          <w:p w14:paraId="7E0BC8AF">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具体要求见“第一章 竞争性谈判公告”</w:t>
            </w:r>
          </w:p>
        </w:tc>
        <w:tc>
          <w:tcPr>
            <w:tcW w:w="707" w:type="pct"/>
            <w:shd w:val="clear" w:color="auto" w:fill="FFFFFF" w:themeFill="background1"/>
            <w:vAlign w:val="center"/>
          </w:tcPr>
          <w:p w14:paraId="31A26727">
            <w:pPr>
              <w:pStyle w:val="44"/>
              <w:spacing w:line="240" w:lineRule="auto"/>
              <w:jc w:val="center"/>
              <w:rPr>
                <w:rFonts w:hint="eastAsia" w:ascii="宋体" w:hAnsi="宋体" w:eastAsia="宋体" w:cs="宋体"/>
                <w:b/>
                <w:bCs/>
                <w:color w:val="auto"/>
                <w:sz w:val="21"/>
                <w:szCs w:val="21"/>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6" w:hRule="atLeast"/>
          <w:jc w:val="center"/>
        </w:trPr>
        <w:tc>
          <w:tcPr>
            <w:tcW w:w="401" w:type="pct"/>
            <w:shd w:val="clear" w:color="auto" w:fill="FFFFFF" w:themeFill="background1"/>
            <w:vAlign w:val="center"/>
          </w:tcPr>
          <w:p w14:paraId="24FDDE2A">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w:t>
            </w:r>
          </w:p>
        </w:tc>
        <w:tc>
          <w:tcPr>
            <w:tcW w:w="900" w:type="pct"/>
            <w:shd w:val="clear" w:color="auto" w:fill="FFFFFF" w:themeFill="background1"/>
            <w:vAlign w:val="center"/>
          </w:tcPr>
          <w:p w14:paraId="4B5BE3E6">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中小企业政策</w:t>
            </w:r>
          </w:p>
        </w:tc>
        <w:tc>
          <w:tcPr>
            <w:tcW w:w="2990" w:type="pct"/>
            <w:shd w:val="clear" w:color="auto" w:fill="FFFFFF" w:themeFill="background1"/>
            <w:vAlign w:val="center"/>
          </w:tcPr>
          <w:p w14:paraId="5B522749">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具体要求见</w:t>
            </w:r>
            <w:r>
              <w:rPr>
                <w:rFonts w:hint="eastAsia" w:ascii="宋体" w:hAnsi="宋体" w:eastAsia="宋体" w:cs="宋体"/>
                <w:color w:val="auto"/>
                <w:sz w:val="21"/>
                <w:szCs w:val="21"/>
                <w:highlight w:val="none"/>
                <w:lang w:val="en-US" w:eastAsia="zh-CN"/>
              </w:rPr>
              <w:t>“第一章 竞争性谈判公告”</w:t>
            </w:r>
          </w:p>
        </w:tc>
        <w:tc>
          <w:tcPr>
            <w:tcW w:w="707" w:type="pct"/>
            <w:shd w:val="clear" w:color="auto" w:fill="FFFFFF" w:themeFill="background1"/>
            <w:vAlign w:val="center"/>
          </w:tcPr>
          <w:p w14:paraId="6CB2E2F5">
            <w:pPr>
              <w:pStyle w:val="44"/>
              <w:spacing w:line="240" w:lineRule="auto"/>
              <w:jc w:val="center"/>
              <w:rPr>
                <w:rFonts w:hint="eastAsia" w:ascii="宋体" w:hAnsi="宋体" w:eastAsia="宋体" w:cs="宋体"/>
                <w:b/>
                <w:bCs/>
                <w:color w:val="auto"/>
                <w:sz w:val="21"/>
                <w:szCs w:val="21"/>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76" w:hRule="atLeast"/>
          <w:jc w:val="center"/>
        </w:trPr>
        <w:tc>
          <w:tcPr>
            <w:tcW w:w="401" w:type="pct"/>
            <w:shd w:val="clear" w:color="auto" w:fill="FFFFFF" w:themeFill="background1"/>
            <w:vAlign w:val="center"/>
          </w:tcPr>
          <w:p w14:paraId="59D1182A">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2-1-1</w:t>
            </w:r>
          </w:p>
        </w:tc>
        <w:tc>
          <w:tcPr>
            <w:tcW w:w="900" w:type="pct"/>
            <w:shd w:val="clear" w:color="auto" w:fill="FFFFFF" w:themeFill="background1"/>
            <w:vAlign w:val="center"/>
          </w:tcPr>
          <w:p w14:paraId="627BF512">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中小企业证明文件</w:t>
            </w:r>
          </w:p>
        </w:tc>
        <w:tc>
          <w:tcPr>
            <w:tcW w:w="2990" w:type="pct"/>
            <w:shd w:val="clear" w:color="auto" w:fill="FFFFFF" w:themeFill="background1"/>
            <w:vAlign w:val="center"/>
          </w:tcPr>
          <w:p w14:paraId="1F7DCDF4">
            <w:pPr>
              <w:pStyle w:val="44"/>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i/>
                <w:iCs/>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【当本项目（包）涉及预留份额专门面向中小企业采购，此时建议在《资格证明文件》中提供】</w:t>
            </w:r>
          </w:p>
          <w:p w14:paraId="12EAD6DF">
            <w:pPr>
              <w:keepNext w:val="0"/>
              <w:keepLines w:val="0"/>
              <w:pageBreakBefore w:val="0"/>
              <w:widowControl/>
              <w:suppressLineNumbers w:val="0"/>
              <w:kinsoku/>
              <w:wordWrap/>
              <w:overflowPunct/>
              <w:topLinePunct w:val="0"/>
              <w:autoSpaceDE/>
              <w:autoSpaceDN/>
              <w:bidi w:val="0"/>
              <w:adjustRightInd/>
              <w:snapToGrid/>
              <w:spacing w:line="30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2881174">
            <w:pPr>
              <w:pStyle w:val="44"/>
              <w:keepNext w:val="0"/>
              <w:keepLines w:val="0"/>
              <w:pageBreakBefore w:val="0"/>
              <w:kinsoku/>
              <w:wordWrap/>
              <w:overflowPunct/>
              <w:topLinePunct w:val="0"/>
              <w:autoSpaceDE/>
              <w:autoSpaceDN/>
              <w:bidi w:val="0"/>
              <w:adjustRightInd/>
              <w:snapToGrid/>
              <w:spacing w:line="30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pacing w:val="-6"/>
                <w:kern w:val="0"/>
                <w:sz w:val="21"/>
                <w:szCs w:val="21"/>
                <w:highlight w:val="none"/>
                <w:lang w:val="en-US" w:eastAsia="zh-CN" w:bidi="ar"/>
              </w:rPr>
              <w:t>如</w:t>
            </w:r>
            <w:r>
              <w:rPr>
                <w:rFonts w:hint="eastAsia" w:ascii="宋体" w:hAnsi="宋体" w:eastAsia="宋体" w:cs="宋体"/>
                <w:color w:val="auto"/>
                <w:sz w:val="21"/>
                <w:szCs w:val="21"/>
                <w:highlight w:val="none"/>
                <w:lang w:val="en-US" w:eastAsia="zh-CN"/>
              </w:rPr>
              <w:t>竞争性谈判</w:t>
            </w:r>
            <w:r>
              <w:rPr>
                <w:rFonts w:hint="eastAsia" w:ascii="宋体" w:hAnsi="宋体" w:eastAsia="宋体" w:cs="宋体"/>
                <w:color w:val="auto"/>
                <w:spacing w:val="-6"/>
                <w:kern w:val="0"/>
                <w:sz w:val="21"/>
                <w:szCs w:val="21"/>
                <w:highlight w:val="none"/>
                <w:lang w:val="en-US" w:eastAsia="zh-CN" w:bidi="ar"/>
              </w:rPr>
              <w:t>文件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w:t>
            </w:r>
            <w:r>
              <w:rPr>
                <w:rFonts w:hint="eastAsia" w:ascii="宋体" w:hAnsi="宋体" w:eastAsia="宋体" w:cs="宋体"/>
                <w:color w:val="auto"/>
                <w:sz w:val="21"/>
                <w:szCs w:val="21"/>
                <w:highlight w:val="none"/>
                <w:lang w:val="en-US" w:eastAsia="zh-CN"/>
              </w:rPr>
              <w:t>竞争性谈判</w:t>
            </w:r>
            <w:r>
              <w:rPr>
                <w:rFonts w:hint="eastAsia" w:ascii="宋体" w:hAnsi="宋体" w:eastAsia="宋体" w:cs="宋体"/>
                <w:color w:val="auto"/>
                <w:spacing w:val="-6"/>
                <w:kern w:val="0"/>
                <w:sz w:val="21"/>
                <w:szCs w:val="21"/>
                <w:highlight w:val="none"/>
                <w:lang w:val="en-US" w:eastAsia="zh-CN" w:bidi="ar"/>
              </w:rPr>
              <w:t>文件关于预留份额的要求。</w:t>
            </w:r>
          </w:p>
        </w:tc>
        <w:tc>
          <w:tcPr>
            <w:tcW w:w="707"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696" w:hRule="atLeast"/>
          <w:jc w:val="center"/>
        </w:trPr>
        <w:tc>
          <w:tcPr>
            <w:tcW w:w="401" w:type="pct"/>
            <w:shd w:val="clear" w:color="auto" w:fill="FFFFFF" w:themeFill="background1"/>
            <w:vAlign w:val="center"/>
          </w:tcPr>
          <w:p w14:paraId="475F1023">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2-1-2</w:t>
            </w:r>
          </w:p>
        </w:tc>
        <w:tc>
          <w:tcPr>
            <w:tcW w:w="900" w:type="pct"/>
            <w:shd w:val="clear" w:color="auto" w:fill="FFFFFF" w:themeFill="background1"/>
            <w:vAlign w:val="center"/>
          </w:tcPr>
          <w:p w14:paraId="7FAB2183">
            <w:pPr>
              <w:pStyle w:val="44"/>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拟分包情况说明及分包意向协议书</w:t>
            </w:r>
          </w:p>
        </w:tc>
        <w:tc>
          <w:tcPr>
            <w:tcW w:w="2990" w:type="pct"/>
            <w:shd w:val="clear" w:color="auto" w:fill="FFFFFF" w:themeFill="background1"/>
            <w:vAlign w:val="center"/>
          </w:tcPr>
          <w:p w14:paraId="3FCA5E0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如本项目（包）要求通过分包措施预留部分采购份额面向中小企业采购、且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因落实政府采购政策拟进行分包的，必须提供；否则无须提供。 </w:t>
            </w:r>
          </w:p>
          <w:p w14:paraId="7B193BC9">
            <w:pPr>
              <w:pStyle w:val="44"/>
              <w:keepNext w:val="0"/>
              <w:keepLines w:val="0"/>
              <w:pageBreakBefore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707"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44" w:hRule="atLeast"/>
          <w:jc w:val="center"/>
        </w:trPr>
        <w:tc>
          <w:tcPr>
            <w:tcW w:w="401" w:type="pct"/>
            <w:shd w:val="clear" w:color="auto" w:fill="FFFFFF" w:themeFill="background1"/>
            <w:vAlign w:val="center"/>
          </w:tcPr>
          <w:p w14:paraId="67114AA2">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w:t>
            </w:r>
          </w:p>
        </w:tc>
        <w:tc>
          <w:tcPr>
            <w:tcW w:w="900" w:type="pct"/>
            <w:shd w:val="clear" w:color="auto" w:fill="FFFFFF" w:themeFill="background1"/>
            <w:vAlign w:val="center"/>
          </w:tcPr>
          <w:p w14:paraId="72B0B98B">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其它落实政府采购政策的资格要求</w:t>
            </w:r>
          </w:p>
        </w:tc>
        <w:tc>
          <w:tcPr>
            <w:tcW w:w="2990" w:type="pct"/>
            <w:shd w:val="clear" w:color="auto" w:fill="FFFFFF" w:themeFill="background1"/>
            <w:vAlign w:val="center"/>
          </w:tcPr>
          <w:p w14:paraId="7135B64F">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竞争性谈判公告”</w:t>
            </w:r>
          </w:p>
        </w:tc>
        <w:tc>
          <w:tcPr>
            <w:tcW w:w="707" w:type="pct"/>
            <w:shd w:val="clear" w:color="auto" w:fill="FFFFFF" w:themeFill="background1"/>
            <w:vAlign w:val="center"/>
          </w:tcPr>
          <w:p w14:paraId="1994366A">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96" w:hRule="atLeast"/>
          <w:jc w:val="center"/>
        </w:trPr>
        <w:tc>
          <w:tcPr>
            <w:tcW w:w="401" w:type="pct"/>
            <w:shd w:val="clear" w:color="auto" w:fill="FFFFFF" w:themeFill="background1"/>
            <w:vAlign w:val="center"/>
          </w:tcPr>
          <w:p w14:paraId="561EE156">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900" w:type="pct"/>
            <w:shd w:val="clear" w:color="auto" w:fill="FFFFFF" w:themeFill="background1"/>
            <w:vAlign w:val="center"/>
          </w:tcPr>
          <w:p w14:paraId="76B4DCC4">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本项目的特定资格要求</w:t>
            </w:r>
          </w:p>
        </w:tc>
        <w:tc>
          <w:tcPr>
            <w:tcW w:w="2990" w:type="pct"/>
            <w:shd w:val="clear" w:color="auto" w:fill="FFFFFF" w:themeFill="background1"/>
            <w:vAlign w:val="center"/>
          </w:tcPr>
          <w:p w14:paraId="2109B214">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竞争性谈判公告”</w:t>
            </w:r>
          </w:p>
        </w:tc>
        <w:tc>
          <w:tcPr>
            <w:tcW w:w="707" w:type="pct"/>
            <w:shd w:val="clear" w:color="auto" w:fill="FFFFFF" w:themeFill="background1"/>
            <w:vAlign w:val="center"/>
          </w:tcPr>
          <w:p w14:paraId="0A9CB89B">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0" w:hRule="atLeast"/>
          <w:jc w:val="center"/>
        </w:trPr>
        <w:tc>
          <w:tcPr>
            <w:tcW w:w="401" w:type="pct"/>
            <w:shd w:val="clear" w:color="auto" w:fill="FFFFFF" w:themeFill="background1"/>
            <w:vAlign w:val="center"/>
          </w:tcPr>
          <w:p w14:paraId="127F32A0">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w:t>
            </w:r>
          </w:p>
        </w:tc>
        <w:tc>
          <w:tcPr>
            <w:tcW w:w="900" w:type="pct"/>
            <w:shd w:val="clear" w:color="auto" w:fill="FFFFFF" w:themeFill="background1"/>
            <w:vAlign w:val="center"/>
          </w:tcPr>
          <w:p w14:paraId="74CDC7CB">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本项目对于联合体的要求</w:t>
            </w:r>
          </w:p>
        </w:tc>
        <w:tc>
          <w:tcPr>
            <w:tcW w:w="2990" w:type="pct"/>
            <w:shd w:val="clear" w:color="auto" w:fill="FFFFFF" w:themeFill="background1"/>
            <w:vAlign w:val="center"/>
          </w:tcPr>
          <w:p w14:paraId="7ECBC9E6">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1、如本项目接受联合体谈判，且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为联合体时必须提供《联合体协议书》，明确各方拟承担的工作和责任，并指定联合体牵头人，授权其代表所有联合体成员负责本项目谈判和合同实施阶段的牵头、协调工作。该联合体协议书应当作为响应文件的组成部分，与响应文件其他内容同时递交。 </w:t>
            </w:r>
          </w:p>
          <w:p w14:paraId="7FD3E7F1">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2、联合体各成员单位均须提供本表中序号1-1、1-2 的证明文件。联合体各成员单位均应满足</w:t>
            </w:r>
            <w:r>
              <w:rPr>
                <w:rFonts w:hint="eastAsia" w:ascii="宋体" w:hAnsi="宋体" w:eastAsia="宋体" w:cs="宋体"/>
                <w:color w:val="auto"/>
                <w:kern w:val="0"/>
                <w:sz w:val="21"/>
                <w:szCs w:val="21"/>
                <w:highlight w:val="none"/>
                <w:lang w:val="en-US" w:eastAsia="zh-CN" w:bidi="ar"/>
              </w:rPr>
              <w:t>本表 1-3 项</w:t>
            </w:r>
            <w:r>
              <w:rPr>
                <w:rFonts w:hint="eastAsia" w:ascii="宋体" w:hAnsi="宋体" w:eastAsia="宋体" w:cs="宋体"/>
                <w:color w:val="auto"/>
                <w:kern w:val="0"/>
                <w:sz w:val="21"/>
                <w:szCs w:val="21"/>
                <w:highlight w:val="none"/>
                <w:lang w:val="en-US" w:eastAsia="zh-CN" w:bidi="ar"/>
              </w:rPr>
              <w:t xml:space="preserve">规定。 </w:t>
            </w:r>
          </w:p>
          <w:p w14:paraId="6C740DDF">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spacing w:val="-6"/>
                <w:kern w:val="0"/>
                <w:sz w:val="21"/>
                <w:szCs w:val="21"/>
                <w:highlight w:val="none"/>
                <w:lang w:val="en-US" w:eastAsia="zh-CN" w:bidi="ar"/>
              </w:rPr>
              <w:t>本表序号 3-2 项规定的其他特定资格要求中的每一小项要求，按照《联合体协议书》的分工，联合体各方应具备承担工作所需的特定资格要求并提供证明材料。</w:t>
            </w:r>
            <w:r>
              <w:rPr>
                <w:rFonts w:hint="eastAsia" w:ascii="宋体" w:hAnsi="宋体" w:eastAsia="宋体" w:cs="宋体"/>
                <w:color w:val="auto"/>
                <w:kern w:val="0"/>
                <w:sz w:val="21"/>
                <w:szCs w:val="21"/>
                <w:highlight w:val="none"/>
                <w:lang w:val="en-US" w:eastAsia="zh-CN" w:bidi="ar"/>
              </w:rPr>
              <w:t xml:space="preserve"> </w:t>
            </w:r>
          </w:p>
          <w:p w14:paraId="2C709911">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4、联合体中有同类资质的供应商按照联合体分工承担相同工作的，应当按照资质等级较低的供应商确定资质等级。 </w:t>
            </w:r>
          </w:p>
          <w:p w14:paraId="309BA306">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5、以联合体形式参加政府采购活动的，联合体各方不得再单独参加或者与其他供应商另外组成联合体参加同一合同项下的政府采购活动。 </w:t>
            </w:r>
          </w:p>
          <w:p w14:paraId="3728F579">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6、</w:t>
            </w:r>
            <w:r>
              <w:rPr>
                <w:rFonts w:hint="eastAsia" w:ascii="宋体" w:hAnsi="宋体" w:eastAsia="宋体" w:cs="宋体"/>
                <w:color w:val="auto"/>
                <w:spacing w:val="-6"/>
                <w:kern w:val="0"/>
                <w:sz w:val="21"/>
                <w:szCs w:val="21"/>
                <w:highlight w:val="none"/>
                <w:lang w:val="en-US" w:eastAsia="zh-CN" w:bidi="ar"/>
              </w:rPr>
              <w:t>若联合体中任一成员单位中途退出，则该联合体的响应无效。</w:t>
            </w:r>
            <w:r>
              <w:rPr>
                <w:rFonts w:hint="eastAsia" w:ascii="宋体" w:hAnsi="宋体" w:eastAsia="宋体" w:cs="宋体"/>
                <w:color w:val="auto"/>
                <w:kern w:val="0"/>
                <w:sz w:val="21"/>
                <w:szCs w:val="21"/>
                <w:highlight w:val="none"/>
                <w:lang w:val="en-US" w:eastAsia="zh-CN" w:bidi="ar"/>
              </w:rPr>
              <w:t xml:space="preserve"> </w:t>
            </w:r>
          </w:p>
          <w:p w14:paraId="5E4BFCDE">
            <w:pPr>
              <w:pStyle w:val="44"/>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7、本项目不接受联合体谈判时，</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不得为联合体。</w:t>
            </w:r>
          </w:p>
        </w:tc>
        <w:tc>
          <w:tcPr>
            <w:tcW w:w="707" w:type="pct"/>
            <w:shd w:val="clear" w:color="auto" w:fill="FFFFFF" w:themeFill="background1"/>
            <w:vAlign w:val="center"/>
          </w:tcPr>
          <w:p w14:paraId="4EF5E5EF">
            <w:pPr>
              <w:pStyle w:val="44"/>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提供《联合体协议书》原件的电子件 </w:t>
            </w:r>
          </w:p>
          <w:p w14:paraId="6997A46F">
            <w:pPr>
              <w:pStyle w:val="44"/>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A1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20" w:hRule="atLeast"/>
          <w:jc w:val="center"/>
        </w:trPr>
        <w:tc>
          <w:tcPr>
            <w:tcW w:w="401" w:type="pct"/>
            <w:shd w:val="clear" w:color="auto" w:fill="FFFFFF" w:themeFill="background1"/>
            <w:vAlign w:val="center"/>
          </w:tcPr>
          <w:p w14:paraId="66900EDF">
            <w:pPr>
              <w:pStyle w:val="44"/>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w:t>
            </w:r>
          </w:p>
        </w:tc>
        <w:tc>
          <w:tcPr>
            <w:tcW w:w="900" w:type="pct"/>
            <w:shd w:val="clear" w:color="auto" w:fill="FFFFFF" w:themeFill="background1"/>
            <w:vAlign w:val="center"/>
          </w:tcPr>
          <w:p w14:paraId="6ADA3BD7">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其他特定资格要求</w:t>
            </w:r>
          </w:p>
        </w:tc>
        <w:tc>
          <w:tcPr>
            <w:tcW w:w="2990" w:type="pct"/>
            <w:shd w:val="clear" w:color="auto" w:fill="FFFFFF" w:themeFill="background1"/>
            <w:vAlign w:val="center"/>
          </w:tcPr>
          <w:p w14:paraId="7C33D26F">
            <w:pPr>
              <w:pStyle w:val="44"/>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招标公告”</w:t>
            </w:r>
          </w:p>
        </w:tc>
        <w:tc>
          <w:tcPr>
            <w:tcW w:w="707" w:type="pct"/>
            <w:shd w:val="clear" w:color="auto" w:fill="FFFFFF" w:themeFill="background1"/>
            <w:vAlign w:val="center"/>
          </w:tcPr>
          <w:p w14:paraId="44A82A15">
            <w:pPr>
              <w:pStyle w:val="44"/>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bl>
    <w:p w14:paraId="1C79E11B">
      <w:pPr>
        <w:rPr>
          <w:b/>
          <w:bCs/>
          <w:color w:val="auto"/>
          <w:sz w:val="21"/>
          <w:szCs w:val="21"/>
          <w:highlight w:val="none"/>
        </w:rPr>
      </w:pPr>
      <w:r>
        <w:rPr>
          <w:rFonts w:hint="eastAsia"/>
          <w:b/>
          <w:bCs/>
          <w:color w:val="auto"/>
          <w:sz w:val="21"/>
          <w:szCs w:val="21"/>
          <w:highlight w:val="none"/>
        </w:rPr>
        <w:t>备注：</w:t>
      </w:r>
    </w:p>
    <w:p w14:paraId="509818B3">
      <w:pPr>
        <w:pStyle w:val="37"/>
        <w:keepNext w:val="0"/>
        <w:keepLines w:val="0"/>
        <w:pageBreakBefore w:val="0"/>
        <w:widowControl w:val="0"/>
        <w:kinsoku/>
        <w:overflowPunct/>
        <w:topLinePunct w:val="0"/>
        <w:autoSpaceDE/>
        <w:autoSpaceDN/>
        <w:bidi w:val="0"/>
        <w:adjustRightInd/>
        <w:snapToGrid/>
        <w:spacing w:line="360" w:lineRule="exact"/>
        <w:ind w:firstLine="480"/>
        <w:textAlignment w:val="auto"/>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1.供应商须按上表格式要求提供相关证明文件，响应文件中须编入清晰的扫描件或网页截图。所有证明材料须清晰可辨认，如因证明材料模糊无法辨认，缺页、漏页导致无法进行评审认定的，责任由供应商承担。</w:t>
      </w:r>
    </w:p>
    <w:p w14:paraId="6B3A690E">
      <w:pPr>
        <w:pStyle w:val="37"/>
        <w:keepNext w:val="0"/>
        <w:keepLines w:val="0"/>
        <w:pageBreakBefore w:val="0"/>
        <w:widowControl w:val="0"/>
        <w:numPr>
          <w:ilvl w:val="0"/>
          <w:numId w:val="0"/>
        </w:numPr>
        <w:kinsoku/>
        <w:overflowPunct/>
        <w:topLinePunct w:val="0"/>
        <w:autoSpaceDE/>
        <w:autoSpaceDN/>
        <w:bidi w:val="0"/>
        <w:adjustRightInd/>
        <w:snapToGrid/>
        <w:spacing w:line="360" w:lineRule="exact"/>
        <w:ind w:firstLine="396" w:firstLineChars="200"/>
        <w:textAlignment w:val="auto"/>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w:t>
      </w:r>
      <w:r>
        <w:rPr>
          <w:rFonts w:hint="eastAsia" w:ascii="宋体" w:hAnsi="宋体" w:eastAsia="宋体" w:cs="宋体"/>
          <w:color w:val="auto"/>
          <w:spacing w:val="-6"/>
          <w:kern w:val="0"/>
          <w:sz w:val="21"/>
          <w:szCs w:val="21"/>
          <w:highlight w:val="none"/>
          <w:lang w:val="zh-CN" w:eastAsia="zh-CN" w:bidi="ar"/>
        </w:rPr>
        <w:t>信用信息核</w:t>
      </w:r>
      <w:r>
        <w:rPr>
          <w:rFonts w:hint="eastAsia" w:ascii="宋体" w:hAnsi="宋体" w:eastAsia="宋体" w:cs="宋体"/>
          <w:color w:val="auto"/>
          <w:spacing w:val="-6"/>
          <w:kern w:val="0"/>
          <w:sz w:val="21"/>
          <w:szCs w:val="21"/>
          <w:highlight w:val="none"/>
          <w:lang w:val="en-US" w:eastAsia="zh-CN" w:bidi="ar"/>
        </w:rPr>
        <w:t>查</w:t>
      </w:r>
    </w:p>
    <w:p w14:paraId="693A48C3">
      <w:pPr>
        <w:pStyle w:val="33"/>
        <w:keepNext w:val="0"/>
        <w:keepLines w:val="0"/>
        <w:pageBreakBefore w:val="0"/>
        <w:widowControl w:val="0"/>
        <w:kinsoku/>
        <w:overflowPunct/>
        <w:topLinePunct w:val="0"/>
        <w:autoSpaceDE/>
        <w:autoSpaceDN/>
        <w:bidi w:val="0"/>
        <w:adjustRightInd/>
        <w:snapToGrid/>
        <w:spacing w:line="360" w:lineRule="exact"/>
        <w:ind w:firstLine="480"/>
        <w:textAlignment w:val="auto"/>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2.1资格审查阶段应当核查供应商信用记录，供应商被列入失信被执行人、重大税收违法失信主体、政府采购严重违法失信行为记录名单的，采购人拒绝其参与政府采购活动。</w:t>
      </w:r>
    </w:p>
    <w:p w14:paraId="3CDD2CE4">
      <w:pPr>
        <w:pStyle w:val="33"/>
        <w:keepNext w:val="0"/>
        <w:keepLines w:val="0"/>
        <w:pageBreakBefore w:val="0"/>
        <w:widowControl w:val="0"/>
        <w:kinsoku/>
        <w:overflowPunct/>
        <w:topLinePunct w:val="0"/>
        <w:autoSpaceDE/>
        <w:autoSpaceDN/>
        <w:bidi w:val="0"/>
        <w:adjustRightInd/>
        <w:snapToGrid/>
        <w:spacing w:line="360" w:lineRule="exact"/>
        <w:ind w:firstLine="480"/>
        <w:textAlignment w:val="auto"/>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2.2以联合体形式参与谈判的，应当核查联合体所有成员和信用记录，联合体成员存在不良信用记录的，视同联合体存在不良信用信息。</w:t>
      </w:r>
    </w:p>
    <w:p w14:paraId="5E74E935">
      <w:pPr>
        <w:pStyle w:val="37"/>
        <w:keepNext w:val="0"/>
        <w:keepLines w:val="0"/>
        <w:pageBreakBefore w:val="0"/>
        <w:widowControl w:val="0"/>
        <w:numPr>
          <w:ilvl w:val="0"/>
          <w:numId w:val="0"/>
        </w:numPr>
        <w:kinsoku/>
        <w:overflowPunct/>
        <w:topLinePunct w:val="0"/>
        <w:autoSpaceDE/>
        <w:autoSpaceDN/>
        <w:bidi w:val="0"/>
        <w:adjustRightInd/>
        <w:snapToGrid/>
        <w:spacing w:line="360" w:lineRule="exact"/>
        <w:ind w:firstLine="396" w:firstLineChars="200"/>
        <w:textAlignment w:val="auto"/>
        <w:rPr>
          <w:rFonts w:hint="eastAsia" w:ascii="宋体" w:hAnsi="宋体" w:eastAsia="宋体" w:cs="宋体"/>
          <w:color w:val="auto"/>
          <w:spacing w:val="-6"/>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3.对于响应文件中有任意一条不满足上表要求的，将导致其</w:t>
      </w:r>
      <w:r>
        <w:rPr>
          <w:rFonts w:hint="eastAsia" w:ascii="宋体" w:hAnsi="宋体" w:eastAsia="宋体" w:cs="宋体"/>
          <w:b/>
          <w:bCs/>
          <w:color w:val="auto"/>
          <w:spacing w:val="-6"/>
          <w:kern w:val="0"/>
          <w:sz w:val="21"/>
          <w:szCs w:val="21"/>
          <w:highlight w:val="none"/>
          <w:lang w:val="en-US" w:eastAsia="zh-CN" w:bidi="ar"/>
        </w:rPr>
        <w:t>响应无效</w:t>
      </w:r>
      <w:r>
        <w:rPr>
          <w:rFonts w:hint="eastAsia" w:ascii="宋体" w:hAnsi="宋体" w:eastAsia="宋体" w:cs="宋体"/>
          <w:color w:val="auto"/>
          <w:spacing w:val="-6"/>
          <w:kern w:val="0"/>
          <w:sz w:val="21"/>
          <w:szCs w:val="21"/>
          <w:highlight w:val="none"/>
          <w:lang w:val="en-US" w:eastAsia="zh-CN" w:bidi="ar"/>
        </w:rPr>
        <w:t>，不得进入下一项评审。</w:t>
      </w:r>
    </w:p>
    <w:p w14:paraId="55110B7F">
      <w:pPr>
        <w:rPr>
          <w:rFonts w:hint="eastAsia"/>
          <w:color w:val="auto"/>
          <w:highlight w:val="none"/>
        </w:rPr>
      </w:pPr>
      <w:r>
        <w:rPr>
          <w:rFonts w:hint="eastAsia"/>
          <w:color w:val="auto"/>
          <w:highlight w:val="none"/>
        </w:rPr>
        <w:br w:type="page"/>
      </w: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498" w:name="_Toc31092"/>
      <w:bookmarkStart w:id="499" w:name="_Toc163493639"/>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497"/>
      <w:bookmarkEnd w:id="498"/>
      <w:bookmarkEnd w:id="499"/>
    </w:p>
    <w:tbl>
      <w:tblPr>
        <w:tblStyle w:val="27"/>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302"/>
        <w:gridCol w:w="5479"/>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restart"/>
            <w:shd w:val="clear" w:color="auto" w:fill="D8D8D8" w:themeFill="background1" w:themeFillShade="D9"/>
            <w:vAlign w:val="center"/>
          </w:tcPr>
          <w:p w14:paraId="3B188FC3">
            <w:pPr>
              <w:pStyle w:val="44"/>
              <w:jc w:val="center"/>
              <w:rPr>
                <w:rFonts w:hint="eastAsia" w:ascii="宋体" w:hAnsi="宋体" w:eastAsia="宋体" w:cs="宋体"/>
                <w:b/>
                <w:bCs/>
                <w:color w:val="auto"/>
                <w:sz w:val="21"/>
                <w:szCs w:val="21"/>
                <w:highlight w:val="none"/>
                <w:lang w:val="zh-CN"/>
              </w:rPr>
            </w:pPr>
            <w:bookmarkStart w:id="500" w:name="_Toc163493640"/>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4"/>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2" w:type="pct"/>
            <w:vMerge w:val="restart"/>
            <w:shd w:val="clear" w:color="auto" w:fill="D8D8D8" w:themeFill="background1" w:themeFillShade="D9"/>
            <w:vAlign w:val="center"/>
          </w:tcPr>
          <w:p w14:paraId="44B32FDC">
            <w:pPr>
              <w:pStyle w:val="44"/>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continue"/>
            <w:shd w:val="clear" w:color="auto" w:fill="D8D8D8" w:themeFill="background1" w:themeFillShade="D9"/>
            <w:vAlign w:val="center"/>
          </w:tcPr>
          <w:p w14:paraId="1859AA86">
            <w:pPr>
              <w:pStyle w:val="44"/>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4"/>
              <w:jc w:val="center"/>
              <w:rPr>
                <w:rFonts w:hint="eastAsia" w:ascii="宋体" w:hAnsi="宋体" w:eastAsia="宋体" w:cs="宋体"/>
                <w:b/>
                <w:bCs/>
                <w:color w:val="auto"/>
                <w:sz w:val="21"/>
                <w:szCs w:val="21"/>
                <w:highlight w:val="none"/>
                <w:lang w:val="zh-CN"/>
              </w:rPr>
            </w:pPr>
          </w:p>
        </w:tc>
        <w:tc>
          <w:tcPr>
            <w:tcW w:w="2962" w:type="pct"/>
            <w:vMerge w:val="continue"/>
            <w:shd w:val="clear" w:color="auto" w:fill="D8D8D8" w:themeFill="background1" w:themeFillShade="D9"/>
            <w:vAlign w:val="center"/>
          </w:tcPr>
          <w:p w14:paraId="2128C077">
            <w:pPr>
              <w:pStyle w:val="44"/>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0CAA21D7">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4"/>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6" w:type="pct"/>
            <w:shd w:val="clear" w:color="auto" w:fill="auto"/>
            <w:vAlign w:val="center"/>
          </w:tcPr>
          <w:p w14:paraId="4A515C07">
            <w:pPr>
              <w:pStyle w:val="44"/>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5E0E3062">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rPr>
              <w:t>签署</w:t>
            </w:r>
          </w:p>
        </w:tc>
        <w:tc>
          <w:tcPr>
            <w:tcW w:w="2962" w:type="pct"/>
            <w:shd w:val="clear" w:color="auto" w:fill="auto"/>
            <w:vAlign w:val="center"/>
          </w:tcPr>
          <w:p w14:paraId="0FA4ED80">
            <w:pPr>
              <w:pStyle w:val="44"/>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en-US" w:eastAsia="zh-CN"/>
              </w:rPr>
              <w:t>按</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文件要求签署、盖章的</w:t>
            </w:r>
          </w:p>
        </w:tc>
        <w:tc>
          <w:tcPr>
            <w:tcW w:w="468" w:type="pct"/>
            <w:shd w:val="clear" w:color="auto" w:fill="auto"/>
            <w:vAlign w:val="center"/>
          </w:tcPr>
          <w:p w14:paraId="1E1F1EB1">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5325BAA">
            <w:pPr>
              <w:pStyle w:val="44"/>
              <w:rPr>
                <w:rFonts w:hint="eastAsia" w:ascii="宋体" w:hAnsi="宋体" w:eastAsia="宋体" w:cs="宋体"/>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70154C2F">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1B390AF0">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2" w:type="pct"/>
            <w:shd w:val="clear" w:color="auto" w:fill="auto"/>
            <w:vAlign w:val="center"/>
          </w:tcPr>
          <w:p w14:paraId="6D95F485">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eastAsia="zh-CN"/>
              </w:rPr>
              <w:t>满足</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zh-CN" w:eastAsia="zh-CN"/>
              </w:rPr>
              <w:t>文件中标注“★”号的实质性条款（或指标）要求的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4C63B966">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5A615EFE">
            <w:pPr>
              <w:pStyle w:val="44"/>
              <w:rPr>
                <w:rFonts w:hint="eastAsia" w:ascii="宋体" w:hAnsi="宋体" w:eastAsia="宋体" w:cs="宋体"/>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6" w:type="pct"/>
            <w:shd w:val="clear" w:color="auto" w:fill="auto"/>
            <w:vAlign w:val="center"/>
          </w:tcPr>
          <w:p w14:paraId="48860C47">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31EA832C">
            <w:pPr>
              <w:pStyle w:val="44"/>
              <w:rPr>
                <w:rFonts w:hint="eastAsia" w:ascii="宋体" w:hAnsi="宋体" w:eastAsia="宋体" w:cs="宋体"/>
                <w:color w:val="auto"/>
                <w:sz w:val="21"/>
                <w:szCs w:val="21"/>
                <w:highlight w:val="none"/>
                <w:lang w:val="zh-CN"/>
              </w:rPr>
            </w:pP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zh-CN"/>
              </w:rPr>
              <w:t>响应性报价</w:t>
            </w:r>
          </w:p>
        </w:tc>
        <w:tc>
          <w:tcPr>
            <w:tcW w:w="2962" w:type="pct"/>
            <w:shd w:val="clear" w:color="auto" w:fill="auto"/>
            <w:vAlign w:val="center"/>
          </w:tcPr>
          <w:p w14:paraId="02D97709">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供应商报价未超过</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文件中规定的最高限价或者预算金额的</w:t>
            </w:r>
          </w:p>
        </w:tc>
        <w:tc>
          <w:tcPr>
            <w:tcW w:w="468" w:type="pct"/>
            <w:shd w:val="clear" w:color="auto" w:fill="auto"/>
            <w:vAlign w:val="center"/>
          </w:tcPr>
          <w:p w14:paraId="18835E98">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2826E79">
            <w:pPr>
              <w:pStyle w:val="44"/>
              <w:rPr>
                <w:rFonts w:hint="eastAsia" w:ascii="宋体" w:hAnsi="宋体" w:eastAsia="宋体" w:cs="宋体"/>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6" w:type="pct"/>
            <w:shd w:val="clear" w:color="auto" w:fill="auto"/>
            <w:vAlign w:val="center"/>
          </w:tcPr>
          <w:p w14:paraId="0D25BA5B">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6B53D7DD">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2" w:type="pct"/>
            <w:shd w:val="clear" w:color="auto" w:fill="auto"/>
            <w:vAlign w:val="center"/>
          </w:tcPr>
          <w:p w14:paraId="3C241A91">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4B513014">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48AFA180">
            <w:pPr>
              <w:pStyle w:val="44"/>
              <w:rPr>
                <w:rFonts w:hint="eastAsia" w:ascii="宋体" w:hAnsi="宋体" w:eastAsia="宋体" w:cs="宋体"/>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6" w:type="pct"/>
            <w:shd w:val="clear" w:color="auto" w:fill="auto"/>
            <w:vAlign w:val="center"/>
          </w:tcPr>
          <w:p w14:paraId="5772C4C0">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1817A2C0">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2" w:type="pct"/>
            <w:shd w:val="clear" w:color="auto" w:fill="auto"/>
            <w:vAlign w:val="center"/>
          </w:tcPr>
          <w:p w14:paraId="39640874">
            <w:pPr>
              <w:pStyle w:val="44"/>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文件规定接受联合体</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val="zh-CN" w:eastAsia="zh-CN"/>
              </w:rPr>
              <w:t>联合体供应商提交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w:t>
            </w:r>
            <w:r>
              <w:rPr>
                <w:rFonts w:hint="eastAsia" w:ascii="宋体" w:hAnsi="宋体" w:eastAsia="宋体" w:cs="宋体"/>
                <w:color w:val="auto"/>
                <w:sz w:val="21"/>
                <w:szCs w:val="21"/>
                <w:highlight w:val="none"/>
                <w:lang w:val="en-US" w:eastAsia="zh-CN"/>
              </w:rPr>
              <w:t>如允许联合体</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2C782F18">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163069B8">
            <w:pPr>
              <w:pStyle w:val="44"/>
              <w:rPr>
                <w:rFonts w:hint="eastAsia" w:ascii="宋体" w:hAnsi="宋体" w:eastAsia="宋体" w:cs="宋体"/>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6" w:type="pct"/>
            <w:shd w:val="clear" w:color="auto" w:fill="auto"/>
            <w:vAlign w:val="center"/>
          </w:tcPr>
          <w:p w14:paraId="31C12A1B">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55194F4F">
            <w:pPr>
              <w:pStyle w:val="44"/>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保证金</w:t>
            </w:r>
          </w:p>
        </w:tc>
        <w:tc>
          <w:tcPr>
            <w:tcW w:w="2962" w:type="pct"/>
            <w:shd w:val="clear" w:color="auto" w:fill="auto"/>
            <w:vAlign w:val="center"/>
          </w:tcPr>
          <w:p w14:paraId="4803457A">
            <w:pPr>
              <w:pStyle w:val="44"/>
              <w:rPr>
                <w:rFonts w:hint="eastAsia" w:ascii="宋体" w:hAnsi="宋体" w:eastAsia="宋体" w:cs="宋体"/>
                <w:color w:val="auto"/>
                <w:kern w:val="2"/>
                <w:sz w:val="21"/>
                <w:szCs w:val="21"/>
                <w:highlight w:val="none"/>
                <w:lang w:val="zh-CN" w:eastAsia="zh-CN" w:bidi="ar-SA"/>
              </w:rPr>
            </w:pP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文件规定应当缴纳的，供应商按</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文件的规定缴纳</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保证金的</w:t>
            </w:r>
          </w:p>
        </w:tc>
        <w:tc>
          <w:tcPr>
            <w:tcW w:w="468" w:type="pct"/>
            <w:shd w:val="clear" w:color="auto" w:fill="auto"/>
            <w:vAlign w:val="center"/>
          </w:tcPr>
          <w:p w14:paraId="194FF3C2">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2372B823">
            <w:pPr>
              <w:pStyle w:val="44"/>
              <w:rPr>
                <w:rFonts w:hint="eastAsia" w:ascii="宋体" w:hAnsi="宋体" w:eastAsia="宋体" w:cs="宋体"/>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6C002E13">
            <w:pPr>
              <w:pStyle w:val="44"/>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5C91A4A7">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响应文件的澄清、说明、补正</w:t>
            </w:r>
          </w:p>
        </w:tc>
        <w:tc>
          <w:tcPr>
            <w:tcW w:w="2962" w:type="pct"/>
            <w:shd w:val="clear" w:color="auto" w:fill="auto"/>
            <w:vAlign w:val="center"/>
          </w:tcPr>
          <w:p w14:paraId="3E6052BB">
            <w:pPr>
              <w:pStyle w:val="44"/>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按</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zh-CN" w:eastAsia="zh-CN"/>
              </w:rPr>
              <w:t>小组的要求提交经授权代表签字的澄清、说明、更正且澄清、说明、更正未超出响应文件范围或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1EA81190">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2394B23D">
            <w:pPr>
              <w:pStyle w:val="44"/>
              <w:rPr>
                <w:rFonts w:hint="eastAsia" w:ascii="宋体" w:hAnsi="宋体" w:eastAsia="宋体" w:cs="宋体"/>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6" w:type="pct"/>
            <w:shd w:val="clear" w:color="auto" w:fill="auto"/>
            <w:vAlign w:val="center"/>
          </w:tcPr>
          <w:p w14:paraId="09617D9C">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2016E93A">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供应商影响评审</w:t>
            </w:r>
          </w:p>
        </w:tc>
        <w:tc>
          <w:tcPr>
            <w:tcW w:w="2962" w:type="pct"/>
            <w:shd w:val="clear" w:color="auto" w:fill="auto"/>
            <w:vAlign w:val="center"/>
          </w:tcPr>
          <w:p w14:paraId="50B76BB4">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对采购人、采购代理机构、</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zh-CN" w:eastAsia="zh-CN"/>
              </w:rPr>
              <w:t>小组及其工作人员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行为的</w:t>
            </w:r>
          </w:p>
        </w:tc>
        <w:tc>
          <w:tcPr>
            <w:tcW w:w="468" w:type="pct"/>
            <w:shd w:val="clear" w:color="auto" w:fill="auto"/>
            <w:vAlign w:val="center"/>
          </w:tcPr>
          <w:p w14:paraId="75DB24A7">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7D6DA84C">
            <w:pPr>
              <w:pStyle w:val="44"/>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32BD4A6">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56EEFE7E">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2" w:type="pct"/>
            <w:shd w:val="clear" w:color="auto" w:fill="auto"/>
            <w:vAlign w:val="center"/>
          </w:tcPr>
          <w:p w14:paraId="618DB2FB">
            <w:pPr>
              <w:pStyle w:val="44"/>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73E4201A">
            <w:pPr>
              <w:pStyle w:val="44"/>
              <w:rPr>
                <w:rFonts w:hint="eastAsia" w:ascii="宋体" w:hAnsi="宋体" w:eastAsia="宋体" w:cs="宋体"/>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CD6AABE">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40726A5F">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2" w:type="pct"/>
            <w:shd w:val="clear" w:color="auto" w:fill="auto"/>
            <w:vAlign w:val="center"/>
          </w:tcPr>
          <w:p w14:paraId="05CC0303">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未出现</w:t>
            </w:r>
            <w:r>
              <w:rPr>
                <w:rFonts w:hint="eastAsia" w:ascii="宋体" w:hAnsi="宋体" w:eastAsia="宋体" w:cs="宋体"/>
                <w:color w:val="auto"/>
                <w:sz w:val="21"/>
                <w:szCs w:val="21"/>
                <w:highlight w:val="none"/>
                <w:lang w:val="zh-CN" w:eastAsia="zh-CN"/>
              </w:rPr>
              <w:t>法律、法规、规章以及本</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lang w:val="zh-CN" w:eastAsia="zh-CN"/>
              </w:rPr>
              <w:t>文件规定属于</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3A44DE13">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5D1C94D8">
            <w:pPr>
              <w:pStyle w:val="44"/>
              <w:rPr>
                <w:rFonts w:hint="eastAsia" w:ascii="宋体" w:hAnsi="宋体" w:eastAsia="宋体" w:cs="宋体"/>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65992B2F">
            <w:pPr>
              <w:pStyle w:val="44"/>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2767F5E">
            <w:pPr>
              <w:pStyle w:val="44"/>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2" w:type="pct"/>
            <w:shd w:val="clear" w:color="auto" w:fill="auto"/>
            <w:vAlign w:val="center"/>
          </w:tcPr>
          <w:p w14:paraId="018BE69C">
            <w:pPr>
              <w:pStyle w:val="44"/>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4BD7EBEE">
            <w:pPr>
              <w:pStyle w:val="44"/>
              <w:rPr>
                <w:rFonts w:hint="eastAsia" w:ascii="宋体" w:hAnsi="宋体" w:eastAsia="宋体" w:cs="宋体"/>
                <w:color w:val="auto"/>
                <w:sz w:val="21"/>
                <w:szCs w:val="21"/>
                <w:highlight w:val="none"/>
                <w:lang w:val="zh-CN"/>
              </w:rPr>
            </w:pPr>
          </w:p>
        </w:tc>
        <w:tc>
          <w:tcPr>
            <w:tcW w:w="588" w:type="pct"/>
            <w:shd w:val="clear" w:color="auto" w:fill="auto"/>
            <w:vAlign w:val="center"/>
          </w:tcPr>
          <w:p w14:paraId="3F4076D0">
            <w:pPr>
              <w:pStyle w:val="44"/>
              <w:rPr>
                <w:rFonts w:hint="eastAsia" w:ascii="宋体" w:hAnsi="宋体" w:eastAsia="宋体" w:cs="宋体"/>
                <w:color w:val="auto"/>
                <w:sz w:val="21"/>
                <w:szCs w:val="21"/>
                <w:highlight w:val="none"/>
                <w:lang w:val="zh-CN"/>
              </w:rPr>
            </w:pPr>
          </w:p>
        </w:tc>
      </w:tr>
    </w:tbl>
    <w:p w14:paraId="0EA4347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28E1FE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99811C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CC48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A621C9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E60AFF0">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624643D">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501A7F1">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7A632">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FE3F16E">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A22AD6B">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107E21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符合性检查</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zh-CN" w:eastAsia="zh-CN" w:bidi="ar-SA"/>
        </w:rPr>
        <w:t>附表</w:t>
      </w:r>
    </w:p>
    <w:p w14:paraId="4F7CC11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501" w:name="_Toc18208"/>
      <w:r>
        <w:rPr>
          <w:rFonts w:hint="eastAsia" w:ascii="宋体" w:hAnsi="宋体" w:eastAsia="宋体" w:cstheme="minorBidi"/>
          <w:b/>
          <w:bCs/>
          <w:color w:val="auto"/>
          <w:kern w:val="2"/>
          <w:sz w:val="28"/>
          <w:szCs w:val="28"/>
          <w:highlight w:val="none"/>
          <w:lang w:val="zh-CN" w:eastAsia="zh-CN" w:bidi="ar-SA"/>
        </w:rPr>
        <w:t>实质性响应一览表</w:t>
      </w:r>
      <w:bookmarkEnd w:id="501"/>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F532689">
      <w:pPr>
        <w:pStyle w:val="21"/>
        <w:rPr>
          <w:rFonts w:hint="eastAsia" w:ascii="宋体" w:hAnsi="宋体" w:cs="宋体"/>
          <w:color w:val="auto"/>
          <w:highlight w:val="none"/>
        </w:rPr>
      </w:pPr>
    </w:p>
    <w:tbl>
      <w:tblPr>
        <w:tblStyle w:val="27"/>
        <w:tblW w:w="5272"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46"/>
        <w:gridCol w:w="3179"/>
        <w:gridCol w:w="1957"/>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74"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29"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rPr>
              <w:t>文件要求的实质性响应内容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74"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60"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6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74"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60"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6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谈判</w:t>
            </w:r>
            <w:r>
              <w:rPr>
                <w:rFonts w:hint="eastAsia" w:ascii="宋体" w:hAnsi="宋体" w:eastAsia="宋体" w:cs="宋体"/>
                <w:i w:val="0"/>
                <w:iCs w:val="0"/>
                <w:color w:val="auto"/>
                <w:sz w:val="21"/>
                <w:szCs w:val="21"/>
                <w:highlight w:val="none"/>
                <w:lang w:val="en-US" w:eastAsia="zh-CN"/>
              </w:rPr>
              <w:t>文件关于响应文件有效期的规定）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60"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6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60"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46223A2E">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60"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60" w:type="pct"/>
            <w:noWrap w:val="0"/>
            <w:vAlign w:val="center"/>
          </w:tcPr>
          <w:p w14:paraId="20EF89DA">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60"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60"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60" w:type="pct"/>
            <w:shd w:val="clear" w:color="auto" w:fill="auto"/>
            <w:noWrap w:val="0"/>
            <w:vAlign w:val="center"/>
          </w:tcPr>
          <w:p w14:paraId="5982B57A">
            <w:pPr>
              <w:pStyle w:val="44"/>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3F0E658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6A6F6B05">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33CEC3C">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E1CE7D6">
      <w:pPr>
        <w:rPr>
          <w:rFonts w:hint="eastAsia"/>
          <w:color w:val="auto"/>
          <w:highlight w:val="none"/>
          <w:lang w:val="en-US" w:eastAsia="zh-CN"/>
        </w:rPr>
      </w:pPr>
    </w:p>
    <w:p w14:paraId="3D420025">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502" w:name="_Toc7219"/>
      <w:r>
        <w:rPr>
          <w:rFonts w:hint="eastAsia" w:ascii="宋体" w:hAnsi="宋体" w:eastAsia="宋体" w:cs="宋体"/>
          <w:b/>
          <w:bCs/>
          <w:color w:val="auto"/>
          <w:kern w:val="2"/>
          <w:sz w:val="24"/>
          <w:szCs w:val="24"/>
          <w:highlight w:val="none"/>
          <w:lang w:val="en-US" w:eastAsia="zh-CN" w:bidi="ar-SA"/>
        </w:rPr>
        <w:t>（三）</w:t>
      </w:r>
      <w:r>
        <w:rPr>
          <w:rFonts w:hint="eastAsia" w:cs="宋体"/>
          <w:b/>
          <w:bCs/>
          <w:color w:val="auto"/>
          <w:kern w:val="2"/>
          <w:sz w:val="24"/>
          <w:szCs w:val="24"/>
          <w:highlight w:val="none"/>
          <w:lang w:val="en-US" w:eastAsia="zh-CN" w:bidi="ar-SA"/>
        </w:rPr>
        <w:t>商务技术</w:t>
      </w:r>
      <w:r>
        <w:rPr>
          <w:rFonts w:hint="eastAsia" w:ascii="宋体" w:hAnsi="宋体" w:eastAsia="宋体" w:cs="宋体"/>
          <w:b/>
          <w:bCs/>
          <w:color w:val="auto"/>
          <w:kern w:val="2"/>
          <w:sz w:val="24"/>
          <w:szCs w:val="24"/>
          <w:highlight w:val="none"/>
          <w:lang w:val="zh-CN" w:eastAsia="zh-CN" w:bidi="ar-SA"/>
        </w:rPr>
        <w:t>评</w:t>
      </w:r>
      <w:r>
        <w:rPr>
          <w:rFonts w:hint="eastAsia" w:cs="宋体"/>
          <w:b/>
          <w:bCs/>
          <w:color w:val="auto"/>
          <w:kern w:val="2"/>
          <w:sz w:val="24"/>
          <w:szCs w:val="24"/>
          <w:highlight w:val="none"/>
          <w:lang w:val="en-US" w:eastAsia="zh-CN" w:bidi="ar-SA"/>
        </w:rPr>
        <w:t>审</w:t>
      </w:r>
      <w:bookmarkEnd w:id="500"/>
      <w:bookmarkEnd w:id="502"/>
    </w:p>
    <w:p w14:paraId="756FB9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sz w:val="21"/>
          <w:szCs w:val="21"/>
          <w:highlight w:val="none"/>
          <w:lang w:val="en-US" w:eastAsia="zh-CN"/>
        </w:rPr>
      </w:pPr>
      <w:r>
        <w:rPr>
          <w:rFonts w:hint="eastAsia"/>
          <w:color w:val="auto"/>
          <w:sz w:val="21"/>
          <w:szCs w:val="21"/>
          <w:highlight w:val="none"/>
          <w:lang w:val="en-US" w:eastAsia="zh-CN"/>
        </w:rPr>
        <w:t>谈判小组根据本章的评审标准以及谈判文件实质性变动的内容，按谈判文件要求对修正后的响应文件进行商务技术评审，未实质性响应谈判文件要求的响应文件按无效响应处理。</w:t>
      </w:r>
    </w:p>
    <w:p w14:paraId="06EEC6BD">
      <w:pPr>
        <w:jc w:val="center"/>
        <w:rPr>
          <w:rFonts w:hint="default"/>
          <w:color w:val="auto"/>
          <w:sz w:val="21"/>
          <w:szCs w:val="21"/>
          <w:highlight w:val="none"/>
          <w:lang w:val="en-US" w:eastAsia="zh-CN"/>
        </w:rPr>
      </w:pPr>
      <w:r>
        <w:rPr>
          <w:rFonts w:hint="eastAsia"/>
          <w:color w:val="auto"/>
          <w:sz w:val="21"/>
          <w:szCs w:val="21"/>
          <w:highlight w:val="none"/>
          <w:lang w:val="en-US" w:eastAsia="zh-CN"/>
        </w:rPr>
        <w:t>【注：以下评审分项根据项目实际情况可自行设置或选用。】</w:t>
      </w:r>
    </w:p>
    <w:tbl>
      <w:tblPr>
        <w:tblStyle w:val="27"/>
        <w:tblW w:w="49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5"/>
        <w:gridCol w:w="1581"/>
        <w:gridCol w:w="3384"/>
        <w:gridCol w:w="1347"/>
        <w:gridCol w:w="1350"/>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blHeader/>
          <w:jc w:val="center"/>
        </w:trPr>
        <w:tc>
          <w:tcPr>
            <w:tcW w:w="459" w:type="pct"/>
            <w:vMerge w:val="restart"/>
            <w:shd w:val="clear" w:color="auto" w:fill="D8D8D8" w:themeFill="background1" w:themeFillShade="D9"/>
            <w:vAlign w:val="center"/>
          </w:tcPr>
          <w:p w14:paraId="4924CA4E">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项目</w:t>
            </w:r>
          </w:p>
        </w:tc>
        <w:tc>
          <w:tcPr>
            <w:tcW w:w="937" w:type="pct"/>
            <w:vMerge w:val="restart"/>
            <w:shd w:val="clear" w:color="auto" w:fill="D8D8D8" w:themeFill="background1" w:themeFillShade="D9"/>
            <w:vAlign w:val="center"/>
          </w:tcPr>
          <w:p w14:paraId="7A3DCB70">
            <w:pPr>
              <w:pStyle w:val="44"/>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分项</w:t>
            </w:r>
          </w:p>
        </w:tc>
        <w:tc>
          <w:tcPr>
            <w:tcW w:w="2004" w:type="pct"/>
            <w:vMerge w:val="restart"/>
            <w:shd w:val="clear" w:color="auto" w:fill="D8D8D8" w:themeFill="background1" w:themeFillShade="D9"/>
            <w:vAlign w:val="center"/>
          </w:tcPr>
          <w:p w14:paraId="65B86E0D">
            <w:pPr>
              <w:pStyle w:val="44"/>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评审标准及要求</w:t>
            </w:r>
          </w:p>
        </w:tc>
        <w:tc>
          <w:tcPr>
            <w:tcW w:w="1598" w:type="pct"/>
            <w:gridSpan w:val="2"/>
            <w:shd w:val="clear" w:color="auto" w:fill="D8D8D8" w:themeFill="background1" w:themeFillShade="D9"/>
            <w:vAlign w:val="center"/>
          </w:tcPr>
          <w:p w14:paraId="467A385D">
            <w:pPr>
              <w:pStyle w:val="44"/>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是否符合</w:t>
            </w:r>
          </w:p>
        </w:tc>
      </w:tr>
      <w:tr w14:paraId="6616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blHeader/>
          <w:jc w:val="center"/>
        </w:trPr>
        <w:tc>
          <w:tcPr>
            <w:tcW w:w="459" w:type="pct"/>
            <w:vMerge w:val="continue"/>
            <w:shd w:val="clear" w:color="auto" w:fill="D8D8D8" w:themeFill="background1" w:themeFillShade="D9"/>
            <w:vAlign w:val="center"/>
          </w:tcPr>
          <w:p w14:paraId="76B3497F">
            <w:pPr>
              <w:pStyle w:val="44"/>
              <w:jc w:val="center"/>
              <w:rPr>
                <w:rFonts w:hint="eastAsia" w:ascii="宋体" w:hAnsi="宋体" w:eastAsia="宋体" w:cs="宋体"/>
                <w:b/>
                <w:bCs/>
                <w:color w:val="auto"/>
                <w:sz w:val="21"/>
                <w:szCs w:val="21"/>
                <w:highlight w:val="none"/>
              </w:rPr>
            </w:pPr>
          </w:p>
        </w:tc>
        <w:tc>
          <w:tcPr>
            <w:tcW w:w="937" w:type="pct"/>
            <w:vMerge w:val="continue"/>
            <w:shd w:val="clear" w:color="auto" w:fill="D8D8D8" w:themeFill="background1" w:themeFillShade="D9"/>
            <w:vAlign w:val="center"/>
          </w:tcPr>
          <w:p w14:paraId="1505C6F8">
            <w:pPr>
              <w:pStyle w:val="44"/>
              <w:jc w:val="center"/>
              <w:rPr>
                <w:rFonts w:hint="eastAsia" w:ascii="宋体" w:hAnsi="宋体" w:eastAsia="宋体" w:cs="宋体"/>
                <w:b/>
                <w:bCs/>
                <w:color w:val="auto"/>
                <w:sz w:val="21"/>
                <w:szCs w:val="21"/>
                <w:highlight w:val="none"/>
              </w:rPr>
            </w:pPr>
          </w:p>
        </w:tc>
        <w:tc>
          <w:tcPr>
            <w:tcW w:w="2004" w:type="pct"/>
            <w:vMerge w:val="continue"/>
            <w:shd w:val="clear" w:color="auto" w:fill="D8D8D8" w:themeFill="background1" w:themeFillShade="D9"/>
            <w:vAlign w:val="center"/>
          </w:tcPr>
          <w:p w14:paraId="1B61E1E4">
            <w:pPr>
              <w:pStyle w:val="44"/>
              <w:jc w:val="center"/>
              <w:rPr>
                <w:rFonts w:hint="eastAsia" w:cs="宋体"/>
                <w:b/>
                <w:bCs/>
                <w:color w:val="auto"/>
                <w:sz w:val="21"/>
                <w:szCs w:val="21"/>
                <w:highlight w:val="none"/>
                <w:lang w:val="en-US" w:eastAsia="zh-CN"/>
              </w:rPr>
            </w:pPr>
          </w:p>
        </w:tc>
        <w:tc>
          <w:tcPr>
            <w:tcW w:w="798" w:type="pct"/>
            <w:shd w:val="clear" w:color="auto" w:fill="D8D8D8" w:themeFill="background1" w:themeFillShade="D9"/>
            <w:vAlign w:val="center"/>
          </w:tcPr>
          <w:p w14:paraId="3AE7A0AC">
            <w:pPr>
              <w:pStyle w:val="44"/>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符合</w:t>
            </w:r>
          </w:p>
        </w:tc>
        <w:tc>
          <w:tcPr>
            <w:tcW w:w="800" w:type="pct"/>
            <w:shd w:val="clear" w:color="auto" w:fill="D8D8D8" w:themeFill="background1" w:themeFillShade="D9"/>
            <w:vAlign w:val="center"/>
          </w:tcPr>
          <w:p w14:paraId="02B8954C">
            <w:pPr>
              <w:pStyle w:val="44"/>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不符合</w:t>
            </w:r>
          </w:p>
        </w:tc>
      </w:tr>
      <w:tr w14:paraId="1CB1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459" w:type="pct"/>
            <w:vMerge w:val="restart"/>
            <w:vAlign w:val="center"/>
          </w:tcPr>
          <w:p w14:paraId="6C0619A6">
            <w:pPr>
              <w:pStyle w:val="4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商务</w:t>
            </w:r>
            <w:r>
              <w:rPr>
                <w:rFonts w:hint="eastAsia" w:cs="宋体"/>
                <w:color w:val="auto"/>
                <w:sz w:val="21"/>
                <w:szCs w:val="21"/>
                <w:highlight w:val="none"/>
                <w:lang w:val="en-US" w:eastAsia="zh-CN"/>
              </w:rPr>
              <w:t>评审</w:t>
            </w:r>
          </w:p>
        </w:tc>
        <w:tc>
          <w:tcPr>
            <w:tcW w:w="937" w:type="pct"/>
            <w:tcBorders>
              <w:top w:val="single" w:color="auto" w:sz="4" w:space="0"/>
            </w:tcBorders>
            <w:vAlign w:val="center"/>
          </w:tcPr>
          <w:p w14:paraId="7B47B92D">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售后服务能力与承诺</w:t>
            </w:r>
          </w:p>
        </w:tc>
        <w:tc>
          <w:tcPr>
            <w:tcW w:w="2004" w:type="pct"/>
            <w:vAlign w:val="center"/>
          </w:tcPr>
          <w:p w14:paraId="4E7EA155">
            <w:pPr>
              <w:pStyle w:val="44"/>
              <w:jc w:val="center"/>
              <w:rPr>
                <w:rFonts w:hint="eastAsia" w:ascii="宋体" w:hAnsi="宋体" w:eastAsia="宋体" w:cs="宋体"/>
                <w:color w:val="auto"/>
                <w:sz w:val="21"/>
                <w:szCs w:val="21"/>
                <w:highlight w:val="none"/>
              </w:rPr>
            </w:pPr>
          </w:p>
        </w:tc>
        <w:tc>
          <w:tcPr>
            <w:tcW w:w="798" w:type="pct"/>
            <w:vAlign w:val="center"/>
          </w:tcPr>
          <w:p w14:paraId="00872C1F">
            <w:pPr>
              <w:pStyle w:val="44"/>
              <w:numPr>
                <w:ilvl w:val="0"/>
                <w:numId w:val="0"/>
              </w:numPr>
              <w:rPr>
                <w:rFonts w:hint="eastAsia" w:ascii="宋体" w:hAnsi="宋体" w:eastAsia="宋体" w:cs="宋体"/>
                <w:color w:val="auto"/>
                <w:sz w:val="21"/>
                <w:szCs w:val="21"/>
                <w:highlight w:val="none"/>
                <w:lang w:val="en-US" w:eastAsia="zh-CN"/>
              </w:rPr>
            </w:pPr>
          </w:p>
        </w:tc>
        <w:tc>
          <w:tcPr>
            <w:tcW w:w="800" w:type="pct"/>
            <w:vAlign w:val="center"/>
          </w:tcPr>
          <w:p w14:paraId="4382E864">
            <w:pPr>
              <w:pStyle w:val="44"/>
              <w:numPr>
                <w:ilvl w:val="0"/>
                <w:numId w:val="0"/>
              </w:numPr>
              <w:rPr>
                <w:rFonts w:hint="eastAsia" w:ascii="宋体" w:hAnsi="宋体" w:eastAsia="宋体" w:cs="宋体"/>
                <w:color w:val="auto"/>
                <w:sz w:val="21"/>
                <w:szCs w:val="21"/>
                <w:highlight w:val="none"/>
                <w:lang w:val="en-US" w:eastAsia="zh-CN"/>
              </w:rPr>
            </w:pPr>
          </w:p>
        </w:tc>
      </w:tr>
      <w:tr w14:paraId="671F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459" w:type="pct"/>
            <w:vMerge w:val="continue"/>
            <w:vAlign w:val="center"/>
          </w:tcPr>
          <w:p w14:paraId="052C663E">
            <w:pPr>
              <w:pStyle w:val="44"/>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460AF2C5">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2004" w:type="pct"/>
            <w:vAlign w:val="center"/>
          </w:tcPr>
          <w:p w14:paraId="628FC415">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1CAA3B77">
            <w:pPr>
              <w:pStyle w:val="44"/>
              <w:rPr>
                <w:rFonts w:hint="eastAsia" w:ascii="宋体" w:hAnsi="宋体" w:eastAsia="宋体" w:cs="宋体"/>
                <w:color w:val="auto"/>
                <w:sz w:val="21"/>
                <w:szCs w:val="21"/>
                <w:highlight w:val="none"/>
              </w:rPr>
            </w:pPr>
          </w:p>
        </w:tc>
        <w:tc>
          <w:tcPr>
            <w:tcW w:w="800" w:type="pct"/>
            <w:vAlign w:val="center"/>
          </w:tcPr>
          <w:p w14:paraId="3A1496C4">
            <w:pPr>
              <w:pStyle w:val="44"/>
              <w:rPr>
                <w:rFonts w:hint="eastAsia" w:ascii="宋体" w:hAnsi="宋体" w:eastAsia="宋体" w:cs="宋体"/>
                <w:color w:val="auto"/>
                <w:sz w:val="21"/>
                <w:szCs w:val="21"/>
                <w:highlight w:val="none"/>
              </w:rPr>
            </w:pPr>
          </w:p>
        </w:tc>
      </w:tr>
      <w:tr w14:paraId="407F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459" w:type="pct"/>
            <w:vMerge w:val="continue"/>
            <w:vAlign w:val="center"/>
          </w:tcPr>
          <w:p w14:paraId="3BD7C09E">
            <w:pPr>
              <w:pStyle w:val="44"/>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6B9EB51E">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2004" w:type="pct"/>
            <w:vAlign w:val="center"/>
          </w:tcPr>
          <w:p w14:paraId="5CC6F5C7">
            <w:pPr>
              <w:pStyle w:val="44"/>
              <w:jc w:val="center"/>
              <w:rPr>
                <w:rFonts w:hint="eastAsia" w:ascii="宋体" w:hAnsi="宋体" w:eastAsia="宋体" w:cs="宋体"/>
                <w:color w:val="auto"/>
                <w:sz w:val="21"/>
                <w:szCs w:val="21"/>
                <w:highlight w:val="none"/>
              </w:rPr>
            </w:pPr>
          </w:p>
        </w:tc>
        <w:tc>
          <w:tcPr>
            <w:tcW w:w="798" w:type="pct"/>
            <w:vAlign w:val="center"/>
          </w:tcPr>
          <w:p w14:paraId="423C2D10">
            <w:pPr>
              <w:pStyle w:val="44"/>
              <w:rPr>
                <w:rFonts w:hint="eastAsia" w:ascii="宋体" w:hAnsi="宋体" w:eastAsia="宋体" w:cs="宋体"/>
                <w:color w:val="auto"/>
                <w:sz w:val="21"/>
                <w:szCs w:val="21"/>
                <w:highlight w:val="none"/>
              </w:rPr>
            </w:pPr>
          </w:p>
        </w:tc>
        <w:tc>
          <w:tcPr>
            <w:tcW w:w="800" w:type="pct"/>
            <w:vAlign w:val="center"/>
          </w:tcPr>
          <w:p w14:paraId="59930AFD">
            <w:pPr>
              <w:pStyle w:val="44"/>
              <w:rPr>
                <w:rFonts w:hint="eastAsia" w:ascii="宋体" w:hAnsi="宋体" w:eastAsia="宋体" w:cs="宋体"/>
                <w:color w:val="auto"/>
                <w:sz w:val="21"/>
                <w:szCs w:val="21"/>
                <w:highlight w:val="none"/>
              </w:rPr>
            </w:pPr>
          </w:p>
        </w:tc>
      </w:tr>
      <w:tr w14:paraId="7193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459" w:type="pct"/>
            <w:vMerge w:val="continue"/>
            <w:vAlign w:val="center"/>
          </w:tcPr>
          <w:p w14:paraId="62336E52">
            <w:pPr>
              <w:pStyle w:val="44"/>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16595CC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2004" w:type="pct"/>
            <w:vAlign w:val="center"/>
          </w:tcPr>
          <w:p w14:paraId="48AA2DE0">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36694946">
            <w:pPr>
              <w:pStyle w:val="44"/>
              <w:rPr>
                <w:rFonts w:hint="eastAsia" w:ascii="宋体" w:hAnsi="宋体" w:eastAsia="宋体" w:cs="宋体"/>
                <w:color w:val="auto"/>
                <w:sz w:val="21"/>
                <w:szCs w:val="21"/>
                <w:highlight w:val="none"/>
                <w:lang w:eastAsia="zh-CN"/>
              </w:rPr>
            </w:pPr>
          </w:p>
        </w:tc>
        <w:tc>
          <w:tcPr>
            <w:tcW w:w="800" w:type="pct"/>
            <w:vAlign w:val="center"/>
          </w:tcPr>
          <w:p w14:paraId="0B2064AA">
            <w:pPr>
              <w:pStyle w:val="44"/>
              <w:rPr>
                <w:rFonts w:hint="eastAsia" w:ascii="宋体" w:hAnsi="宋体" w:eastAsia="宋体" w:cs="宋体"/>
                <w:color w:val="auto"/>
                <w:sz w:val="21"/>
                <w:szCs w:val="21"/>
                <w:highlight w:val="none"/>
                <w:lang w:eastAsia="zh-CN"/>
              </w:rPr>
            </w:pPr>
          </w:p>
        </w:tc>
      </w:tr>
      <w:tr w14:paraId="41D6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459" w:type="pct"/>
            <w:vMerge w:val="continue"/>
            <w:vAlign w:val="center"/>
          </w:tcPr>
          <w:p w14:paraId="271BA664">
            <w:pPr>
              <w:pStyle w:val="44"/>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23875990">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4" w:type="pct"/>
            <w:vAlign w:val="center"/>
          </w:tcPr>
          <w:p w14:paraId="057CBCEF">
            <w:pPr>
              <w:pStyle w:val="44"/>
              <w:jc w:val="center"/>
              <w:rPr>
                <w:rFonts w:hint="eastAsia" w:ascii="宋体" w:hAnsi="宋体" w:eastAsia="宋体" w:cs="宋体"/>
                <w:color w:val="auto"/>
                <w:sz w:val="21"/>
                <w:szCs w:val="21"/>
                <w:highlight w:val="none"/>
              </w:rPr>
            </w:pPr>
          </w:p>
        </w:tc>
        <w:tc>
          <w:tcPr>
            <w:tcW w:w="798" w:type="pct"/>
            <w:vAlign w:val="center"/>
          </w:tcPr>
          <w:p w14:paraId="001C1B46">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0" w:type="pct"/>
            <w:vAlign w:val="center"/>
          </w:tcPr>
          <w:p w14:paraId="391A0E4E">
            <w:pPr>
              <w:pStyle w:val="44"/>
              <w:rPr>
                <w:rFonts w:hint="eastAsia" w:ascii="宋体" w:hAnsi="宋体" w:eastAsia="宋体" w:cs="宋体"/>
                <w:color w:val="auto"/>
                <w:sz w:val="21"/>
                <w:szCs w:val="21"/>
                <w:highlight w:val="none"/>
              </w:rPr>
            </w:pPr>
          </w:p>
        </w:tc>
      </w:tr>
      <w:tr w14:paraId="51A0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459" w:type="pct"/>
            <w:vMerge w:val="restart"/>
            <w:vAlign w:val="center"/>
          </w:tcPr>
          <w:p w14:paraId="3C5A6CF4">
            <w:pPr>
              <w:pStyle w:val="44"/>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w:t>
            </w:r>
            <w:r>
              <w:rPr>
                <w:rFonts w:hint="eastAsia" w:cs="宋体"/>
                <w:color w:val="auto"/>
                <w:sz w:val="21"/>
                <w:szCs w:val="21"/>
                <w:highlight w:val="none"/>
                <w:lang w:val="en-US" w:eastAsia="zh-CN"/>
              </w:rPr>
              <w:t>评审</w:t>
            </w:r>
          </w:p>
        </w:tc>
        <w:tc>
          <w:tcPr>
            <w:tcW w:w="937" w:type="pct"/>
            <w:tcBorders>
              <w:top w:val="single" w:color="auto" w:sz="4" w:space="0"/>
            </w:tcBorders>
            <w:vAlign w:val="center"/>
          </w:tcPr>
          <w:p w14:paraId="1ECFDBB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2004" w:type="pct"/>
            <w:vAlign w:val="center"/>
          </w:tcPr>
          <w:p w14:paraId="35C961A9">
            <w:pPr>
              <w:pStyle w:val="44"/>
              <w:jc w:val="center"/>
              <w:rPr>
                <w:rFonts w:hint="eastAsia" w:ascii="宋体" w:hAnsi="宋体" w:eastAsia="宋体" w:cs="宋体"/>
                <w:color w:val="auto"/>
                <w:sz w:val="21"/>
                <w:szCs w:val="21"/>
                <w:highlight w:val="none"/>
              </w:rPr>
            </w:pPr>
          </w:p>
        </w:tc>
        <w:tc>
          <w:tcPr>
            <w:tcW w:w="798" w:type="pct"/>
            <w:vAlign w:val="center"/>
          </w:tcPr>
          <w:p w14:paraId="5050357A">
            <w:pPr>
              <w:pStyle w:val="44"/>
              <w:rPr>
                <w:rFonts w:hint="eastAsia" w:ascii="宋体" w:hAnsi="宋体" w:eastAsia="宋体" w:cs="宋体"/>
                <w:color w:val="auto"/>
                <w:sz w:val="21"/>
                <w:szCs w:val="21"/>
                <w:highlight w:val="none"/>
              </w:rPr>
            </w:pPr>
          </w:p>
        </w:tc>
        <w:tc>
          <w:tcPr>
            <w:tcW w:w="800" w:type="pct"/>
            <w:vAlign w:val="center"/>
          </w:tcPr>
          <w:p w14:paraId="1BEE6E54">
            <w:pPr>
              <w:pStyle w:val="44"/>
              <w:rPr>
                <w:rFonts w:hint="eastAsia" w:ascii="宋体" w:hAnsi="宋体" w:eastAsia="宋体" w:cs="宋体"/>
                <w:color w:val="auto"/>
                <w:sz w:val="21"/>
                <w:szCs w:val="21"/>
                <w:highlight w:val="none"/>
              </w:rPr>
            </w:pPr>
          </w:p>
        </w:tc>
      </w:tr>
      <w:tr w14:paraId="4615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3" w:hRule="atLeast"/>
          <w:jc w:val="center"/>
        </w:trPr>
        <w:tc>
          <w:tcPr>
            <w:tcW w:w="459" w:type="pct"/>
            <w:vMerge w:val="continue"/>
            <w:vAlign w:val="center"/>
          </w:tcPr>
          <w:p w14:paraId="24E10105">
            <w:pPr>
              <w:pStyle w:val="44"/>
              <w:jc w:val="center"/>
              <w:rPr>
                <w:rFonts w:hint="eastAsia" w:ascii="宋体" w:hAnsi="宋体" w:eastAsia="宋体" w:cs="宋体"/>
                <w:color w:val="auto"/>
                <w:sz w:val="21"/>
                <w:szCs w:val="21"/>
                <w:highlight w:val="none"/>
              </w:rPr>
            </w:pPr>
          </w:p>
        </w:tc>
        <w:tc>
          <w:tcPr>
            <w:tcW w:w="937" w:type="pct"/>
            <w:vAlign w:val="center"/>
          </w:tcPr>
          <w:p w14:paraId="69144E03">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2004" w:type="pct"/>
            <w:vAlign w:val="center"/>
          </w:tcPr>
          <w:p w14:paraId="7922AA03">
            <w:pPr>
              <w:pStyle w:val="44"/>
              <w:jc w:val="center"/>
              <w:rPr>
                <w:rFonts w:hint="eastAsia" w:ascii="宋体" w:hAnsi="宋体" w:eastAsia="宋体" w:cs="宋体"/>
                <w:color w:val="auto"/>
                <w:sz w:val="21"/>
                <w:szCs w:val="21"/>
                <w:highlight w:val="none"/>
              </w:rPr>
            </w:pPr>
          </w:p>
        </w:tc>
        <w:tc>
          <w:tcPr>
            <w:tcW w:w="798" w:type="pct"/>
            <w:vAlign w:val="center"/>
          </w:tcPr>
          <w:p w14:paraId="08F1C419">
            <w:pPr>
              <w:pStyle w:val="44"/>
              <w:rPr>
                <w:rFonts w:hint="eastAsia" w:ascii="宋体" w:hAnsi="宋体" w:eastAsia="宋体" w:cs="宋体"/>
                <w:color w:val="auto"/>
                <w:sz w:val="21"/>
                <w:szCs w:val="21"/>
                <w:highlight w:val="none"/>
              </w:rPr>
            </w:pPr>
          </w:p>
        </w:tc>
        <w:tc>
          <w:tcPr>
            <w:tcW w:w="800" w:type="pct"/>
            <w:vAlign w:val="center"/>
          </w:tcPr>
          <w:p w14:paraId="1EC325AD">
            <w:pPr>
              <w:pStyle w:val="44"/>
              <w:rPr>
                <w:rFonts w:hint="eastAsia" w:ascii="宋体" w:hAnsi="宋体" w:eastAsia="宋体" w:cs="宋体"/>
                <w:color w:val="auto"/>
                <w:sz w:val="21"/>
                <w:szCs w:val="21"/>
                <w:highlight w:val="none"/>
              </w:rPr>
            </w:pPr>
          </w:p>
        </w:tc>
      </w:tr>
      <w:tr w14:paraId="702D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459" w:type="pct"/>
            <w:vMerge w:val="continue"/>
            <w:vAlign w:val="center"/>
          </w:tcPr>
          <w:p w14:paraId="6BC81CA5">
            <w:pPr>
              <w:pStyle w:val="44"/>
              <w:jc w:val="center"/>
              <w:rPr>
                <w:rFonts w:hint="eastAsia" w:ascii="宋体" w:hAnsi="宋体" w:eastAsia="宋体" w:cs="宋体"/>
                <w:color w:val="auto"/>
                <w:sz w:val="21"/>
                <w:szCs w:val="21"/>
                <w:highlight w:val="none"/>
              </w:rPr>
            </w:pPr>
          </w:p>
        </w:tc>
        <w:tc>
          <w:tcPr>
            <w:tcW w:w="937" w:type="pct"/>
            <w:vAlign w:val="center"/>
          </w:tcPr>
          <w:p w14:paraId="4FF5A0D7">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2004" w:type="pct"/>
            <w:vAlign w:val="center"/>
          </w:tcPr>
          <w:p w14:paraId="124035BA">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012BAC0B">
            <w:pPr>
              <w:pStyle w:val="44"/>
              <w:rPr>
                <w:rFonts w:hint="eastAsia" w:ascii="宋体" w:hAnsi="宋体" w:eastAsia="宋体" w:cs="宋体"/>
                <w:color w:val="auto"/>
                <w:sz w:val="21"/>
                <w:szCs w:val="21"/>
                <w:highlight w:val="none"/>
                <w:lang w:val="en-US" w:eastAsia="zh-CN"/>
              </w:rPr>
            </w:pPr>
          </w:p>
        </w:tc>
        <w:tc>
          <w:tcPr>
            <w:tcW w:w="800" w:type="pct"/>
            <w:vAlign w:val="center"/>
          </w:tcPr>
          <w:p w14:paraId="21214EE3">
            <w:pPr>
              <w:pStyle w:val="44"/>
              <w:rPr>
                <w:rFonts w:hint="eastAsia" w:ascii="宋体" w:hAnsi="宋体" w:eastAsia="宋体" w:cs="宋体"/>
                <w:color w:val="auto"/>
                <w:sz w:val="21"/>
                <w:szCs w:val="21"/>
                <w:highlight w:val="none"/>
                <w:lang w:val="en-US" w:eastAsia="zh-CN"/>
              </w:rPr>
            </w:pPr>
          </w:p>
        </w:tc>
      </w:tr>
      <w:tr w14:paraId="76E7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459" w:type="pct"/>
            <w:vMerge w:val="continue"/>
            <w:vAlign w:val="center"/>
          </w:tcPr>
          <w:p w14:paraId="0520050F">
            <w:pPr>
              <w:pStyle w:val="44"/>
              <w:jc w:val="center"/>
              <w:rPr>
                <w:rFonts w:hint="eastAsia" w:ascii="宋体" w:hAnsi="宋体" w:eastAsia="宋体" w:cs="宋体"/>
                <w:color w:val="auto"/>
                <w:sz w:val="21"/>
                <w:szCs w:val="21"/>
                <w:highlight w:val="none"/>
              </w:rPr>
            </w:pPr>
          </w:p>
        </w:tc>
        <w:tc>
          <w:tcPr>
            <w:tcW w:w="937" w:type="pct"/>
            <w:vAlign w:val="center"/>
          </w:tcPr>
          <w:p w14:paraId="4009041A">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2004" w:type="pct"/>
            <w:vAlign w:val="center"/>
          </w:tcPr>
          <w:p w14:paraId="56908100">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17119387">
            <w:pPr>
              <w:pStyle w:val="44"/>
              <w:rPr>
                <w:rFonts w:hint="eastAsia" w:ascii="宋体" w:hAnsi="宋体" w:eastAsia="宋体" w:cs="宋体"/>
                <w:color w:val="auto"/>
                <w:sz w:val="21"/>
                <w:szCs w:val="21"/>
                <w:highlight w:val="none"/>
                <w:lang w:val="en-US" w:eastAsia="zh-CN"/>
              </w:rPr>
            </w:pPr>
          </w:p>
        </w:tc>
        <w:tc>
          <w:tcPr>
            <w:tcW w:w="800" w:type="pct"/>
            <w:vAlign w:val="center"/>
          </w:tcPr>
          <w:p w14:paraId="746C3C62">
            <w:pPr>
              <w:pStyle w:val="44"/>
              <w:rPr>
                <w:rFonts w:hint="eastAsia" w:ascii="宋体" w:hAnsi="宋体" w:eastAsia="宋体" w:cs="宋体"/>
                <w:color w:val="auto"/>
                <w:sz w:val="21"/>
                <w:szCs w:val="21"/>
                <w:highlight w:val="none"/>
                <w:lang w:val="en-US" w:eastAsia="zh-CN"/>
              </w:rPr>
            </w:pPr>
          </w:p>
        </w:tc>
      </w:tr>
      <w:tr w14:paraId="5AAF6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459" w:type="pct"/>
            <w:vMerge w:val="continue"/>
            <w:vAlign w:val="center"/>
          </w:tcPr>
          <w:p w14:paraId="737773BC">
            <w:pPr>
              <w:pStyle w:val="44"/>
              <w:jc w:val="center"/>
              <w:rPr>
                <w:rFonts w:hint="eastAsia" w:ascii="宋体" w:hAnsi="宋体" w:eastAsia="宋体" w:cs="宋体"/>
                <w:color w:val="auto"/>
                <w:sz w:val="21"/>
                <w:szCs w:val="21"/>
                <w:highlight w:val="none"/>
              </w:rPr>
            </w:pPr>
          </w:p>
        </w:tc>
        <w:tc>
          <w:tcPr>
            <w:tcW w:w="937" w:type="pct"/>
            <w:vAlign w:val="center"/>
          </w:tcPr>
          <w:p w14:paraId="733B408C">
            <w:pPr>
              <w:pStyle w:val="44"/>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创新、节能、环境标志产品</w:t>
            </w:r>
          </w:p>
        </w:tc>
        <w:tc>
          <w:tcPr>
            <w:tcW w:w="2004" w:type="pct"/>
            <w:vAlign w:val="center"/>
          </w:tcPr>
          <w:p w14:paraId="4B3A3686">
            <w:pPr>
              <w:pStyle w:val="44"/>
              <w:jc w:val="center"/>
              <w:rPr>
                <w:rFonts w:hint="eastAsia" w:ascii="宋体" w:hAnsi="宋体" w:eastAsia="宋体" w:cs="宋体"/>
                <w:color w:val="auto"/>
                <w:sz w:val="21"/>
                <w:szCs w:val="21"/>
                <w:highlight w:val="none"/>
                <w:lang w:val="en-US" w:eastAsia="zh-CN"/>
              </w:rPr>
            </w:pPr>
          </w:p>
        </w:tc>
        <w:tc>
          <w:tcPr>
            <w:tcW w:w="798" w:type="pct"/>
            <w:vAlign w:val="center"/>
          </w:tcPr>
          <w:p w14:paraId="5D5BAFC6">
            <w:pPr>
              <w:pStyle w:val="44"/>
              <w:rPr>
                <w:rFonts w:hint="eastAsia" w:ascii="宋体" w:hAnsi="宋体" w:eastAsia="宋体" w:cs="宋体"/>
                <w:color w:val="auto"/>
                <w:sz w:val="21"/>
                <w:szCs w:val="21"/>
                <w:highlight w:val="none"/>
                <w:lang w:val="en-US" w:eastAsia="zh-CN"/>
              </w:rPr>
            </w:pPr>
          </w:p>
        </w:tc>
        <w:tc>
          <w:tcPr>
            <w:tcW w:w="800" w:type="pct"/>
            <w:vAlign w:val="center"/>
          </w:tcPr>
          <w:p w14:paraId="214C9964">
            <w:pPr>
              <w:pStyle w:val="44"/>
              <w:rPr>
                <w:rFonts w:hint="eastAsia" w:ascii="宋体" w:hAnsi="宋体" w:eastAsia="宋体" w:cs="宋体"/>
                <w:color w:val="auto"/>
                <w:sz w:val="21"/>
                <w:szCs w:val="21"/>
                <w:highlight w:val="none"/>
                <w:lang w:val="en-US" w:eastAsia="zh-CN"/>
              </w:rPr>
            </w:pPr>
          </w:p>
        </w:tc>
      </w:tr>
      <w:tr w14:paraId="56C7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59" w:type="pct"/>
            <w:vMerge w:val="continue"/>
            <w:vAlign w:val="center"/>
          </w:tcPr>
          <w:p w14:paraId="6BF4A29C">
            <w:pPr>
              <w:pStyle w:val="44"/>
              <w:jc w:val="center"/>
              <w:rPr>
                <w:rFonts w:hint="eastAsia" w:ascii="宋体" w:hAnsi="宋体" w:eastAsia="宋体" w:cs="宋体"/>
                <w:color w:val="auto"/>
                <w:sz w:val="21"/>
                <w:szCs w:val="21"/>
                <w:highlight w:val="none"/>
              </w:rPr>
            </w:pPr>
          </w:p>
        </w:tc>
        <w:tc>
          <w:tcPr>
            <w:tcW w:w="937" w:type="pct"/>
            <w:tcBorders>
              <w:top w:val="single" w:color="auto" w:sz="4" w:space="0"/>
              <w:bottom w:val="single" w:color="auto" w:sz="4" w:space="0"/>
            </w:tcBorders>
            <w:vAlign w:val="center"/>
          </w:tcPr>
          <w:p w14:paraId="5417D7F6">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4" w:type="pct"/>
            <w:vAlign w:val="center"/>
          </w:tcPr>
          <w:p w14:paraId="458346B8">
            <w:pPr>
              <w:pStyle w:val="44"/>
              <w:jc w:val="center"/>
              <w:rPr>
                <w:rFonts w:hint="eastAsia" w:ascii="宋体" w:hAnsi="宋体" w:eastAsia="宋体" w:cs="宋体"/>
                <w:color w:val="auto"/>
                <w:sz w:val="21"/>
                <w:szCs w:val="21"/>
                <w:highlight w:val="none"/>
              </w:rPr>
            </w:pPr>
          </w:p>
        </w:tc>
        <w:tc>
          <w:tcPr>
            <w:tcW w:w="798" w:type="pct"/>
            <w:vAlign w:val="center"/>
          </w:tcPr>
          <w:p w14:paraId="5757178D">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0" w:type="pct"/>
            <w:vAlign w:val="center"/>
          </w:tcPr>
          <w:p w14:paraId="252A10B9">
            <w:pPr>
              <w:pStyle w:val="44"/>
              <w:rPr>
                <w:rFonts w:hint="eastAsia" w:ascii="宋体" w:hAnsi="宋体" w:eastAsia="宋体" w:cs="宋体"/>
                <w:color w:val="auto"/>
                <w:sz w:val="21"/>
                <w:szCs w:val="21"/>
                <w:highlight w:val="none"/>
              </w:rPr>
            </w:pPr>
          </w:p>
        </w:tc>
      </w:tr>
      <w:tr w14:paraId="106A4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3401" w:type="pct"/>
            <w:gridSpan w:val="3"/>
            <w:vAlign w:val="center"/>
          </w:tcPr>
          <w:p w14:paraId="584FE2D2">
            <w:pPr>
              <w:pStyle w:val="4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评审结果</w:t>
            </w:r>
          </w:p>
        </w:tc>
        <w:tc>
          <w:tcPr>
            <w:tcW w:w="798" w:type="pct"/>
            <w:vAlign w:val="center"/>
          </w:tcPr>
          <w:p w14:paraId="5010D6DA">
            <w:pPr>
              <w:pStyle w:val="44"/>
              <w:rPr>
                <w:rFonts w:hint="eastAsia" w:ascii="宋体" w:hAnsi="宋体" w:eastAsia="宋体" w:cs="宋体"/>
                <w:color w:val="auto"/>
                <w:sz w:val="21"/>
                <w:szCs w:val="21"/>
                <w:highlight w:val="none"/>
              </w:rPr>
            </w:pPr>
          </w:p>
        </w:tc>
        <w:tc>
          <w:tcPr>
            <w:tcW w:w="800" w:type="pct"/>
            <w:vAlign w:val="center"/>
          </w:tcPr>
          <w:p w14:paraId="5CF73AE9">
            <w:pPr>
              <w:pStyle w:val="44"/>
              <w:rPr>
                <w:rFonts w:hint="eastAsia" w:ascii="宋体" w:hAnsi="宋体" w:eastAsia="宋体" w:cs="宋体"/>
                <w:color w:val="auto"/>
                <w:sz w:val="21"/>
                <w:szCs w:val="21"/>
                <w:highlight w:val="none"/>
              </w:rPr>
            </w:pPr>
          </w:p>
        </w:tc>
      </w:tr>
    </w:tbl>
    <w:p w14:paraId="12B23B4E">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报价评审</w:t>
      </w:r>
    </w:p>
    <w:tbl>
      <w:tblPr>
        <w:tblStyle w:val="27"/>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161"/>
        <w:gridCol w:w="6062"/>
      </w:tblGrid>
      <w:tr w14:paraId="4294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397" w:type="pct"/>
            <w:gridSpan w:val="2"/>
            <w:shd w:val="clear" w:color="auto" w:fill="auto"/>
            <w:vAlign w:val="center"/>
          </w:tcPr>
          <w:p w14:paraId="461B3465">
            <w:pPr>
              <w:pStyle w:val="44"/>
              <w:jc w:val="center"/>
              <w:rPr>
                <w:rFonts w:hint="default" w:ascii="宋体" w:hAnsi="宋体" w:eastAsia="宋体" w:cs="宋体"/>
                <w:b/>
                <w:bCs/>
                <w:color w:val="auto"/>
                <w:kern w:val="2"/>
                <w:sz w:val="21"/>
                <w:szCs w:val="21"/>
                <w:highlight w:val="none"/>
                <w:lang w:val="en-US" w:eastAsia="zh-CN" w:bidi="ar-SA"/>
              </w:rPr>
            </w:pPr>
            <w:r>
              <w:rPr>
                <w:rFonts w:hint="eastAsia" w:cs="宋体"/>
                <w:b/>
                <w:bCs/>
                <w:color w:val="auto"/>
                <w:kern w:val="2"/>
                <w:sz w:val="21"/>
                <w:szCs w:val="21"/>
                <w:highlight w:val="none"/>
                <w:lang w:val="en-US" w:eastAsia="zh-CN" w:bidi="ar-SA"/>
              </w:rPr>
              <w:t>评审项目</w:t>
            </w:r>
          </w:p>
        </w:tc>
        <w:tc>
          <w:tcPr>
            <w:tcW w:w="3602" w:type="pct"/>
            <w:shd w:val="clear" w:color="auto" w:fill="auto"/>
            <w:vAlign w:val="center"/>
          </w:tcPr>
          <w:p w14:paraId="7189BDF0">
            <w:pPr>
              <w:pStyle w:val="44"/>
              <w:jc w:val="center"/>
              <w:rPr>
                <w:rFonts w:hint="eastAsia" w:ascii="宋体" w:hAnsi="宋体" w:eastAsia="宋体" w:cs="宋体"/>
                <w:color w:val="auto"/>
                <w:kern w:val="2"/>
                <w:sz w:val="21"/>
                <w:szCs w:val="21"/>
                <w:highlight w:val="none"/>
                <w:lang w:val="en-US" w:eastAsia="zh-CN" w:bidi="ar-SA"/>
              </w:rPr>
            </w:pPr>
            <w:r>
              <w:rPr>
                <w:rFonts w:hint="eastAsia" w:cs="宋体"/>
                <w:b/>
                <w:bCs/>
                <w:color w:val="auto"/>
                <w:sz w:val="21"/>
                <w:szCs w:val="21"/>
                <w:highlight w:val="none"/>
                <w:lang w:val="en-US" w:eastAsia="zh-CN"/>
              </w:rPr>
              <w:t>评审标准及要求</w:t>
            </w:r>
          </w:p>
        </w:tc>
      </w:tr>
      <w:tr w14:paraId="374E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707" w:type="pct"/>
            <w:shd w:val="clear" w:color="auto" w:fill="auto"/>
            <w:vAlign w:val="center"/>
          </w:tcPr>
          <w:p w14:paraId="0163FD9C">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价格</w:t>
            </w:r>
            <w:r>
              <w:rPr>
                <w:rFonts w:hint="eastAsia" w:cs="宋体"/>
                <w:color w:val="auto"/>
                <w:sz w:val="21"/>
                <w:szCs w:val="21"/>
                <w:highlight w:val="none"/>
                <w:lang w:val="en-US" w:eastAsia="zh-CN"/>
              </w:rPr>
              <w:t>评审</w:t>
            </w:r>
          </w:p>
        </w:tc>
        <w:tc>
          <w:tcPr>
            <w:tcW w:w="689" w:type="pct"/>
            <w:tcBorders>
              <w:top w:val="single" w:color="auto" w:sz="4" w:space="0"/>
            </w:tcBorders>
            <w:shd w:val="clear" w:color="auto" w:fill="auto"/>
            <w:vAlign w:val="center"/>
          </w:tcPr>
          <w:p w14:paraId="42B70C88">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p>
        </w:tc>
        <w:tc>
          <w:tcPr>
            <w:tcW w:w="3602" w:type="pct"/>
            <w:shd w:val="clear" w:color="auto" w:fill="auto"/>
            <w:vAlign w:val="center"/>
          </w:tcPr>
          <w:p w14:paraId="747D8086">
            <w:pPr>
              <w:pStyle w:val="44"/>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满足竞争性</w:t>
            </w:r>
            <w:r>
              <w:rPr>
                <w:rFonts w:hint="eastAsia" w:cs="宋体"/>
                <w:color w:val="auto"/>
                <w:sz w:val="21"/>
                <w:szCs w:val="21"/>
                <w:highlight w:val="none"/>
                <w:lang w:val="en-US" w:eastAsia="zh-CN"/>
              </w:rPr>
              <w:t>谈判</w:t>
            </w:r>
            <w:r>
              <w:rPr>
                <w:rFonts w:hint="eastAsia" w:ascii="宋体" w:hAnsi="宋体" w:eastAsia="宋体" w:cs="宋体"/>
                <w:color w:val="auto"/>
                <w:sz w:val="21"/>
                <w:szCs w:val="21"/>
                <w:highlight w:val="none"/>
              </w:rPr>
              <w:t>文件要求</w:t>
            </w:r>
            <w:r>
              <w:rPr>
                <w:rFonts w:hint="eastAsia" w:cs="宋体"/>
                <w:color w:val="auto"/>
                <w:sz w:val="21"/>
                <w:szCs w:val="21"/>
                <w:highlight w:val="none"/>
                <w:lang w:val="en-US" w:eastAsia="zh-CN"/>
              </w:rPr>
              <w:t>的供应商按</w:t>
            </w:r>
            <w:r>
              <w:rPr>
                <w:rFonts w:hint="eastAsia" w:ascii="宋体" w:hAnsi="宋体" w:eastAsia="宋体" w:cs="宋体"/>
                <w:color w:val="auto"/>
                <w:sz w:val="21"/>
                <w:szCs w:val="21"/>
                <w:highlight w:val="none"/>
                <w:lang w:val="en-US" w:eastAsia="zh-CN"/>
              </w:rPr>
              <w:t>最后</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zh-CN"/>
              </w:rPr>
              <w:t>由低到高顺序排列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报价相同</w:t>
            </w:r>
            <w:r>
              <w:rPr>
                <w:rFonts w:hint="eastAsia" w:cs="宋体"/>
                <w:color w:val="auto"/>
                <w:sz w:val="21"/>
                <w:szCs w:val="21"/>
                <w:highlight w:val="none"/>
                <w:lang w:val="en-US" w:eastAsia="zh-CN"/>
              </w:rPr>
              <w:t>并列的</w:t>
            </w:r>
            <w:r>
              <w:rPr>
                <w:rFonts w:hint="eastAsia" w:ascii="宋体" w:hAnsi="宋体" w:eastAsia="宋体" w:cs="宋体"/>
                <w:color w:val="auto"/>
                <w:sz w:val="21"/>
                <w:szCs w:val="21"/>
                <w:highlight w:val="none"/>
                <w:lang w:val="en-US" w:eastAsia="zh-CN"/>
              </w:rPr>
              <w:t>按照“供应商须知前附表”的规定排序。</w:t>
            </w:r>
          </w:p>
          <w:p w14:paraId="29CEECA4">
            <w:pPr>
              <w:pStyle w:val="44"/>
              <w:rPr>
                <w:rFonts w:hint="eastAsia" w:ascii="宋体" w:hAnsi="宋体" w:eastAsia="宋体" w:cs="宋体"/>
                <w:color w:val="auto"/>
                <w:sz w:val="21"/>
                <w:szCs w:val="21"/>
                <w:highlight w:val="none"/>
              </w:rPr>
            </w:pPr>
          </w:p>
          <w:p w14:paraId="24BC5FEC">
            <w:pPr>
              <w:pStyle w:val="44"/>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备注：符合供应商须知中价格扣除规定的，在评审时予以价格扣除，用扣除后的</w:t>
            </w:r>
            <w:r>
              <w:rPr>
                <w:rFonts w:hint="eastAsia" w:ascii="宋体" w:hAnsi="宋体" w:eastAsia="宋体" w:cs="宋体"/>
                <w:color w:val="auto"/>
                <w:sz w:val="21"/>
                <w:szCs w:val="21"/>
                <w:highlight w:val="none"/>
                <w:lang w:val="en-US" w:eastAsia="zh-CN"/>
              </w:rPr>
              <w:t>最后报价</w:t>
            </w:r>
            <w:r>
              <w:rPr>
                <w:rFonts w:hint="eastAsia" w:ascii="宋体" w:hAnsi="宋体" w:eastAsia="宋体" w:cs="宋体"/>
                <w:color w:val="auto"/>
                <w:sz w:val="21"/>
                <w:szCs w:val="21"/>
                <w:highlight w:val="none"/>
              </w:rPr>
              <w:t>参与评审。</w:t>
            </w:r>
          </w:p>
        </w:tc>
      </w:tr>
    </w:tbl>
    <w:p w14:paraId="59EC86DB">
      <w:pPr>
        <w:rPr>
          <w:rFonts w:hint="eastAsia"/>
          <w:color w:val="auto"/>
          <w:highlight w:val="none"/>
          <w:lang w:val="en-US" w:eastAsia="zh-CN"/>
        </w:rPr>
      </w:pPr>
    </w:p>
    <w:p w14:paraId="35D02736">
      <w:pPr>
        <w:pStyle w:val="2"/>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2419524B">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503" w:name="_Toc6370"/>
      <w:bookmarkStart w:id="504" w:name="_Toc23125"/>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503"/>
      <w:bookmarkEnd w:id="504"/>
    </w:p>
    <w:p w14:paraId="0F73DEB3">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51E629DD">
      <w:pPr>
        <w:wordWrap w:val="0"/>
        <w:rPr>
          <w:bCs/>
          <w:color w:val="auto"/>
          <w:sz w:val="28"/>
          <w:szCs w:val="28"/>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53FD5DE">
      <w:pPr>
        <w:pStyle w:val="11"/>
        <w:spacing w:after="0"/>
        <w:jc w:val="center"/>
        <w:rPr>
          <w:rFonts w:ascii="宋体" w:hAnsi="宋体" w:cs="宋体"/>
          <w:b/>
          <w:bCs/>
          <w:color w:val="auto"/>
          <w:spacing w:val="-20"/>
          <w:kern w:val="44"/>
          <w:sz w:val="48"/>
          <w:szCs w:val="48"/>
          <w:highlight w:val="none"/>
        </w:rPr>
      </w:pPr>
      <w:bookmarkStart w:id="505" w:name="_Toc3995"/>
    </w:p>
    <w:p w14:paraId="4DD54709">
      <w:pPr>
        <w:pStyle w:val="11"/>
        <w:spacing w:after="0"/>
        <w:jc w:val="center"/>
        <w:rPr>
          <w:rFonts w:ascii="宋体" w:hAnsi="宋体" w:cs="宋体"/>
          <w:b/>
          <w:bCs/>
          <w:color w:val="auto"/>
          <w:spacing w:val="-20"/>
          <w:kern w:val="44"/>
          <w:sz w:val="48"/>
          <w:szCs w:val="48"/>
          <w:highlight w:val="none"/>
        </w:rPr>
      </w:pPr>
    </w:p>
    <w:p w14:paraId="1471AFF4">
      <w:pPr>
        <w:pStyle w:val="11"/>
        <w:spacing w:after="0"/>
        <w:jc w:val="center"/>
        <w:rPr>
          <w:rFonts w:ascii="宋体" w:hAnsi="宋体" w:cs="宋体"/>
          <w:b/>
          <w:bCs/>
          <w:color w:val="auto"/>
          <w:spacing w:val="-20"/>
          <w:kern w:val="44"/>
          <w:sz w:val="48"/>
          <w:szCs w:val="48"/>
          <w:highlight w:val="none"/>
        </w:rPr>
      </w:pPr>
    </w:p>
    <w:p w14:paraId="71BEC943">
      <w:pPr>
        <w:pStyle w:val="11"/>
        <w:spacing w:after="0"/>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w:t>
      </w:r>
      <w:r>
        <w:rPr>
          <w:rFonts w:hint="eastAsia" w:ascii="宋体" w:hAnsi="宋体" w:eastAsia="宋体" w:cs="宋体"/>
          <w:b/>
          <w:bCs/>
          <w:color w:val="auto"/>
          <w:spacing w:val="-20"/>
          <w:kern w:val="44"/>
          <w:sz w:val="44"/>
          <w:szCs w:val="44"/>
          <w:highlight w:val="none"/>
          <w:lang w:eastAsia="zh-CN"/>
        </w:rPr>
        <w:t>货物买卖</w:t>
      </w:r>
      <w:r>
        <w:rPr>
          <w:rFonts w:hint="eastAsia" w:ascii="宋体" w:hAnsi="宋体" w:eastAsia="宋体" w:cs="宋体"/>
          <w:b/>
          <w:bCs/>
          <w:color w:val="auto"/>
          <w:spacing w:val="-20"/>
          <w:kern w:val="44"/>
          <w:sz w:val="44"/>
          <w:szCs w:val="44"/>
          <w:highlight w:val="none"/>
        </w:rPr>
        <w:t>合同</w:t>
      </w:r>
    </w:p>
    <w:p w14:paraId="2D8DEEA6">
      <w:pPr>
        <w:pStyle w:val="11"/>
        <w:spacing w:after="0"/>
        <w:jc w:val="center"/>
        <w:rPr>
          <w:rFonts w:hint="eastAsia" w:ascii="宋体" w:hAnsi="宋体" w:eastAsia="宋体" w:cs="宋体"/>
          <w:b/>
          <w:bCs/>
          <w:color w:val="auto"/>
          <w:spacing w:val="-20"/>
          <w:kern w:val="44"/>
          <w:sz w:val="44"/>
          <w:szCs w:val="44"/>
          <w:highlight w:val="none"/>
          <w:lang w:eastAsia="zh-CN"/>
        </w:rPr>
      </w:pPr>
      <w:r>
        <w:rPr>
          <w:rFonts w:hint="eastAsia" w:ascii="宋体" w:hAnsi="宋体" w:eastAsia="宋体" w:cs="宋体"/>
          <w:b/>
          <w:bCs/>
          <w:color w:val="auto"/>
          <w:spacing w:val="-20"/>
          <w:kern w:val="44"/>
          <w:sz w:val="44"/>
          <w:szCs w:val="44"/>
          <w:highlight w:val="none"/>
          <w:lang w:eastAsia="zh-CN"/>
        </w:rPr>
        <w:t>（试行）</w:t>
      </w:r>
    </w:p>
    <w:p w14:paraId="6894012D">
      <w:pPr>
        <w:rPr>
          <w:rFonts w:ascii="宋体" w:hAnsi="宋体" w:cs="宋体"/>
          <w:b/>
          <w:bCs/>
          <w:color w:val="auto"/>
          <w:spacing w:val="-20"/>
          <w:kern w:val="44"/>
          <w:sz w:val="40"/>
          <w:szCs w:val="40"/>
          <w:highlight w:val="none"/>
        </w:rPr>
      </w:pPr>
    </w:p>
    <w:p w14:paraId="1F202B9E">
      <w:pPr>
        <w:rPr>
          <w:rFonts w:ascii="宋体" w:hAnsi="宋体" w:cs="宋体"/>
          <w:b/>
          <w:bCs/>
          <w:color w:val="auto"/>
          <w:spacing w:val="-20"/>
          <w:kern w:val="44"/>
          <w:sz w:val="40"/>
          <w:szCs w:val="40"/>
          <w:highlight w:val="none"/>
        </w:rPr>
      </w:pPr>
    </w:p>
    <w:p w14:paraId="081AFCCE">
      <w:pPr>
        <w:rPr>
          <w:rFonts w:ascii="宋体" w:hAnsi="宋体" w:cs="宋体"/>
          <w:b/>
          <w:bCs/>
          <w:color w:val="auto"/>
          <w:spacing w:val="-20"/>
          <w:kern w:val="44"/>
          <w:sz w:val="40"/>
          <w:szCs w:val="40"/>
          <w:highlight w:val="none"/>
        </w:rPr>
      </w:pPr>
    </w:p>
    <w:p w14:paraId="098EC355">
      <w:pPr>
        <w:spacing w:line="360" w:lineRule="auto"/>
        <w:ind w:left="480" w:leftChars="200"/>
        <w:rPr>
          <w:color w:val="auto"/>
          <w:sz w:val="36"/>
          <w:szCs w:val="36"/>
          <w:highlight w:val="none"/>
        </w:rPr>
      </w:pPr>
      <w:r>
        <w:rPr>
          <w:rFonts w:hint="eastAsia" w:ascii="宋体" w:hAnsi="宋体" w:cs="宋体"/>
          <w:color w:val="auto"/>
          <w:kern w:val="0"/>
          <w:sz w:val="36"/>
          <w:szCs w:val="36"/>
          <w:highlight w:val="none"/>
        </w:rPr>
        <w:t>项目名称：</w:t>
      </w:r>
      <w:r>
        <w:rPr>
          <w:rFonts w:hint="eastAsia"/>
          <w:color w:val="auto"/>
          <w:sz w:val="36"/>
          <w:szCs w:val="36"/>
          <w:highlight w:val="none"/>
          <w:u w:val="single"/>
        </w:rPr>
        <w:t xml:space="preserve">                             </w:t>
      </w:r>
    </w:p>
    <w:p w14:paraId="23CADBAB">
      <w:pPr>
        <w:spacing w:line="360" w:lineRule="auto"/>
        <w:ind w:left="480" w:leftChars="200"/>
        <w:rPr>
          <w:color w:val="auto"/>
          <w:sz w:val="36"/>
          <w:szCs w:val="36"/>
          <w:highlight w:val="none"/>
          <w:u w:val="single"/>
        </w:rPr>
      </w:pPr>
      <w:r>
        <w:rPr>
          <w:rFonts w:hint="eastAsia"/>
          <w:color w:val="auto"/>
          <w:sz w:val="36"/>
          <w:szCs w:val="36"/>
          <w:highlight w:val="none"/>
        </w:rPr>
        <w:t>合同编号：</w:t>
      </w:r>
      <w:r>
        <w:rPr>
          <w:rFonts w:hint="eastAsia"/>
          <w:color w:val="auto"/>
          <w:sz w:val="36"/>
          <w:szCs w:val="36"/>
          <w:highlight w:val="none"/>
          <w:u w:val="single"/>
        </w:rPr>
        <w:t xml:space="preserve">                             </w:t>
      </w:r>
    </w:p>
    <w:p w14:paraId="75ED7ACB">
      <w:pPr>
        <w:spacing w:line="360" w:lineRule="auto"/>
        <w:ind w:left="480" w:leftChars="200"/>
        <w:rPr>
          <w:color w:val="auto"/>
          <w:sz w:val="36"/>
          <w:szCs w:val="36"/>
          <w:highlight w:val="none"/>
        </w:rPr>
      </w:pPr>
      <w:r>
        <w:rPr>
          <w:rFonts w:hint="eastAsia"/>
          <w:color w:val="auto"/>
          <w:sz w:val="36"/>
          <w:szCs w:val="36"/>
          <w:highlight w:val="none"/>
        </w:rPr>
        <w:t>甲    方：</w:t>
      </w:r>
      <w:r>
        <w:rPr>
          <w:rFonts w:hint="eastAsia"/>
          <w:color w:val="auto"/>
          <w:sz w:val="36"/>
          <w:szCs w:val="36"/>
          <w:highlight w:val="none"/>
          <w:u w:val="single"/>
        </w:rPr>
        <w:t xml:space="preserve">                             </w:t>
      </w:r>
    </w:p>
    <w:p w14:paraId="773FB2EF">
      <w:pPr>
        <w:spacing w:line="360" w:lineRule="auto"/>
        <w:ind w:left="480" w:leftChars="200"/>
        <w:rPr>
          <w:color w:val="auto"/>
          <w:sz w:val="36"/>
          <w:szCs w:val="36"/>
          <w:highlight w:val="none"/>
          <w:u w:val="single"/>
        </w:rPr>
      </w:pPr>
      <w:r>
        <w:rPr>
          <w:rFonts w:hint="eastAsia"/>
          <w:color w:val="auto"/>
          <w:sz w:val="36"/>
          <w:szCs w:val="36"/>
          <w:highlight w:val="none"/>
        </w:rPr>
        <w:t>乙    方：</w:t>
      </w:r>
      <w:r>
        <w:rPr>
          <w:rFonts w:hint="eastAsia"/>
          <w:color w:val="auto"/>
          <w:sz w:val="36"/>
          <w:szCs w:val="36"/>
          <w:highlight w:val="none"/>
          <w:u w:val="single"/>
        </w:rPr>
        <w:t xml:space="preserve">                             </w:t>
      </w:r>
    </w:p>
    <w:p w14:paraId="2CBA5AAC">
      <w:pPr>
        <w:spacing w:line="360" w:lineRule="auto"/>
        <w:ind w:left="480" w:leftChars="200"/>
        <w:rPr>
          <w:color w:val="auto"/>
          <w:sz w:val="36"/>
          <w:szCs w:val="36"/>
          <w:highlight w:val="none"/>
        </w:rPr>
      </w:pPr>
      <w:r>
        <w:rPr>
          <w:rFonts w:hint="eastAsia"/>
          <w:color w:val="auto"/>
          <w:sz w:val="36"/>
          <w:szCs w:val="36"/>
          <w:highlight w:val="none"/>
        </w:rPr>
        <w:t>签订时间：</w:t>
      </w:r>
      <w:r>
        <w:rPr>
          <w:rFonts w:hint="eastAsia"/>
          <w:color w:val="auto"/>
          <w:sz w:val="36"/>
          <w:szCs w:val="36"/>
          <w:highlight w:val="none"/>
          <w:u w:val="single"/>
        </w:rPr>
        <w:t xml:space="preserve">      </w:t>
      </w:r>
      <w:r>
        <w:rPr>
          <w:color w:val="auto"/>
          <w:sz w:val="36"/>
          <w:szCs w:val="36"/>
          <w:highlight w:val="none"/>
          <w:u w:val="single"/>
        </w:rPr>
        <w:t xml:space="preserve">           </w:t>
      </w:r>
      <w:r>
        <w:rPr>
          <w:rFonts w:hint="eastAsia"/>
          <w:color w:val="auto"/>
          <w:sz w:val="36"/>
          <w:szCs w:val="36"/>
          <w:highlight w:val="none"/>
          <w:u w:val="single"/>
        </w:rPr>
        <w:t xml:space="preserve">            </w:t>
      </w:r>
    </w:p>
    <w:p w14:paraId="32D9847D">
      <w:pPr>
        <w:rPr>
          <w:color w:val="auto"/>
          <w:highlight w:val="none"/>
        </w:rPr>
      </w:pPr>
    </w:p>
    <w:p w14:paraId="6DC7E545">
      <w:pPr>
        <w:rPr>
          <w:rFonts w:eastAsia="黑体"/>
          <w:color w:val="auto"/>
          <w:sz w:val="44"/>
          <w:szCs w:val="44"/>
          <w:highlight w:val="none"/>
        </w:rPr>
      </w:pPr>
      <w:r>
        <w:rPr>
          <w:rFonts w:eastAsia="黑体"/>
          <w:color w:val="auto"/>
          <w:sz w:val="44"/>
          <w:szCs w:val="44"/>
          <w:highlight w:val="none"/>
        </w:rPr>
        <w:br w:type="page"/>
      </w:r>
    </w:p>
    <w:p w14:paraId="248E6903">
      <w:pPr>
        <w:rPr>
          <w:rFonts w:eastAsia="黑体"/>
          <w:color w:val="auto"/>
          <w:sz w:val="44"/>
          <w:szCs w:val="44"/>
          <w:highlight w:val="none"/>
        </w:rPr>
      </w:pPr>
    </w:p>
    <w:p w14:paraId="4A7C638C">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使</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用</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说</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明</w:t>
      </w:r>
    </w:p>
    <w:p w14:paraId="6B592E2F">
      <w:pPr>
        <w:ind w:firstLine="640" w:firstLineChars="200"/>
        <w:rPr>
          <w:rFonts w:hint="eastAsia" w:ascii="仿宋_GB2312" w:hAnsi="仿宋_GB2312" w:eastAsia="仿宋_GB2312" w:cs="仿宋_GB2312"/>
          <w:color w:val="auto"/>
          <w:sz w:val="32"/>
          <w:szCs w:val="32"/>
          <w:highlight w:val="none"/>
          <w:lang w:val="en-US" w:eastAsia="zh-CN"/>
        </w:rPr>
      </w:pPr>
    </w:p>
    <w:p w14:paraId="3CAECAF9">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1.本合同标准文本适用于购买现成货物的采购项目，不包括需要供应商定制开发、创新研发的货物采购项目。</w:t>
      </w:r>
    </w:p>
    <w:p w14:paraId="2627C031">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2.本合同标准文本为政府采购货物买卖合同编制提供参考，可以结合采购项目具体情况，对文本作必要的调整修订后使用。</w:t>
      </w:r>
    </w:p>
    <w:p w14:paraId="1C280F5C">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3.本合同标准文本各条款中，如涉及填写多家供应商、制造商，多种采购标的、分包主要内容等信息的，可根据采购项目具体情况添加信息项。</w:t>
      </w:r>
    </w:p>
    <w:p w14:paraId="442942D8">
      <w:pPr>
        <w:ind w:firstLine="560" w:firstLineChars="200"/>
        <w:rPr>
          <w:rFonts w:hint="eastAsia" w:ascii="宋体" w:hAnsi="宋体" w:eastAsia="宋体" w:cs="宋体"/>
          <w:color w:val="auto"/>
          <w:sz w:val="28"/>
          <w:szCs w:val="28"/>
          <w:highlight w:val="none"/>
          <w:lang w:val="en-US" w:eastAsia="zh-CN"/>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bookmarkEnd w:id="505"/>
    <w:p w14:paraId="3276BAC0">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506" w:name="_Toc22209"/>
      <w:bookmarkStart w:id="507" w:name="_Toc19596"/>
      <w:bookmarkStart w:id="508" w:name="_Toc22823"/>
      <w:r>
        <w:rPr>
          <w:rFonts w:hint="eastAsia" w:ascii="宋体" w:hAnsi="宋体" w:eastAsia="宋体" w:cs="宋体"/>
          <w:b/>
          <w:bCs/>
          <w:color w:val="auto"/>
          <w:sz w:val="36"/>
          <w:szCs w:val="36"/>
          <w:highlight w:val="none"/>
        </w:rPr>
        <w:t>第一节 政府采购合同协议书</w:t>
      </w:r>
      <w:bookmarkEnd w:id="506"/>
      <w:bookmarkEnd w:id="507"/>
      <w:bookmarkEnd w:id="508"/>
    </w:p>
    <w:p w14:paraId="65911421">
      <w:pPr>
        <w:pStyle w:val="3"/>
        <w:keepNext/>
        <w:keepLines/>
        <w:pageBreakBefore w:val="0"/>
        <w:widowControl w:val="0"/>
        <w:kinsoku/>
        <w:wordWrap/>
        <w:overflowPunct/>
        <w:topLinePunct w:val="0"/>
        <w:autoSpaceDE/>
        <w:autoSpaceDN/>
        <w:bidi w:val="0"/>
        <w:adjustRightInd w:val="0"/>
        <w:snapToGrid w:val="0"/>
        <w:spacing w:before="140" w:beforeLines="0" w:after="140" w:line="400" w:lineRule="exact"/>
        <w:jc w:val="center"/>
        <w:textAlignment w:val="auto"/>
        <w:rPr>
          <w:rFonts w:hint="eastAsia" w:ascii="黑体" w:hAnsi="华文中宋" w:eastAsia="黑体"/>
          <w:b w:val="0"/>
          <w:bCs w:val="0"/>
          <w:color w:val="auto"/>
          <w:sz w:val="28"/>
          <w:szCs w:val="28"/>
          <w:highlight w:val="none"/>
        </w:rPr>
      </w:pPr>
    </w:p>
    <w:p w14:paraId="7749E471">
      <w:pPr>
        <w:adjustRightInd w:val="0"/>
        <w:snapToGrid w:val="0"/>
        <w:spacing w:before="0" w:beforeLines="0" w:line="400" w:lineRule="exact"/>
        <w:ind w:left="4800" w:hanging="4200" w:hanging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p w14:paraId="5F8C6ADE">
      <w:pPr>
        <w:adjustRightInd w:val="0"/>
        <w:snapToGrid w:val="0"/>
        <w:spacing w:before="0"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w:t>
      </w:r>
    </w:p>
    <w:p w14:paraId="294172C4">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5F8DC28B">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7295A8B9">
      <w:pPr>
        <w:spacing w:beforeLines="0" w:line="400" w:lineRule="exact"/>
        <w:rPr>
          <w:rFonts w:hint="eastAsia" w:ascii="宋体" w:hAnsi="宋体" w:eastAsia="宋体" w:cs="宋体"/>
          <w:color w:val="auto"/>
          <w:sz w:val="21"/>
          <w:szCs w:val="21"/>
          <w:highlight w:val="none"/>
          <w:lang w:val="en-US" w:eastAsia="zh-CN"/>
        </w:rPr>
      </w:pPr>
    </w:p>
    <w:p w14:paraId="73AFFB38">
      <w:pPr>
        <w:pStyle w:val="12"/>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依据《中华人民共和国民法典》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《中华人民共和国政府采购法》等有关的法律法规，以及</w:t>
      </w:r>
      <w:r>
        <w:rPr>
          <w:rFonts w:hint="eastAsia" w:ascii="宋体" w:hAnsi="宋体" w:eastAsia="宋体" w:cs="宋体"/>
          <w:i w:val="0"/>
          <w:iCs w:val="0"/>
          <w:color w:val="auto"/>
          <w:sz w:val="21"/>
          <w:szCs w:val="21"/>
          <w:highlight w:val="none"/>
          <w:u w:val="none"/>
          <w:lang w:eastAsia="zh-CN"/>
        </w:rPr>
        <w:t>本采购项目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lang w:val="en-US" w:eastAsia="zh-CN"/>
        </w:rPr>
        <w:t>/</w:t>
      </w:r>
      <w:r>
        <w:rPr>
          <w:rFonts w:hint="eastAsia" w:eastAsia="宋体" w:cs="宋体"/>
          <w:color w:val="auto"/>
          <w:sz w:val="21"/>
          <w:szCs w:val="21"/>
          <w:highlight w:val="none"/>
          <w:lang w:val="en-US" w:eastAsia="zh-CN"/>
        </w:rPr>
        <w:t>谈判</w:t>
      </w:r>
      <w:r>
        <w:rPr>
          <w:rFonts w:hint="eastAsia" w:ascii="宋体" w:hAnsi="宋体" w:eastAsia="宋体" w:cs="宋体"/>
          <w:color w:val="auto"/>
          <w:sz w:val="21"/>
          <w:szCs w:val="21"/>
          <w:highlight w:val="none"/>
          <w:lang w:eastAsia="zh-CN"/>
        </w:rPr>
        <w:t>文件等</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乙方的《投标（响应）文件》及《中标（成交）通知书》，甲乙双方同意签订本合同。具体情况及要求如下：     </w:t>
      </w:r>
    </w:p>
    <w:p w14:paraId="2B03533E">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项目信息</w:t>
      </w:r>
    </w:p>
    <w:p w14:paraId="60DDE6F7">
      <w:pPr>
        <w:pStyle w:val="12"/>
        <w:numPr>
          <w:ilvl w:val="0"/>
          <w:numId w:val="2"/>
        </w:numPr>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p>
    <w:p w14:paraId="71185B53">
      <w:pPr>
        <w:pStyle w:val="12"/>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采购项目编号</w:t>
      </w:r>
      <w:r>
        <w:rPr>
          <w:rFonts w:hint="eastAsia" w:eastAsia="宋体" w:cs="宋体"/>
          <w:color w:val="auto"/>
          <w:sz w:val="21"/>
          <w:szCs w:val="21"/>
          <w:highlight w:val="none"/>
          <w:u w:val="none"/>
          <w:lang w:val="en-US" w:eastAsia="zh-CN"/>
        </w:rPr>
        <w:t>/包号</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p>
    <w:p w14:paraId="29C2DF94">
      <w:pPr>
        <w:pStyle w:val="12"/>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1F9161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（3）项目内容：</w:t>
      </w:r>
    </w:p>
    <w:p w14:paraId="19BD6A2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采购标的及数量</w:t>
      </w:r>
      <w:r>
        <w:rPr>
          <w:rFonts w:hint="eastAsia" w:ascii="宋体" w:hAnsi="宋体" w:eastAsia="宋体" w:cs="宋体"/>
          <w:color w:val="auto"/>
          <w:sz w:val="21"/>
          <w:szCs w:val="21"/>
          <w:highlight w:val="none"/>
          <w:lang w:val="en-US" w:eastAsia="zh-CN"/>
        </w:rPr>
        <w:t>（台/套</w:t>
      </w:r>
      <w:r>
        <w:rPr>
          <w:rFonts w:hint="eastAsia" w:ascii="宋体" w:hAnsi="宋体" w:eastAsia="宋体" w:cs="宋体"/>
          <w:color w:val="auto"/>
          <w:sz w:val="21"/>
          <w:szCs w:val="21"/>
          <w:highlight w:val="none"/>
          <w:lang w:val="en" w:eastAsia="zh-CN"/>
        </w:rPr>
        <w:t>/个/架/组等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2D253C95">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 w:eastAsia="zh-CN"/>
        </w:rPr>
        <w:t xml:space="preserve">     </w:t>
      </w:r>
      <w:r>
        <w:rPr>
          <w:rFonts w:hint="eastAsia" w:ascii="宋体" w:hAnsi="宋体" w:eastAsia="宋体" w:cs="宋体"/>
          <w:color w:val="auto"/>
          <w:sz w:val="21"/>
          <w:szCs w:val="21"/>
          <w:highlight w:val="none"/>
          <w:lang w:val="en-US" w:eastAsia="zh-CN"/>
        </w:rPr>
        <w:t>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p>
    <w:p w14:paraId="0A19BCBE">
      <w:pPr>
        <w:adjustRightInd w:val="0"/>
        <w:snapToGrid w:val="0"/>
        <w:spacing w:before="0" w:beforeLines="0" w:line="400" w:lineRule="exact"/>
        <w:ind w:firstLine="945" w:firstLineChars="4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采购标的的技术要求、商务要求具体见附件。</w:t>
      </w:r>
    </w:p>
    <w:p w14:paraId="1EE9A6FC">
      <w:pPr>
        <w:numPr>
          <w:ilvl w:val="-1"/>
          <w:numId w:val="0"/>
        </w:numPr>
        <w:adjustRightInd w:val="0"/>
        <w:snapToGrid w:val="0"/>
        <w:spacing w:before="0" w:beforeLines="0" w:line="400" w:lineRule="exact"/>
        <w:ind w:firstLine="945" w:firstLineChars="4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①涉及信息类产品，请填写该产品关键部件的品牌、型号：</w:t>
      </w:r>
    </w:p>
    <w:p w14:paraId="105F1076">
      <w:pPr>
        <w:numPr>
          <w:ilvl w:val="-1"/>
          <w:numId w:val="0"/>
        </w:numPr>
        <w:adjustRightInd w:val="0"/>
        <w:snapToGrid w:val="0"/>
        <w:spacing w:before="0" w:beforeLines="0" w:line="40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标的名称：</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36CCB7D0">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FD83092">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349841B">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5222B95">
      <w:pPr>
        <w:pStyle w:val="5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535AD96">
      <w:pPr>
        <w:pStyle w:val="51"/>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②涉及车辆采购，请填写是否属于新能源汽车：</w:t>
      </w:r>
    </w:p>
    <w:p w14:paraId="27BCD974">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p>
    <w:p w14:paraId="58C18C71">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3301B3DD">
      <w:pPr>
        <w:pStyle w:val="51"/>
        <w:numPr>
          <w:ilvl w:val="-1"/>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lang w:val="en" w:eastAsia="zh-CN"/>
        </w:rPr>
        <w:t>4</w:t>
      </w:r>
      <w:r>
        <w:rPr>
          <w:rFonts w:hint="eastAsia" w:ascii="宋体" w:hAnsi="宋体" w:eastAsia="宋体" w:cs="宋体"/>
          <w:iCs w:val="0"/>
          <w:color w:val="auto"/>
          <w:sz w:val="21"/>
          <w:szCs w:val="21"/>
          <w:highlight w:val="none"/>
          <w:lang w:val="en-US" w:eastAsia="zh-CN"/>
        </w:rPr>
        <w:t>）政府采购组织形式：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分散采购</w:t>
      </w:r>
    </w:p>
    <w:p w14:paraId="51033CAD">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w:t>
      </w:r>
      <w:r>
        <w:rPr>
          <w:rFonts w:hint="eastAsia" w:ascii="宋体" w:hAnsi="宋体" w:eastAsia="宋体" w:cs="宋体"/>
          <w:iCs w:val="0"/>
          <w:color w:val="auto"/>
          <w:sz w:val="21"/>
          <w:szCs w:val="21"/>
          <w:highlight w:val="none"/>
          <w:lang w:val="en" w:eastAsia="zh-CN"/>
        </w:rPr>
        <w:t>5</w:t>
      </w:r>
      <w:r>
        <w:rPr>
          <w:rFonts w:hint="eastAsia" w:ascii="宋体" w:hAnsi="宋体" w:eastAsia="宋体" w:cs="宋体"/>
          <w:iCs w:val="0"/>
          <w:color w:val="auto"/>
          <w:sz w:val="21"/>
          <w:szCs w:val="21"/>
          <w:highlight w:val="none"/>
          <w:lang w:val="en-US" w:eastAsia="zh-CN"/>
        </w:rPr>
        <w:t>）政府采购方式：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7B1D1C5B">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56B6728">
      <w:pPr>
        <w:pStyle w:val="51"/>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1636898B">
      <w:pPr>
        <w:pStyle w:val="51"/>
        <w:numPr>
          <w:ilvl w:val="-1"/>
          <w:numId w:val="0"/>
        </w:numPr>
        <w:adjustRightInd w:val="0"/>
        <w:snapToGrid w:val="0"/>
        <w:spacing w:before="0" w:beforeLines="0" w:line="400" w:lineRule="exact"/>
        <w:ind w:firstLine="210" w:firstLineChars="100"/>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w w:val="100"/>
          <w:kern w:val="2"/>
          <w:sz w:val="21"/>
          <w:szCs w:val="21"/>
          <w:highlight w:val="none"/>
          <w:lang w:val="en-US" w:eastAsia="zh-CN" w:bidi="ar-SA"/>
        </w:rPr>
        <w:t>中标（成交）采购标的制造商是否为中小企业：</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 xml:space="preserve">是      </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否</w:t>
      </w:r>
    </w:p>
    <w:p w14:paraId="61FB4A0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w w:val="100"/>
          <w:sz w:val="21"/>
          <w:szCs w:val="21"/>
          <w:highlight w:val="none"/>
          <w:lang w:val="en-US" w:eastAsia="zh-CN"/>
        </w:rPr>
        <w:t xml:space="preserve">         本合同</w:t>
      </w:r>
      <w:r>
        <w:rPr>
          <w:rFonts w:hint="eastAsia" w:ascii="宋体" w:hAnsi="宋体" w:eastAsia="宋体" w:cs="宋体"/>
          <w:color w:val="auto"/>
          <w:w w:val="100"/>
          <w:sz w:val="21"/>
          <w:szCs w:val="21"/>
          <w:highlight w:val="none"/>
        </w:rPr>
        <w:t>是否</w:t>
      </w:r>
      <w:r>
        <w:rPr>
          <w:rFonts w:hint="eastAsia" w:ascii="宋体" w:hAnsi="宋体" w:eastAsia="宋体" w:cs="宋体"/>
          <w:color w:val="auto"/>
          <w:w w:val="100"/>
          <w:sz w:val="21"/>
          <w:szCs w:val="21"/>
          <w:highlight w:val="none"/>
          <w:lang w:eastAsia="zh-CN"/>
        </w:rPr>
        <w:t>为专门面向</w:t>
      </w:r>
      <w:r>
        <w:rPr>
          <w:rFonts w:hint="eastAsia" w:ascii="宋体" w:hAnsi="宋体" w:eastAsia="宋体" w:cs="宋体"/>
          <w:color w:val="auto"/>
          <w:w w:val="100"/>
          <w:sz w:val="21"/>
          <w:szCs w:val="21"/>
          <w:highlight w:val="none"/>
        </w:rPr>
        <w:t>中小企业</w:t>
      </w:r>
      <w:r>
        <w:rPr>
          <w:rFonts w:hint="eastAsia" w:ascii="宋体" w:hAnsi="宋体" w:eastAsia="宋体" w:cs="宋体"/>
          <w:color w:val="auto"/>
          <w:w w:val="100"/>
          <w:sz w:val="21"/>
          <w:szCs w:val="21"/>
          <w:highlight w:val="none"/>
          <w:lang w:eastAsia="zh-CN"/>
        </w:rPr>
        <w:t>的采</w:t>
      </w:r>
      <w:r>
        <w:rPr>
          <w:rFonts w:hint="eastAsia" w:ascii="宋体" w:hAnsi="宋体" w:eastAsia="宋体" w:cs="宋体"/>
          <w:color w:val="auto"/>
          <w:w w:val="100"/>
          <w:sz w:val="21"/>
          <w:szCs w:val="21"/>
          <w:highlight w:val="none"/>
          <w:shd w:val="clear"/>
          <w:lang w:eastAsia="zh-CN"/>
        </w:rPr>
        <w:t>购</w:t>
      </w:r>
      <w:r>
        <w:rPr>
          <w:rFonts w:hint="eastAsia" w:ascii="宋体" w:hAnsi="宋体" w:eastAsia="宋体" w:cs="宋体"/>
          <w:color w:val="auto"/>
          <w:w w:val="100"/>
          <w:sz w:val="21"/>
          <w:szCs w:val="21"/>
          <w:highlight w:val="none"/>
          <w:shd w:val="clear"/>
        </w:rPr>
        <w:t>合同</w:t>
      </w:r>
      <w:r>
        <w:rPr>
          <w:rFonts w:hint="eastAsia" w:ascii="宋体" w:hAnsi="宋体" w:eastAsia="宋体" w:cs="宋体"/>
          <w:color w:val="auto"/>
          <w:w w:val="100"/>
          <w:sz w:val="21"/>
          <w:szCs w:val="21"/>
          <w:highlight w:val="none"/>
          <w:shd w:val="clear"/>
          <w:lang w:eastAsia="zh-CN"/>
        </w:rPr>
        <w:t>（中小企业预留合同）</w:t>
      </w:r>
      <w:r>
        <w:rPr>
          <w:rFonts w:hint="eastAsia" w:ascii="宋体" w:hAnsi="宋体" w:eastAsia="宋体" w:cs="宋体"/>
          <w:color w:val="auto"/>
          <w:sz w:val="21"/>
          <w:szCs w:val="21"/>
          <w:highlight w:val="none"/>
          <w:shd w:val="clear"/>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36EFF63">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若本项目不专门面向中小企业采购，是否给予小微企业评审优惠：</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29E43A75">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中标（成交）采购标的制造商是否为残疾人福利性单位：</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0B497E98">
      <w:pPr>
        <w:numPr>
          <w:ilvl w:val="0"/>
          <w:numId w:val="0"/>
        </w:numPr>
        <w:snapToGrid w:val="0"/>
        <w:spacing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中标（成交）采购标的制造商是否为监狱企业：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3BCD1D7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eastAsia="zh-CN"/>
        </w:rPr>
        <w:t>7</w:t>
      </w:r>
      <w:r>
        <w:rPr>
          <w:rFonts w:hint="eastAsia" w:ascii="宋体" w:hAnsi="宋体" w:eastAsia="宋体" w:cs="宋体"/>
          <w:color w:val="auto"/>
          <w:sz w:val="21"/>
          <w:szCs w:val="21"/>
          <w:highlight w:val="none"/>
        </w:rPr>
        <w:t>）合同是否分包：</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C603DB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分包主要内容：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2AEBBC">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（如供应商和制造商不同，请分别填写）</w:t>
      </w:r>
      <w:r>
        <w:rPr>
          <w:rFonts w:hint="eastAsia" w:ascii="宋体" w:hAnsi="宋体" w:eastAsia="宋体" w:cs="宋体"/>
          <w:color w:val="auto"/>
          <w:sz w:val="21"/>
          <w:szCs w:val="21"/>
          <w:highlight w:val="none"/>
        </w:rPr>
        <w:t>：</w:t>
      </w:r>
    </w:p>
    <w:p w14:paraId="7FA5EA47">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1F1D2B04">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类型</w:t>
      </w:r>
      <w:r>
        <w:rPr>
          <w:rFonts w:hint="eastAsia" w:ascii="宋体" w:hAnsi="宋体" w:eastAsia="宋体" w:cs="宋体"/>
          <w:color w:val="auto"/>
          <w:sz w:val="21"/>
          <w:szCs w:val="21"/>
          <w:highlight w:val="none"/>
          <w:lang w:eastAsia="zh-CN"/>
        </w:rPr>
        <w:t>（如果供应商和制造商不同，只填写制造商类型）</w:t>
      </w:r>
      <w:r>
        <w:rPr>
          <w:rFonts w:hint="eastAsia" w:ascii="宋体" w:hAnsi="宋体" w:eastAsia="宋体" w:cs="宋体"/>
          <w:color w:val="auto"/>
          <w:sz w:val="21"/>
          <w:szCs w:val="21"/>
          <w:highlight w:val="none"/>
        </w:rPr>
        <w:t>：</w:t>
      </w:r>
    </w:p>
    <w:p w14:paraId="180ED0E3">
      <w:pPr>
        <w:adjustRightInd w:val="0"/>
        <w:snapToGrid w:val="0"/>
        <w:spacing w:beforeLines="0" w:line="400" w:lineRule="exact"/>
        <w:ind w:firstLine="840" w:firstLineChars="40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大型企业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中型企业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小微型企业</w:t>
      </w:r>
      <w:r>
        <w:rPr>
          <w:rFonts w:hint="eastAsia" w:ascii="宋体" w:hAnsi="宋体" w:eastAsia="宋体" w:cs="宋体"/>
          <w:iCs/>
          <w:color w:val="auto"/>
          <w:sz w:val="21"/>
          <w:szCs w:val="21"/>
          <w:highlight w:val="none"/>
          <w:lang w:val="en-US" w:eastAsia="zh-CN"/>
        </w:rPr>
        <w:t xml:space="preserve">  </w:t>
      </w:r>
    </w:p>
    <w:p w14:paraId="18BF3496">
      <w:pPr>
        <w:adjustRightInd w:val="0"/>
        <w:snapToGrid w:val="0"/>
        <w:spacing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残疾人福利性单位</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监狱</w:t>
      </w:r>
      <w:r>
        <w:rPr>
          <w:rFonts w:hint="eastAsia" w:ascii="宋体" w:hAnsi="宋体" w:eastAsia="宋体" w:cs="宋体"/>
          <w:iCs/>
          <w:color w:val="auto"/>
          <w:sz w:val="21"/>
          <w:szCs w:val="21"/>
          <w:highlight w:val="none"/>
        </w:rPr>
        <w:t>企业</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p>
    <w:p w14:paraId="7F2E0B02">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 w:eastAsia="zh-CN"/>
        </w:rPr>
        <w:t>8</w:t>
      </w:r>
      <w:r>
        <w:rPr>
          <w:rFonts w:hint="eastAsia" w:ascii="宋体" w:hAnsi="宋体" w:eastAsia="宋体" w:cs="宋体"/>
          <w:color w:val="auto"/>
          <w:sz w:val="21"/>
          <w:szCs w:val="21"/>
          <w:highlight w:val="none"/>
          <w:u w:val="none"/>
          <w:lang w:val="en-US" w:eastAsia="zh-CN"/>
        </w:rPr>
        <w:t>）中标（成交）供应商是否为外商投资企业：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4ADA4F13">
      <w:pPr>
        <w:pStyle w:val="51"/>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678F9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158ED47C">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p>
    <w:p w14:paraId="3333668C">
      <w:pPr>
        <w:numPr>
          <w:ilvl w:val="-1"/>
          <w:numId w:val="0"/>
        </w:numPr>
        <w:adjustRightInd w:val="0"/>
        <w:snapToGrid w:val="0"/>
        <w:spacing w:before="0" w:beforeLines="0" w:line="400" w:lineRule="exact"/>
        <w:ind w:firstLine="840" w:firstLineChars="400"/>
        <w:rPr>
          <w:rFonts w:hint="eastAsia" w:ascii="宋体" w:hAnsi="宋体" w:eastAsia="宋体" w:cs="宋体"/>
          <w:iCs w:val="0"/>
          <w:color w:val="auto"/>
          <w:sz w:val="21"/>
          <w:szCs w:val="21"/>
          <w:highlight w:val="none"/>
        </w:rPr>
      </w:pPr>
      <w:r>
        <w:rPr>
          <w:rFonts w:hint="eastAsia" w:ascii="宋体" w:hAnsi="宋体" w:eastAsia="宋体" w:cs="宋体"/>
          <w:color w:val="auto"/>
          <w:sz w:val="21"/>
          <w:szCs w:val="21"/>
          <w:highlight w:val="none"/>
          <w:lang w:val="en-US" w:eastAsia="zh-CN"/>
        </w:rPr>
        <w:t xml:space="preserve">        国别：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rPr>
        <w:t xml:space="preserve">      </w:t>
      </w:r>
    </w:p>
    <w:p w14:paraId="2F868BE1">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29B3041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（1</w:t>
      </w:r>
      <w:r>
        <w:rPr>
          <w:rFonts w:hint="eastAsia" w:ascii="宋体" w:hAnsi="宋体" w:eastAsia="宋体" w:cs="宋体"/>
          <w:b w:val="0"/>
          <w:bCs w:val="0"/>
          <w:color w:val="auto"/>
          <w:sz w:val="21"/>
          <w:szCs w:val="21"/>
          <w:highlight w:val="none"/>
          <w:u w:val="none"/>
          <w:lang w:val="en" w:eastAsia="zh-CN"/>
        </w:rPr>
        <w:t>0</w:t>
      </w:r>
      <w:r>
        <w:rPr>
          <w:rFonts w:hint="eastAsia" w:ascii="宋体" w:hAnsi="宋体" w:eastAsia="宋体" w:cs="宋体"/>
          <w:b w:val="0"/>
          <w:bCs w:val="0"/>
          <w:color w:val="auto"/>
          <w:sz w:val="21"/>
          <w:szCs w:val="21"/>
          <w:highlight w:val="none"/>
          <w:u w:val="none"/>
          <w:lang w:val="en-US" w:eastAsia="zh-CN"/>
        </w:rPr>
        <w:t>）是否涉及节能产品：</w:t>
      </w:r>
    </w:p>
    <w:p w14:paraId="17BB28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49DC4FC8">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7165AD9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614F1EF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09E05CB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522F082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26D9199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76BB6FA7">
      <w:pPr>
        <w:pStyle w:val="51"/>
        <w:numPr>
          <w:ilvl w:val="-1"/>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1965CB32">
      <w:pPr>
        <w:pStyle w:val="51"/>
        <w:spacing w:beforeLines="0"/>
        <w:ind w:firstLine="420" w:firstLineChars="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 w:val="21"/>
          <w:szCs w:val="21"/>
          <w:highlight w:val="none"/>
          <w:u w:val="single"/>
          <w:lang w:val="en-US" w:eastAsia="zh-CN"/>
        </w:rPr>
        <w:t xml:space="preserve">         </w:t>
      </w:r>
    </w:p>
    <w:p w14:paraId="01D2B2B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57F0C3BA">
      <w:pPr>
        <w:pStyle w:val="51"/>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469A8CCD">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color w:val="auto"/>
          <w:sz w:val="21"/>
          <w:szCs w:val="21"/>
          <w:highlight w:val="none"/>
          <w:lang w:val="en" w:eastAsia="zh-CN"/>
        </w:rPr>
        <w:t>1</w:t>
      </w:r>
      <w:r>
        <w:rPr>
          <w:rFonts w:hint="eastAsia" w:ascii="宋体" w:hAnsi="宋体" w:eastAsia="宋体" w:cs="宋体"/>
          <w:color w:val="auto"/>
          <w:sz w:val="21"/>
          <w:szCs w:val="21"/>
          <w:highlight w:val="none"/>
          <w:lang w:val="en-US" w:eastAsia="zh-CN"/>
        </w:rPr>
        <w:t>）涉及商品包装和快递包装的，是否参考</w:t>
      </w:r>
      <w:r>
        <w:rPr>
          <w:rFonts w:hint="eastAsia" w:ascii="宋体" w:hAnsi="宋体" w:eastAsia="宋体" w:cs="宋体"/>
          <w:color w:val="auto"/>
          <w:sz w:val="21"/>
          <w:szCs w:val="21"/>
          <w:highlight w:val="none"/>
        </w:rPr>
        <w:t>《商品包装政府采购需求标准（试行）》、《快递包装政府采购需求标准（试行）》</w:t>
      </w:r>
      <w:r>
        <w:rPr>
          <w:rFonts w:hint="eastAsia" w:ascii="宋体" w:hAnsi="宋体" w:eastAsia="宋体" w:cs="宋体"/>
          <w:color w:val="auto"/>
          <w:sz w:val="21"/>
          <w:szCs w:val="21"/>
          <w:highlight w:val="none"/>
          <w:lang w:eastAsia="zh-CN"/>
        </w:rPr>
        <w:t>明确产品及相关快递服务的具体包装要求：</w:t>
      </w:r>
    </w:p>
    <w:p w14:paraId="31637B1F">
      <w:pPr>
        <w:numPr>
          <w:ilvl w:val="-1"/>
          <w:numId w:val="0"/>
        </w:numPr>
        <w:adjustRightInd w:val="0"/>
        <w:snapToGrid w:val="0"/>
        <w:spacing w:before="0" w:beforeLines="0" w:line="400" w:lineRule="exact"/>
        <w:ind w:firstLine="1050" w:firstLineChars="5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 xml:space="preserve">是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不涉及</w:t>
      </w:r>
    </w:p>
    <w:p w14:paraId="3F1BC9E3">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p w14:paraId="3AE20D2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（1）合同金额小写：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CD6FDFA">
      <w:pPr>
        <w:adjustRightInd w:val="0"/>
        <w:snapToGrid w:val="0"/>
        <w:spacing w:before="0" w:beforeLines="0" w:line="400" w:lineRule="exact"/>
        <w:ind w:left="0"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66BEAA">
      <w:p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分包金额</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p>
    <w:p w14:paraId="0C7CE46D">
      <w:pPr>
        <w:adjustRightInd w:val="0"/>
        <w:snapToGrid w:val="0"/>
        <w:spacing w:before="0" w:beforeLines="0"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F7459D6">
      <w:p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（注：固定单价合同应填写单价和最高限价）</w:t>
      </w:r>
    </w:p>
    <w:p w14:paraId="0CD632B1">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lang w:eastAsia="zh-CN"/>
        </w:rPr>
        <w:t>（采用组合定价方式的，可以勾选多项）</w:t>
      </w:r>
      <w:r>
        <w:rPr>
          <w:rFonts w:hint="eastAsia" w:ascii="宋体" w:hAnsi="宋体" w:eastAsia="宋体" w:cs="宋体"/>
          <w:color w:val="auto"/>
          <w:sz w:val="21"/>
          <w:szCs w:val="21"/>
          <w:highlight w:val="none"/>
        </w:rPr>
        <w:t>：</w:t>
      </w:r>
    </w:p>
    <w:p w14:paraId="1CCE239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固定总价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固定单价</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固定费率</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成本补偿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绩效激励</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r>
        <w:rPr>
          <w:rFonts w:hint="eastAsia" w:ascii="宋体" w:hAnsi="宋体" w:eastAsia="宋体" w:cs="宋体"/>
          <w:color w:val="auto"/>
          <w:sz w:val="21"/>
          <w:szCs w:val="21"/>
          <w:highlight w:val="none"/>
          <w:u w:val="single"/>
        </w:rPr>
        <w:t xml:space="preserve">       </w:t>
      </w:r>
    </w:p>
    <w:p w14:paraId="0F51C916">
      <w:pPr>
        <w:pStyle w:val="58"/>
        <w:spacing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）付款方式（按项目实际勾选填写）：</w:t>
      </w:r>
    </w:p>
    <w:p w14:paraId="684DBB0F">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全额付款：</w:t>
      </w:r>
      <w:r>
        <w:rPr>
          <w:rFonts w:hint="eastAsia" w:ascii="宋体" w:hAnsi="宋体" w:eastAsia="宋体" w:cs="宋体"/>
          <w:color w:val="auto"/>
          <w:sz w:val="21"/>
          <w:szCs w:val="21"/>
          <w:highlight w:val="none"/>
          <w:u w:val="single"/>
        </w:rPr>
        <w:t xml:space="preserve">     （应</w:t>
      </w:r>
      <w:r>
        <w:rPr>
          <w:rFonts w:hint="eastAsia" w:ascii="宋体" w:hAnsi="宋体" w:eastAsia="宋体" w:cs="宋体"/>
          <w:color w:val="auto"/>
          <w:sz w:val="21"/>
          <w:szCs w:val="21"/>
          <w:highlight w:val="none"/>
          <w:u w:val="single"/>
          <w:lang w:eastAsia="zh-CN"/>
        </w:rPr>
        <w:t>明确</w:t>
      </w:r>
      <w:r>
        <w:rPr>
          <w:rFonts w:hint="eastAsia" w:ascii="宋体" w:hAnsi="宋体" w:eastAsia="宋体" w:cs="宋体"/>
          <w:color w:val="auto"/>
          <w:sz w:val="21"/>
          <w:szCs w:val="21"/>
          <w:highlight w:val="none"/>
          <w:u w:val="single"/>
        </w:rPr>
        <w:t>一次性支付合同款项</w:t>
      </w:r>
      <w:r>
        <w:rPr>
          <w:rFonts w:hint="eastAsia" w:ascii="宋体" w:hAnsi="宋体" w:eastAsia="宋体" w:cs="宋体"/>
          <w:color w:val="auto"/>
          <w:sz w:val="21"/>
          <w:szCs w:val="21"/>
          <w:highlight w:val="none"/>
          <w:u w:val="single"/>
          <w:lang w:eastAsia="zh-CN"/>
        </w:rPr>
        <w:t>的条件</w:t>
      </w:r>
      <w:r>
        <w:rPr>
          <w:rFonts w:hint="eastAsia" w:ascii="宋体" w:hAnsi="宋体" w:eastAsia="宋体" w:cs="宋体"/>
          <w:color w:val="auto"/>
          <w:sz w:val="21"/>
          <w:szCs w:val="21"/>
          <w:highlight w:val="none"/>
          <w:u w:val="single"/>
        </w:rPr>
        <w:t xml:space="preserve">）                    </w:t>
      </w:r>
    </w:p>
    <w:p w14:paraId="07D32B87">
      <w:pPr>
        <w:snapToGrid w:val="0"/>
        <w:spacing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分期付款：</w:t>
      </w:r>
      <w:r>
        <w:rPr>
          <w:rFonts w:hint="eastAsia" w:ascii="宋体" w:hAnsi="宋体" w:eastAsia="宋体" w:cs="宋体"/>
          <w:color w:val="auto"/>
          <w:sz w:val="21"/>
          <w:szCs w:val="21"/>
          <w:highlight w:val="none"/>
          <w:u w:val="single"/>
        </w:rPr>
        <w:t xml:space="preserve">  （应明确分期支付合同款项的各期比例和支付条件</w:t>
      </w:r>
      <w:r>
        <w:rPr>
          <w:rFonts w:hint="eastAsia" w:ascii="宋体" w:hAnsi="宋体" w:eastAsia="宋体" w:cs="宋体"/>
          <w:color w:val="auto"/>
          <w:sz w:val="21"/>
          <w:szCs w:val="21"/>
          <w:highlight w:val="none"/>
          <w:u w:val="single"/>
          <w:lang w:eastAsia="zh-CN"/>
        </w:rPr>
        <w:t>，各期支付条件应与分期履约验收情况挂钩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其中涉及预付款的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（应明确预付款的支付比例和支付条件） </w:t>
      </w:r>
    </w:p>
    <w:p w14:paraId="0A1A7CCC">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成本补偿：</w:t>
      </w:r>
      <w:r>
        <w:rPr>
          <w:rFonts w:hint="eastAsia" w:ascii="宋体" w:hAnsi="宋体" w:eastAsia="宋体" w:cs="宋体"/>
          <w:color w:val="auto"/>
          <w:sz w:val="21"/>
          <w:szCs w:val="21"/>
          <w:highlight w:val="none"/>
          <w:u w:val="single"/>
        </w:rPr>
        <w:t xml:space="preserve">      （应明确按照成本补偿方式的支付方式和支付条件）   </w:t>
      </w:r>
    </w:p>
    <w:p w14:paraId="70461483">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r>
        <w:rPr>
          <w:rFonts w:hint="eastAsia" w:ascii="宋体" w:hAnsi="宋体" w:eastAsia="宋体" w:cs="宋体"/>
          <w:color w:val="auto"/>
          <w:sz w:val="21"/>
          <w:szCs w:val="21"/>
          <w:highlight w:val="none"/>
          <w:u w:val="single"/>
        </w:rPr>
        <w:t xml:space="preserve">      （应明确按照绩效激励方式的支付方式和支付条件）   </w:t>
      </w:r>
    </w:p>
    <w:p w14:paraId="6A27CDEB">
      <w:pPr>
        <w:numPr>
          <w:ilvl w:val="0"/>
          <w:numId w:val="1"/>
        </w:numPr>
        <w:adjustRightInd w:val="0"/>
        <w:snapToGrid w:val="0"/>
        <w:spacing w:before="0" w:beforeLines="0" w:line="400" w:lineRule="exact"/>
        <w:ind w:firstLine="422" w:firstLineChars="200"/>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合同履行</w:t>
      </w:r>
    </w:p>
    <w:p w14:paraId="7BB86A0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E8AF94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地点</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6037687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（3）履约担保：</w:t>
      </w:r>
      <w:r>
        <w:rPr>
          <w:rFonts w:hint="eastAsia" w:ascii="宋体" w:hAnsi="宋体" w:eastAsia="宋体" w:cs="宋体"/>
          <w:color w:val="auto"/>
          <w:sz w:val="21"/>
          <w:szCs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2F96A3FA">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765CCFFC">
      <w:pPr>
        <w:pStyle w:val="51"/>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54E6FED6">
      <w:pPr>
        <w:snapToGrid w:val="0"/>
        <w:spacing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履约担保期限</w:t>
      </w: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D28DC4A">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（4）分期履行要求：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67696B2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eastAsia="zh-CN"/>
        </w:rPr>
        <w:t>风险处置措施和替代方案</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08A769C1">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合同验收</w:t>
      </w:r>
    </w:p>
    <w:p w14:paraId="06898485">
      <w:pPr>
        <w:numPr>
          <w:ilvl w:val="0"/>
          <w:numId w:val="3"/>
        </w:num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委托第三方组织</w:t>
      </w:r>
    </w:p>
    <w:p w14:paraId="12679905">
      <w:pPr>
        <w:numPr>
          <w:ilvl w:val="0"/>
          <w:numId w:val="0"/>
        </w:numPr>
        <w:adjustRightInd w:val="0"/>
        <w:snapToGrid w:val="0"/>
        <w:spacing w:before="0" w:beforeLines="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验收主体：</w:t>
      </w:r>
      <w:r>
        <w:rPr>
          <w:rFonts w:hint="eastAsia" w:ascii="宋体" w:hAnsi="宋体" w:eastAsia="宋体" w:cs="宋体"/>
          <w:bCs/>
          <w:color w:val="auto"/>
          <w:sz w:val="21"/>
          <w:szCs w:val="21"/>
          <w:highlight w:val="none"/>
          <w:u w:val="single"/>
        </w:rPr>
        <w:t xml:space="preserve">                  </w:t>
      </w:r>
    </w:p>
    <w:p w14:paraId="0E278AF1">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是否邀请本项目的其他供应商</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B8CF6D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是否邀请专家</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3FE791D">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是否邀请服务对象</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12F90D6">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是否邀请第三方检测机构</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11CB732">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51EC1E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lang w:eastAsia="zh-CN"/>
        </w:rPr>
        <w:t>（应明确对被破坏的检测产品的处理方式）</w:t>
      </w:r>
    </w:p>
    <w:p w14:paraId="6F575199">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713A6911">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验收组织的其他事项：</w:t>
      </w:r>
      <w:r>
        <w:rPr>
          <w:rFonts w:hint="eastAsia" w:ascii="宋体" w:hAnsi="宋体" w:eastAsia="宋体" w:cs="宋体"/>
          <w:bCs/>
          <w:color w:val="auto"/>
          <w:sz w:val="21"/>
          <w:szCs w:val="21"/>
          <w:highlight w:val="none"/>
          <w:u w:val="single"/>
        </w:rPr>
        <w:t xml:space="preserve">                </w:t>
      </w:r>
    </w:p>
    <w:p w14:paraId="34F035F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（2）履约验收时间：</w:t>
      </w:r>
      <w:r>
        <w:rPr>
          <w:rFonts w:hint="eastAsia" w:ascii="宋体" w:hAnsi="宋体" w:eastAsia="宋体" w:cs="宋体"/>
          <w:bCs/>
          <w:color w:val="auto"/>
          <w:sz w:val="21"/>
          <w:szCs w:val="21"/>
          <w:highlight w:val="none"/>
          <w:u w:val="single"/>
        </w:rPr>
        <w:t>（计划于何时验收/供应商提出验收申请之日起   日内组织验收）</w:t>
      </w:r>
      <w:r>
        <w:rPr>
          <w:rFonts w:hint="eastAsia" w:ascii="宋体" w:hAnsi="宋体" w:eastAsia="宋体" w:cs="宋体"/>
          <w:bCs/>
          <w:color w:val="auto"/>
          <w:sz w:val="21"/>
          <w:szCs w:val="21"/>
          <w:highlight w:val="none"/>
          <w:u w:val="single"/>
          <w:lang w:val="en-US" w:eastAsia="zh-CN"/>
        </w:rPr>
        <w:t xml:space="preserve"> </w:t>
      </w:r>
    </w:p>
    <w:p w14:paraId="7AAAB0F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一次性验收         </w:t>
      </w:r>
    </w:p>
    <w:p w14:paraId="730E481A">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分期/分项验收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（应明确分期</w:t>
      </w:r>
      <w:r>
        <w:rPr>
          <w:rFonts w:hint="eastAsia" w:ascii="宋体" w:hAnsi="宋体" w:eastAsia="宋体" w:cs="宋体"/>
          <w:bCs/>
          <w:color w:val="auto"/>
          <w:sz w:val="21"/>
          <w:szCs w:val="21"/>
          <w:highlight w:val="none"/>
          <w:u w:val="single"/>
          <w:lang w:val="en" w:eastAsia="zh-CN"/>
        </w:rPr>
        <w:t>/分项验收的工作安排</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p>
    <w:p w14:paraId="5FED00E5">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（4）履约验收程序：</w:t>
      </w:r>
      <w:r>
        <w:rPr>
          <w:rFonts w:hint="eastAsia" w:ascii="宋体" w:hAnsi="宋体" w:eastAsia="宋体" w:cs="宋体"/>
          <w:bCs/>
          <w:color w:val="auto"/>
          <w:sz w:val="21"/>
          <w:szCs w:val="21"/>
          <w:highlight w:val="none"/>
          <w:u w:val="single"/>
        </w:rPr>
        <w:t xml:space="preserve">                                         </w:t>
      </w:r>
    </w:p>
    <w:p w14:paraId="1036A9B1">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（5）履约验收的内容：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1"/>
          <w:szCs w:val="21"/>
          <w:highlight w:val="none"/>
          <w:u w:val="single"/>
        </w:rPr>
        <w:t xml:space="preserve">                                      </w:t>
      </w:r>
    </w:p>
    <w:p w14:paraId="004A39A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（6）履约验收标准：</w:t>
      </w:r>
      <w:r>
        <w:rPr>
          <w:rFonts w:hint="eastAsia" w:ascii="宋体" w:hAnsi="宋体" w:eastAsia="宋体" w:cs="宋体"/>
          <w:bCs/>
          <w:color w:val="auto"/>
          <w:sz w:val="21"/>
          <w:szCs w:val="21"/>
          <w:highlight w:val="none"/>
          <w:u w:val="single"/>
        </w:rPr>
        <w:t xml:space="preserve">                                         </w:t>
      </w:r>
    </w:p>
    <w:p w14:paraId="09FF201C">
      <w:pPr>
        <w:pStyle w:val="51"/>
        <w:spacing w:beforeLine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6B31070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（8）履约验收其他事项：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rPr>
        <w:t>（产权过户登记等）</w:t>
      </w:r>
      <w:r>
        <w:rPr>
          <w:rFonts w:hint="eastAsia" w:ascii="宋体" w:hAnsi="宋体" w:eastAsia="宋体" w:cs="宋体"/>
          <w:bCs/>
          <w:color w:val="auto"/>
          <w:sz w:val="21"/>
          <w:szCs w:val="21"/>
          <w:highlight w:val="none"/>
          <w:u w:val="single"/>
        </w:rPr>
        <w:t xml:space="preserve">          </w:t>
      </w:r>
    </w:p>
    <w:p w14:paraId="12D12B78">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组成合同的文件</w:t>
      </w:r>
    </w:p>
    <w:p w14:paraId="64351A2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本协议书与下列文件一起构成合同文件，如下述文件之间有任何抵触、矛盾或歧义，应按以下顺序解释：</w:t>
      </w:r>
    </w:p>
    <w:p w14:paraId="68D4877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44E38EF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）政府采购合同专用条款</w:t>
      </w:r>
    </w:p>
    <w:p w14:paraId="7E1D83E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）政府采购合同通用条款</w:t>
      </w:r>
    </w:p>
    <w:p w14:paraId="7FF12C16">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A560505">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）投标（响应）文件</w:t>
      </w:r>
    </w:p>
    <w:p w14:paraId="04975BD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（6）采购文件</w:t>
      </w:r>
    </w:p>
    <w:p w14:paraId="7372A09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（7）有关技术文件，图纸</w:t>
      </w:r>
    </w:p>
    <w:p w14:paraId="6712BEBD">
      <w:pPr>
        <w:pStyle w:val="51"/>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26F77EB9">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合同生效</w:t>
      </w:r>
    </w:p>
    <w:p w14:paraId="488CA610">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15F85FF4">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合同份数</w:t>
      </w:r>
    </w:p>
    <w:p w14:paraId="18997E3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w:t>
      </w:r>
    </w:p>
    <w:p w14:paraId="0629D40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F0FD02">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合同订立地点：</w:t>
      </w:r>
      <w:r>
        <w:rPr>
          <w:rFonts w:hint="eastAsia" w:ascii="宋体" w:hAnsi="宋体" w:eastAsia="宋体" w:cs="宋体"/>
          <w:color w:val="auto"/>
          <w:sz w:val="21"/>
          <w:szCs w:val="21"/>
          <w:highlight w:val="none"/>
          <w:u w:val="single"/>
        </w:rPr>
        <w:t xml:space="preserve">                           </w:t>
      </w:r>
    </w:p>
    <w:p w14:paraId="7CA5673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附件：具体标</w:t>
      </w:r>
      <w:r>
        <w:rPr>
          <w:rFonts w:hint="eastAsia" w:ascii="宋体" w:hAnsi="宋体" w:eastAsia="宋体" w:cs="宋体"/>
          <w:color w:val="auto"/>
          <w:sz w:val="21"/>
          <w:szCs w:val="21"/>
          <w:highlight w:val="none"/>
          <w:lang w:eastAsia="zh-CN"/>
        </w:rPr>
        <w:t>的及其</w:t>
      </w:r>
      <w:r>
        <w:rPr>
          <w:rFonts w:hint="eastAsia" w:ascii="宋体" w:hAnsi="宋体" w:eastAsia="宋体" w:cs="宋体"/>
          <w:color w:val="auto"/>
          <w:sz w:val="21"/>
          <w:szCs w:val="21"/>
          <w:highlight w:val="none"/>
          <w:u w:val="none"/>
          <w:lang w:val="en-US" w:eastAsia="zh-CN"/>
        </w:rPr>
        <w:t>技术要求和商务要求</w:t>
      </w:r>
      <w:r>
        <w:rPr>
          <w:rFonts w:hint="eastAsia" w:ascii="宋体" w:hAnsi="宋体" w:eastAsia="宋体" w:cs="宋体"/>
          <w:color w:val="auto"/>
          <w:sz w:val="21"/>
          <w:szCs w:val="21"/>
          <w:highlight w:val="none"/>
        </w:rPr>
        <w:t>、联合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等。</w:t>
      </w:r>
    </w:p>
    <w:p w14:paraId="0D129071">
      <w:pPr>
        <w:pStyle w:val="58"/>
        <w:rPr>
          <w:rFonts w:hint="eastAsia" w:ascii="宋体" w:hAnsi="宋体" w:eastAsia="宋体" w:cs="宋体"/>
          <w:color w:val="auto"/>
          <w:sz w:val="21"/>
          <w:szCs w:val="21"/>
          <w:highlight w:val="none"/>
        </w:rPr>
      </w:pPr>
    </w:p>
    <w:p w14:paraId="5CEC79C0">
      <w:pPr>
        <w:pStyle w:val="58"/>
        <w:rPr>
          <w:rFonts w:hint="eastAsia" w:ascii="宋体" w:hAnsi="宋体" w:eastAsia="宋体" w:cs="宋体"/>
          <w:color w:val="auto"/>
          <w:sz w:val="21"/>
          <w:szCs w:val="21"/>
          <w:highlight w:val="none"/>
        </w:rPr>
      </w:pPr>
    </w:p>
    <w:p w14:paraId="4FAD25FD">
      <w:pPr>
        <w:pStyle w:val="58"/>
        <w:rPr>
          <w:rFonts w:hint="eastAsia" w:ascii="宋体" w:hAnsi="宋体" w:eastAsia="宋体" w:cs="宋体"/>
          <w:color w:val="auto"/>
          <w:sz w:val="21"/>
          <w:szCs w:val="21"/>
          <w:highlight w:val="none"/>
        </w:rPr>
      </w:pPr>
    </w:p>
    <w:p w14:paraId="10A85BCA">
      <w:pPr>
        <w:pStyle w:val="58"/>
        <w:rPr>
          <w:rFonts w:hint="eastAsia" w:ascii="宋体" w:hAnsi="宋体" w:eastAsia="宋体" w:cs="宋体"/>
          <w:color w:val="auto"/>
          <w:sz w:val="21"/>
          <w:szCs w:val="21"/>
          <w:highlight w:val="none"/>
        </w:rPr>
      </w:pPr>
    </w:p>
    <w:p w14:paraId="75233267">
      <w:pPr>
        <w:pStyle w:val="58"/>
        <w:rPr>
          <w:rFonts w:hint="eastAsia" w:ascii="宋体" w:hAnsi="宋体" w:eastAsia="宋体" w:cs="宋体"/>
          <w:color w:val="auto"/>
          <w:sz w:val="21"/>
          <w:szCs w:val="21"/>
          <w:highlight w:val="none"/>
        </w:rPr>
      </w:pPr>
    </w:p>
    <w:p w14:paraId="5409D989">
      <w:pPr>
        <w:pStyle w:val="58"/>
        <w:rPr>
          <w:rFonts w:hint="eastAsia" w:ascii="宋体" w:hAnsi="宋体" w:eastAsia="宋体" w:cs="宋体"/>
          <w:color w:val="auto"/>
          <w:sz w:val="21"/>
          <w:szCs w:val="21"/>
          <w:highlight w:val="none"/>
        </w:rPr>
      </w:pPr>
    </w:p>
    <w:p w14:paraId="15B355E6">
      <w:pPr>
        <w:pStyle w:val="58"/>
        <w:rPr>
          <w:rFonts w:hint="eastAsia" w:ascii="宋体" w:hAnsi="宋体" w:eastAsia="宋体" w:cs="宋体"/>
          <w:color w:val="auto"/>
          <w:sz w:val="21"/>
          <w:szCs w:val="21"/>
          <w:highlight w:val="none"/>
        </w:rPr>
      </w:pPr>
    </w:p>
    <w:p w14:paraId="1287727F">
      <w:pPr>
        <w:pStyle w:val="58"/>
        <w:rPr>
          <w:rFonts w:hint="eastAsia" w:ascii="宋体" w:hAnsi="宋体" w:eastAsia="宋体" w:cs="宋体"/>
          <w:color w:val="auto"/>
          <w:sz w:val="21"/>
          <w:szCs w:val="21"/>
          <w:highlight w:val="none"/>
        </w:rPr>
      </w:pPr>
    </w:p>
    <w:tbl>
      <w:tblPr>
        <w:tblStyle w:val="27"/>
        <w:tblW w:w="4868" w:type="pct"/>
        <w:tblInd w:w="10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5"/>
        <w:gridCol w:w="2053"/>
        <w:gridCol w:w="1978"/>
        <w:gridCol w:w="2121"/>
      </w:tblGrid>
      <w:tr w14:paraId="30EEA2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30" w:type="pct"/>
            <w:gridSpan w:val="2"/>
            <w:tcBorders>
              <w:bottom w:val="single" w:color="auto" w:sz="2" w:space="0"/>
              <w:right w:val="single" w:color="auto" w:sz="2" w:space="0"/>
            </w:tcBorders>
            <w:vAlign w:val="center"/>
          </w:tcPr>
          <w:p w14:paraId="122EEEC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tc>
        <w:tc>
          <w:tcPr>
            <w:tcW w:w="2469" w:type="pct"/>
            <w:gridSpan w:val="2"/>
            <w:tcBorders>
              <w:left w:val="single" w:color="auto" w:sz="2" w:space="0"/>
              <w:bottom w:val="single" w:color="auto" w:sz="2" w:space="0"/>
            </w:tcBorders>
            <w:vAlign w:val="center"/>
          </w:tcPr>
          <w:p w14:paraId="1ADB6644">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3D34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93" w:type="pct"/>
            <w:tcBorders>
              <w:top w:val="single" w:color="auto" w:sz="2" w:space="0"/>
              <w:bottom w:val="single" w:color="auto" w:sz="2" w:space="0"/>
              <w:right w:val="single" w:color="auto" w:sz="2" w:space="0"/>
            </w:tcBorders>
            <w:vAlign w:val="center"/>
          </w:tcPr>
          <w:p w14:paraId="2893D5B0">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36" w:type="pct"/>
            <w:tcBorders>
              <w:top w:val="single" w:color="auto" w:sz="2" w:space="0"/>
              <w:left w:val="single" w:color="auto" w:sz="2" w:space="0"/>
              <w:bottom w:val="single" w:color="auto" w:sz="2" w:space="0"/>
              <w:right w:val="single" w:color="auto" w:sz="2" w:space="0"/>
            </w:tcBorders>
            <w:vAlign w:val="center"/>
          </w:tcPr>
          <w:p w14:paraId="55E33E36">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CD156F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77" w:type="pct"/>
            <w:tcBorders>
              <w:top w:val="single" w:color="auto" w:sz="2" w:space="0"/>
              <w:left w:val="single" w:color="auto" w:sz="2" w:space="0"/>
              <w:bottom w:val="single" w:color="auto" w:sz="2" w:space="0"/>
            </w:tcBorders>
            <w:vAlign w:val="center"/>
          </w:tcPr>
          <w:p w14:paraId="33BA3691">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AF34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93" w:type="pct"/>
            <w:vMerge w:val="restart"/>
            <w:tcBorders>
              <w:top w:val="single" w:color="auto" w:sz="2" w:space="0"/>
              <w:right w:val="single" w:color="auto" w:sz="2" w:space="0"/>
            </w:tcBorders>
            <w:vAlign w:val="center"/>
          </w:tcPr>
          <w:p w14:paraId="36476D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13B8614E">
            <w:pPr>
              <w:adjustRightInd w:val="0"/>
              <w:snapToGrid w:val="0"/>
              <w:spacing w:line="300" w:lineRule="exact"/>
              <w:ind w:firstLine="100" w:firstLine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36" w:type="pct"/>
            <w:vMerge w:val="restart"/>
            <w:tcBorders>
              <w:top w:val="single" w:color="auto" w:sz="2" w:space="0"/>
              <w:left w:val="single" w:color="auto" w:sz="2" w:space="0"/>
              <w:right w:val="single" w:color="auto" w:sz="2" w:space="0"/>
            </w:tcBorders>
            <w:vAlign w:val="center"/>
          </w:tcPr>
          <w:p w14:paraId="1898CF89">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right w:val="single" w:color="auto" w:sz="2" w:space="0"/>
            </w:tcBorders>
            <w:vAlign w:val="center"/>
          </w:tcPr>
          <w:p w14:paraId="5838F6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7DCF0669">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77" w:type="pct"/>
            <w:tcBorders>
              <w:top w:val="single" w:color="auto" w:sz="2" w:space="0"/>
              <w:left w:val="single" w:color="auto" w:sz="2" w:space="0"/>
              <w:bottom w:val="single" w:color="auto" w:sz="2" w:space="0"/>
            </w:tcBorders>
            <w:vAlign w:val="center"/>
          </w:tcPr>
          <w:p w14:paraId="28DBBD99">
            <w:pPr>
              <w:adjustRightInd w:val="0"/>
              <w:snapToGrid w:val="0"/>
              <w:spacing w:line="300" w:lineRule="exact"/>
              <w:jc w:val="center"/>
              <w:rPr>
                <w:rFonts w:hint="eastAsia" w:ascii="宋体" w:hAnsi="宋体" w:eastAsia="宋体" w:cs="宋体"/>
                <w:color w:val="auto"/>
                <w:sz w:val="21"/>
                <w:szCs w:val="21"/>
                <w:highlight w:val="none"/>
              </w:rPr>
            </w:pPr>
          </w:p>
        </w:tc>
      </w:tr>
      <w:tr w14:paraId="73DF28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vMerge w:val="continue"/>
            <w:tcBorders>
              <w:bottom w:val="single" w:color="auto" w:sz="2" w:space="0"/>
              <w:right w:val="single" w:color="auto" w:sz="2" w:space="0"/>
            </w:tcBorders>
            <w:vAlign w:val="center"/>
          </w:tcPr>
          <w:p w14:paraId="79741DED">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vMerge w:val="continue"/>
            <w:tcBorders>
              <w:left w:val="single" w:color="auto" w:sz="2" w:space="0"/>
              <w:bottom w:val="single" w:color="auto" w:sz="2" w:space="0"/>
              <w:right w:val="single" w:color="auto" w:sz="2" w:space="0"/>
            </w:tcBorders>
            <w:vAlign w:val="center"/>
          </w:tcPr>
          <w:p w14:paraId="109C252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999D7D6">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77" w:type="pct"/>
            <w:tcBorders>
              <w:top w:val="single" w:color="auto" w:sz="2" w:space="0"/>
              <w:left w:val="single" w:color="auto" w:sz="2" w:space="0"/>
              <w:bottom w:val="single" w:color="auto" w:sz="2" w:space="0"/>
            </w:tcBorders>
            <w:vAlign w:val="center"/>
          </w:tcPr>
          <w:p w14:paraId="4D49D8D4">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6DB7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C781B48">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36" w:type="pct"/>
            <w:tcBorders>
              <w:top w:val="single" w:color="auto" w:sz="2" w:space="0"/>
              <w:left w:val="single" w:color="auto" w:sz="2" w:space="0"/>
              <w:bottom w:val="single" w:color="auto" w:sz="2" w:space="0"/>
              <w:right w:val="single" w:color="auto" w:sz="2" w:space="0"/>
            </w:tcBorders>
            <w:vAlign w:val="center"/>
          </w:tcPr>
          <w:p w14:paraId="2944E6ED">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286588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77" w:type="pct"/>
            <w:tcBorders>
              <w:top w:val="single" w:color="auto" w:sz="2" w:space="0"/>
              <w:left w:val="single" w:color="auto" w:sz="2" w:space="0"/>
              <w:bottom w:val="single" w:color="auto" w:sz="2" w:space="0"/>
            </w:tcBorders>
            <w:vAlign w:val="center"/>
          </w:tcPr>
          <w:p w14:paraId="099028D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4298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BF37A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36" w:type="pct"/>
            <w:tcBorders>
              <w:top w:val="single" w:color="auto" w:sz="2" w:space="0"/>
              <w:left w:val="single" w:color="auto" w:sz="2" w:space="0"/>
              <w:bottom w:val="single" w:color="auto" w:sz="2" w:space="0"/>
              <w:right w:val="single" w:color="auto" w:sz="2" w:space="0"/>
            </w:tcBorders>
            <w:vAlign w:val="center"/>
          </w:tcPr>
          <w:p w14:paraId="21E566C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D2D0DC3">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77" w:type="pct"/>
            <w:tcBorders>
              <w:top w:val="single" w:color="auto" w:sz="2" w:space="0"/>
              <w:left w:val="single" w:color="auto" w:sz="2" w:space="0"/>
              <w:bottom w:val="single" w:color="auto" w:sz="2" w:space="0"/>
            </w:tcBorders>
            <w:vAlign w:val="center"/>
          </w:tcPr>
          <w:p w14:paraId="1D856A85">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E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024CB8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36" w:type="pct"/>
            <w:tcBorders>
              <w:top w:val="single" w:color="auto" w:sz="2" w:space="0"/>
              <w:left w:val="single" w:color="auto" w:sz="2" w:space="0"/>
              <w:bottom w:val="single" w:color="auto" w:sz="2" w:space="0"/>
              <w:right w:val="single" w:color="auto" w:sz="2" w:space="0"/>
            </w:tcBorders>
            <w:vAlign w:val="center"/>
          </w:tcPr>
          <w:p w14:paraId="4C498000">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B4134D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77" w:type="pct"/>
            <w:tcBorders>
              <w:top w:val="single" w:color="auto" w:sz="2" w:space="0"/>
              <w:left w:val="single" w:color="auto" w:sz="2" w:space="0"/>
              <w:bottom w:val="single" w:color="auto" w:sz="2" w:space="0"/>
            </w:tcBorders>
            <w:vAlign w:val="center"/>
          </w:tcPr>
          <w:p w14:paraId="701C890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179D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410AC1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36" w:type="pct"/>
            <w:tcBorders>
              <w:top w:val="single" w:color="auto" w:sz="2" w:space="0"/>
              <w:left w:val="single" w:color="auto" w:sz="2" w:space="0"/>
              <w:bottom w:val="single" w:color="auto" w:sz="2" w:space="0"/>
              <w:right w:val="single" w:color="auto" w:sz="2" w:space="0"/>
            </w:tcBorders>
            <w:vAlign w:val="center"/>
          </w:tcPr>
          <w:p w14:paraId="4A52DBD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61E99B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77" w:type="pct"/>
            <w:tcBorders>
              <w:top w:val="single" w:color="auto" w:sz="2" w:space="0"/>
              <w:left w:val="single" w:color="auto" w:sz="2" w:space="0"/>
              <w:bottom w:val="single" w:color="auto" w:sz="2" w:space="0"/>
            </w:tcBorders>
            <w:vAlign w:val="center"/>
          </w:tcPr>
          <w:p w14:paraId="7733D880">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8397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59FB7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36" w:type="pct"/>
            <w:tcBorders>
              <w:top w:val="single" w:color="auto" w:sz="2" w:space="0"/>
              <w:left w:val="single" w:color="auto" w:sz="2" w:space="0"/>
              <w:bottom w:val="single" w:color="auto" w:sz="2" w:space="0"/>
              <w:right w:val="single" w:color="auto" w:sz="2" w:space="0"/>
            </w:tcBorders>
            <w:vAlign w:val="center"/>
          </w:tcPr>
          <w:p w14:paraId="694C6AF3">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0FEBFA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77" w:type="pct"/>
            <w:tcBorders>
              <w:top w:val="single" w:color="auto" w:sz="2" w:space="0"/>
              <w:left w:val="single" w:color="auto" w:sz="2" w:space="0"/>
              <w:bottom w:val="single" w:color="auto" w:sz="2" w:space="0"/>
            </w:tcBorders>
            <w:vAlign w:val="center"/>
          </w:tcPr>
          <w:p w14:paraId="7098121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550E3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37B108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36" w:type="pct"/>
            <w:tcBorders>
              <w:top w:val="single" w:color="auto" w:sz="2" w:space="0"/>
              <w:left w:val="single" w:color="auto" w:sz="2" w:space="0"/>
              <w:bottom w:val="single" w:color="auto" w:sz="2" w:space="0"/>
              <w:right w:val="single" w:color="auto" w:sz="2" w:space="0"/>
            </w:tcBorders>
            <w:vAlign w:val="center"/>
          </w:tcPr>
          <w:p w14:paraId="1C96C6A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5B991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77" w:type="pct"/>
            <w:tcBorders>
              <w:top w:val="single" w:color="auto" w:sz="2" w:space="0"/>
              <w:left w:val="single" w:color="auto" w:sz="2" w:space="0"/>
              <w:bottom w:val="single" w:color="auto" w:sz="2" w:space="0"/>
            </w:tcBorders>
            <w:vAlign w:val="center"/>
          </w:tcPr>
          <w:p w14:paraId="0DC85DC3">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271A5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2F3AE2A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36" w:type="pct"/>
            <w:tcBorders>
              <w:top w:val="single" w:color="auto" w:sz="2" w:space="0"/>
              <w:left w:val="single" w:color="auto" w:sz="2" w:space="0"/>
              <w:bottom w:val="single" w:color="auto" w:sz="2" w:space="0"/>
              <w:right w:val="single" w:color="auto" w:sz="2" w:space="0"/>
            </w:tcBorders>
            <w:vAlign w:val="center"/>
          </w:tcPr>
          <w:p w14:paraId="179974F2">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EBD6FB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77" w:type="pct"/>
            <w:tcBorders>
              <w:top w:val="single" w:color="auto" w:sz="2" w:space="0"/>
              <w:left w:val="single" w:color="auto" w:sz="2" w:space="0"/>
              <w:bottom w:val="single" w:color="auto" w:sz="2" w:space="0"/>
            </w:tcBorders>
            <w:vAlign w:val="center"/>
          </w:tcPr>
          <w:p w14:paraId="3663A1A2">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1E31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3AB1682">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04563A5">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E23BC3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77" w:type="pct"/>
            <w:tcBorders>
              <w:top w:val="single" w:color="auto" w:sz="2" w:space="0"/>
              <w:left w:val="single" w:color="auto" w:sz="2" w:space="0"/>
              <w:bottom w:val="single" w:color="auto" w:sz="2" w:space="0"/>
            </w:tcBorders>
            <w:vAlign w:val="center"/>
          </w:tcPr>
          <w:p w14:paraId="6E184549">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3F591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7EDA1AFE">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ABB2AC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5806D87">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77" w:type="pct"/>
            <w:tcBorders>
              <w:top w:val="single" w:color="auto" w:sz="2" w:space="0"/>
              <w:left w:val="single" w:color="auto" w:sz="2" w:space="0"/>
              <w:bottom w:val="single" w:color="auto" w:sz="2" w:space="0"/>
            </w:tcBorders>
            <w:vAlign w:val="center"/>
          </w:tcPr>
          <w:p w14:paraId="740EC35E">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429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8178CC3">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5607259C">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68B3070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77" w:type="pct"/>
            <w:tcBorders>
              <w:top w:val="single" w:color="auto" w:sz="2" w:space="0"/>
              <w:left w:val="single" w:color="auto" w:sz="2" w:space="0"/>
              <w:bottom w:val="single" w:color="auto" w:sz="2" w:space="0"/>
            </w:tcBorders>
            <w:vAlign w:val="center"/>
          </w:tcPr>
          <w:p w14:paraId="48E686B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94FC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3BA60FE">
            <w:pPr>
              <w:pStyle w:val="12"/>
              <w:adjustRightInd w:val="0"/>
              <w:snapToGrid w:val="0"/>
              <w:spacing w:before="156" w:beforeLines="50" w:after="0" w:line="360" w:lineRule="auto"/>
              <w:ind w:left="0" w:leftChars="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注：涉及联合体或其他合同主体的信息应按上表格式加列。</w:t>
            </w:r>
          </w:p>
        </w:tc>
      </w:tr>
    </w:tbl>
    <w:p w14:paraId="4938941A">
      <w:pPr>
        <w:pStyle w:val="3"/>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u w:val="single"/>
        </w:rPr>
        <w:br w:type="page"/>
      </w:r>
      <w:bookmarkStart w:id="509" w:name="_Toc27624"/>
      <w:bookmarkStart w:id="510" w:name="_Toc7196"/>
      <w:bookmarkStart w:id="511" w:name="_Toc20660"/>
      <w:r>
        <w:rPr>
          <w:rFonts w:hint="eastAsia" w:ascii="宋体" w:hAnsi="宋体" w:eastAsia="宋体" w:cs="宋体"/>
          <w:b/>
          <w:bCs/>
          <w:color w:val="auto"/>
          <w:sz w:val="36"/>
          <w:szCs w:val="36"/>
          <w:highlight w:val="none"/>
        </w:rPr>
        <w:t>第二节 政府采购合同通用条款</w:t>
      </w:r>
      <w:bookmarkEnd w:id="509"/>
      <w:bookmarkEnd w:id="510"/>
      <w:bookmarkEnd w:id="511"/>
    </w:p>
    <w:p w14:paraId="04059302">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bCs/>
          <w:color w:val="auto"/>
          <w:sz w:val="21"/>
          <w:szCs w:val="21"/>
          <w:highlight w:val="none"/>
        </w:rPr>
        <w:t>定义</w:t>
      </w:r>
    </w:p>
    <w:p w14:paraId="1EA126D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1.1合同当事人</w:t>
      </w:r>
    </w:p>
    <w:p w14:paraId="1B278E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4A104EE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4087E70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auto"/>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DBF17D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A7C9AB5">
      <w:pPr>
        <w:adjustRightInd w:val="0"/>
        <w:snapToGrid w:val="0"/>
        <w:spacing w:before="0" w:beforeLines="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auto"/>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政府采购合同专用条款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政府采购合同通用条款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有关技术文件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，以及国家法律、行政法规和规章制度规定或合同约定的作为合同组成部分的其他文件</w:t>
      </w:r>
      <w:r>
        <w:rPr>
          <w:rFonts w:hint="eastAsia" w:ascii="宋体" w:hAnsi="宋体" w:eastAsia="宋体" w:cs="宋体"/>
          <w:color w:val="auto"/>
          <w:sz w:val="21"/>
          <w:szCs w:val="21"/>
          <w:highlight w:val="none"/>
        </w:rPr>
        <w:t>。</w:t>
      </w:r>
    </w:p>
    <w:p w14:paraId="6E703C0F">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09C60E0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技术资料和材料</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1874910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服务”系指根据合同规定，乙方应提供的</w:t>
      </w:r>
      <w:r>
        <w:rPr>
          <w:rFonts w:hint="eastAsia" w:ascii="宋体" w:hAnsi="宋体" w:eastAsia="宋体" w:cs="宋体"/>
          <w:color w:val="auto"/>
          <w:sz w:val="21"/>
          <w:szCs w:val="21"/>
          <w:highlight w:val="none"/>
          <w:lang w:val="en-US" w:eastAsia="zh-CN"/>
        </w:rPr>
        <w:t>与货物有关的</w:t>
      </w:r>
      <w:r>
        <w:rPr>
          <w:rFonts w:hint="eastAsia" w:ascii="宋体" w:hAnsi="宋体" w:eastAsia="宋体" w:cs="宋体"/>
          <w:color w:val="auto"/>
          <w:sz w:val="21"/>
          <w:szCs w:val="21"/>
          <w:highlight w:val="none"/>
        </w:rPr>
        <w:t>技术、管理和</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服务，包括但不限于：管理和质量保证、运输、保险、检验、现场准备、安装、集成、调试、培训、维修、</w:t>
      </w:r>
      <w:r>
        <w:rPr>
          <w:rFonts w:hint="eastAsia" w:ascii="宋体" w:hAnsi="宋体" w:eastAsia="宋体" w:cs="宋体"/>
          <w:color w:val="auto"/>
          <w:sz w:val="21"/>
          <w:szCs w:val="21"/>
          <w:highlight w:val="none"/>
          <w:lang w:eastAsia="zh-CN"/>
        </w:rPr>
        <w:t>废弃处置、</w:t>
      </w:r>
      <w:r>
        <w:rPr>
          <w:rFonts w:hint="eastAsia" w:ascii="宋体" w:hAnsi="宋体" w:eastAsia="宋体" w:cs="宋体"/>
          <w:color w:val="auto"/>
          <w:sz w:val="21"/>
          <w:szCs w:val="21"/>
          <w:highlight w:val="none"/>
        </w:rPr>
        <w:t>技术支持等以及合同中规定乙方应承担的</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义务。</w:t>
      </w:r>
    </w:p>
    <w:p w14:paraId="60403AB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）“分包”系指中标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供应商按采购文件、投标（响应）文件的规定，根据分包意向协议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，将中标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项目中的部分履约内容，分给具有相应资质条件的供应商履行合同的行为。</w:t>
      </w:r>
    </w:p>
    <w:p w14:paraId="4287798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）“联合体”系指</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两个以上的自然人、法人或者</w:t>
      </w:r>
      <w:r>
        <w:rPr>
          <w:rFonts w:hint="eastAsia" w:ascii="宋体" w:hAnsi="宋体" w:eastAsia="宋体" w:cs="宋体"/>
          <w:color w:val="auto"/>
          <w:sz w:val="21"/>
          <w:szCs w:val="21"/>
          <w:highlight w:val="none"/>
          <w:lang w:val="en-US" w:eastAsia="zh-CN"/>
        </w:rPr>
        <w:t>非法人</w:t>
      </w:r>
      <w:r>
        <w:rPr>
          <w:rFonts w:hint="eastAsia" w:ascii="宋体" w:hAnsi="宋体" w:eastAsia="宋体" w:cs="宋体"/>
          <w:color w:val="auto"/>
          <w:sz w:val="21"/>
          <w:szCs w:val="21"/>
          <w:highlight w:val="none"/>
        </w:rPr>
        <w:t>组织组成，</w:t>
      </w:r>
      <w:r>
        <w:rPr>
          <w:rFonts w:hint="eastAsia" w:ascii="宋体" w:hAnsi="宋体" w:eastAsia="宋体" w:cs="宋体"/>
          <w:color w:val="auto"/>
          <w:sz w:val="21"/>
          <w:szCs w:val="21"/>
          <w:highlight w:val="none"/>
          <w:lang w:eastAsia="zh-CN"/>
        </w:rPr>
        <w:t>以一个供应商的身份共同参加政府采购的主体。</w:t>
      </w:r>
      <w:r>
        <w:rPr>
          <w:rFonts w:hint="eastAsia" w:ascii="宋体" w:hAnsi="宋体" w:eastAsia="宋体" w:cs="宋体"/>
          <w:color w:val="auto"/>
          <w:sz w:val="21"/>
          <w:szCs w:val="21"/>
          <w:highlight w:val="none"/>
        </w:rPr>
        <w:t>联合体各方应在签订合同协议书前向甲方提交联合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，且明确牵头人及各成员单位的工作分工、权利、义务、责任，联合体各方应共同与甲方签订合同，就合同约定的事项对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100463E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2671A925">
      <w:pPr>
        <w:numPr>
          <w:ilvl w:val="0"/>
          <w:numId w:val="4"/>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合同标的及金额</w:t>
      </w:r>
    </w:p>
    <w:p w14:paraId="518EE407">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 合同标的及金额应与中标（成交）结果一致。乙方为履行本合同而发生的所有费用均应包含在合同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中，甲方不再另行支付</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任何费用。</w:t>
      </w:r>
    </w:p>
    <w:p w14:paraId="49B81678">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履行合同的时间、地点和方式</w:t>
      </w:r>
    </w:p>
    <w:p w14:paraId="41F3C04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乙方应当在约定的时间、地点</w:t>
      </w:r>
      <w:r>
        <w:rPr>
          <w:rFonts w:hint="eastAsia" w:ascii="宋体" w:hAnsi="宋体" w:eastAsia="宋体" w:cs="宋体"/>
          <w:color w:val="auto"/>
          <w:sz w:val="21"/>
          <w:szCs w:val="21"/>
          <w:highlight w:val="none"/>
          <w:lang w:eastAsia="zh-CN"/>
        </w:rPr>
        <w:t>，按照约定</w:t>
      </w:r>
      <w:r>
        <w:rPr>
          <w:rFonts w:hint="eastAsia" w:ascii="宋体" w:hAnsi="宋体" w:eastAsia="宋体" w:cs="宋体"/>
          <w:color w:val="auto"/>
          <w:sz w:val="21"/>
          <w:szCs w:val="21"/>
          <w:highlight w:val="none"/>
        </w:rPr>
        <w:t>方式履行合同。</w:t>
      </w:r>
    </w:p>
    <w:p w14:paraId="2BA5AAC4">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甲方的权利和义务</w:t>
      </w:r>
    </w:p>
    <w:p w14:paraId="5036A5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签署合同后，甲方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，负责与本合同有关的事务。甲方有权对乙方的履约行为进行检查，并及时确认乙方提交的事项。甲方应当配合乙方完成相关项目实施工作。</w:t>
      </w:r>
    </w:p>
    <w:p w14:paraId="2725626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0A7B80A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.3 甲方有权要求乙方对缺陷部分予以修复，并按合同约定享有货物保修及其他合同约定的权利。</w:t>
      </w:r>
    </w:p>
    <w:p w14:paraId="1436C60C">
      <w:pPr>
        <w:snapToGrid w:val="0"/>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 甲方应当按照合同约定及时对交付的货物进行验收，</w:t>
      </w:r>
      <w:r>
        <w:rPr>
          <w:rFonts w:hint="eastAsia" w:ascii="宋体" w:hAnsi="宋体" w:eastAsia="宋体" w:cs="宋体"/>
          <w:b w:val="0"/>
          <w:bCs w:val="0"/>
          <w:color w:val="auto"/>
          <w:sz w:val="21"/>
          <w:szCs w:val="21"/>
          <w:highlight w:val="none"/>
          <w:lang w:eastAsia="zh-CN"/>
        </w:rPr>
        <w:t>未</w:t>
      </w:r>
      <w:r>
        <w:rPr>
          <w:rFonts w:hint="eastAsia" w:ascii="宋体" w:hAnsi="宋体" w:eastAsia="宋体" w:cs="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约定的期限内对乙方履约提出任何异议或者向乙方作出任何说明的，</w:t>
      </w:r>
      <w:r>
        <w:rPr>
          <w:rFonts w:hint="eastAsia" w:ascii="宋体" w:hAnsi="宋体" w:eastAsia="宋体" w:cs="宋体"/>
          <w:color w:val="auto"/>
          <w:sz w:val="21"/>
          <w:szCs w:val="21"/>
          <w:highlight w:val="none"/>
          <w:lang w:val="en-US" w:eastAsia="zh-CN"/>
        </w:rPr>
        <w:t>视为验收通过。</w:t>
      </w:r>
    </w:p>
    <w:p w14:paraId="5BD30BF8">
      <w:pPr>
        <w:autoSpaceDE w:val="0"/>
        <w:autoSpaceDN w:val="0"/>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甲方应当根据合同约定</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时向乙方支付</w:t>
      </w:r>
      <w:r>
        <w:rPr>
          <w:rFonts w:hint="eastAsia" w:ascii="宋体" w:hAnsi="宋体" w:eastAsia="宋体" w:cs="宋体"/>
          <w:color w:val="auto"/>
          <w:sz w:val="21"/>
          <w:szCs w:val="21"/>
          <w:highlight w:val="none"/>
          <w:lang w:eastAsia="zh-CN"/>
        </w:rPr>
        <w:t>合同价款，不得以内部人员变更、履行内部付款流程等为由，拒绝或迟延支付。</w:t>
      </w:r>
    </w:p>
    <w:p w14:paraId="00EFC6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约定应</w:t>
      </w:r>
      <w:r>
        <w:rPr>
          <w:rFonts w:hint="eastAsia" w:ascii="宋体" w:hAnsi="宋体" w:eastAsia="宋体" w:cs="宋体"/>
          <w:color w:val="auto"/>
          <w:sz w:val="21"/>
          <w:szCs w:val="21"/>
          <w:highlight w:val="none"/>
        </w:rPr>
        <w:t>由甲方承担的其他义务和责任。</w:t>
      </w:r>
    </w:p>
    <w:p w14:paraId="5FF83E7D">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乙方的权利和义务</w:t>
      </w:r>
    </w:p>
    <w:p w14:paraId="40807E9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.1 签署合同后，乙方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w:t>
      </w:r>
    </w:p>
    <w:p w14:paraId="5994D8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.2 乙方应按照合同要求履约，充分合理安排，确保提供的货物</w:t>
      </w:r>
      <w:r>
        <w:rPr>
          <w:rFonts w:hint="eastAsia" w:ascii="宋体" w:hAnsi="宋体" w:eastAsia="宋体" w:cs="宋体"/>
          <w:color w:val="auto"/>
          <w:sz w:val="21"/>
          <w:szCs w:val="21"/>
          <w:highlight w:val="none"/>
          <w:lang w:eastAsia="zh-CN"/>
        </w:rPr>
        <w:t>及相关</w:t>
      </w:r>
      <w:r>
        <w:rPr>
          <w:rFonts w:hint="eastAsia" w:ascii="宋体" w:hAnsi="宋体" w:eastAsia="宋体" w:cs="宋体"/>
          <w:color w:val="auto"/>
          <w:sz w:val="21"/>
          <w:szCs w:val="21"/>
          <w:highlight w:val="none"/>
        </w:rPr>
        <w:t>服务符合合同</w:t>
      </w:r>
      <w:r>
        <w:rPr>
          <w:rFonts w:hint="eastAsia" w:ascii="宋体" w:hAnsi="宋体" w:eastAsia="宋体" w:cs="宋体"/>
          <w:color w:val="auto"/>
          <w:sz w:val="21"/>
          <w:szCs w:val="21"/>
          <w:highlight w:val="none"/>
          <w:lang w:eastAsia="zh-CN"/>
        </w:rPr>
        <w:t>有关</w:t>
      </w:r>
      <w:r>
        <w:rPr>
          <w:rFonts w:hint="eastAsia" w:ascii="宋体" w:hAnsi="宋体" w:eastAsia="宋体" w:cs="宋体"/>
          <w:color w:val="auto"/>
          <w:sz w:val="21"/>
          <w:szCs w:val="21"/>
          <w:highlight w:val="none"/>
        </w:rPr>
        <w:t>要求。接受项目行业管理部门及政府有关部门的指导，配合甲方的履约检查</w:t>
      </w:r>
      <w:r>
        <w:rPr>
          <w:rFonts w:hint="eastAsia" w:ascii="宋体" w:hAnsi="宋体" w:eastAsia="宋体" w:cs="宋体"/>
          <w:color w:val="auto"/>
          <w:sz w:val="21"/>
          <w:szCs w:val="21"/>
          <w:highlight w:val="none"/>
          <w:lang w:eastAsia="zh-CN"/>
        </w:rPr>
        <w:t>及验收</w:t>
      </w:r>
      <w:r>
        <w:rPr>
          <w:rFonts w:hint="eastAsia" w:ascii="宋体" w:hAnsi="宋体" w:eastAsia="宋体" w:cs="宋体"/>
          <w:color w:val="auto"/>
          <w:sz w:val="21"/>
          <w:szCs w:val="21"/>
          <w:highlight w:val="none"/>
        </w:rPr>
        <w:t>，并负责项目实施过程中的所有协调工作。</w:t>
      </w:r>
    </w:p>
    <w:p w14:paraId="5DEB800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5.3乙方有权根据合同约定向甲方收取合同价款。</w:t>
      </w:r>
    </w:p>
    <w:p w14:paraId="508BC06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约定应由乙方承担的其他义务和责任。</w:t>
      </w:r>
    </w:p>
    <w:p w14:paraId="2D4D98A1">
      <w:pPr>
        <w:numPr>
          <w:ilvl w:val="0"/>
          <w:numId w:val="5"/>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w:t>
      </w:r>
      <w:r>
        <w:rPr>
          <w:rFonts w:hint="eastAsia" w:ascii="宋体" w:hAnsi="宋体" w:eastAsia="宋体" w:cs="宋体"/>
          <w:b/>
          <w:bCs/>
          <w:color w:val="auto"/>
          <w:sz w:val="21"/>
          <w:szCs w:val="21"/>
          <w:highlight w:val="none"/>
          <w:lang w:val="en-US" w:eastAsia="zh-CN"/>
        </w:rPr>
        <w:t>行</w:t>
      </w:r>
    </w:p>
    <w:p w14:paraId="23888F1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3443A7A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FDCDA6B">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货物包装、运输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保险</w:t>
      </w:r>
      <w:r>
        <w:rPr>
          <w:rFonts w:hint="eastAsia" w:ascii="宋体" w:hAnsi="宋体" w:eastAsia="宋体" w:cs="宋体"/>
          <w:b/>
          <w:bCs/>
          <w:color w:val="auto"/>
          <w:sz w:val="21"/>
          <w:szCs w:val="21"/>
          <w:highlight w:val="none"/>
          <w:lang w:eastAsia="zh-CN"/>
        </w:rPr>
        <w:t>和交付</w:t>
      </w:r>
      <w:r>
        <w:rPr>
          <w:rFonts w:hint="eastAsia" w:ascii="宋体" w:hAnsi="宋体" w:eastAsia="宋体" w:cs="宋体"/>
          <w:b/>
          <w:bCs/>
          <w:color w:val="auto"/>
          <w:sz w:val="21"/>
          <w:szCs w:val="21"/>
          <w:highlight w:val="none"/>
        </w:rPr>
        <w:t>要求</w:t>
      </w:r>
    </w:p>
    <w:p w14:paraId="64BDD4A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.1 本合同</w:t>
      </w:r>
      <w:r>
        <w:rPr>
          <w:rFonts w:hint="eastAsia" w:ascii="宋体" w:hAnsi="宋体" w:eastAsia="宋体" w:cs="宋体"/>
          <w:bCs/>
          <w:color w:val="auto"/>
          <w:sz w:val="21"/>
          <w:szCs w:val="21"/>
          <w:highlight w:val="none"/>
        </w:rPr>
        <w:t>涉及商品包装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快递包装的，</w:t>
      </w:r>
      <w:r>
        <w:rPr>
          <w:rFonts w:hint="eastAsia" w:ascii="宋体" w:hAnsi="宋体" w:eastAsia="宋体" w:cs="宋体"/>
          <w:color w:val="auto"/>
          <w:sz w:val="21"/>
          <w:szCs w:val="21"/>
          <w:highlight w:val="none"/>
        </w:rPr>
        <w:t>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包装应适应远距离运输、防潮、防震、防锈和防野蛮装卸等要求，确保货物安全无损地运抵</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约定的</w:t>
      </w:r>
      <w:r>
        <w:rPr>
          <w:rFonts w:hint="eastAsia" w:ascii="宋体" w:hAnsi="宋体" w:eastAsia="宋体" w:cs="宋体"/>
          <w:color w:val="auto"/>
          <w:sz w:val="21"/>
          <w:szCs w:val="21"/>
          <w:highlight w:val="none"/>
        </w:rPr>
        <w:t>指定现场。</w:t>
      </w:r>
    </w:p>
    <w:p w14:paraId="00DED015">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.2 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乙方负责办理将货物运抵本合同规定的交货地点</w:t>
      </w:r>
      <w:r>
        <w:rPr>
          <w:rFonts w:hint="eastAsia" w:ascii="宋体" w:hAnsi="宋体" w:eastAsia="宋体" w:cs="宋体"/>
          <w:color w:val="auto"/>
          <w:sz w:val="21"/>
          <w:szCs w:val="21"/>
          <w:highlight w:val="none"/>
          <w:lang w:eastAsia="zh-CN"/>
        </w:rPr>
        <w:t>，并装卸、交付至甲方</w:t>
      </w:r>
      <w:r>
        <w:rPr>
          <w:rFonts w:hint="eastAsia" w:ascii="宋体" w:hAnsi="宋体" w:eastAsia="宋体" w:cs="宋体"/>
          <w:color w:val="auto"/>
          <w:sz w:val="21"/>
          <w:szCs w:val="21"/>
          <w:highlight w:val="none"/>
        </w:rPr>
        <w:t>的一切运输事项，相关费用应</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w:t>
      </w:r>
    </w:p>
    <w:p w14:paraId="6EA7B5B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.3 货物保险要求按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规定执行</w:t>
      </w:r>
      <w:r>
        <w:rPr>
          <w:rFonts w:hint="eastAsia" w:ascii="宋体" w:hAnsi="宋体" w:eastAsia="宋体" w:cs="宋体"/>
          <w:color w:val="auto"/>
          <w:sz w:val="21"/>
          <w:szCs w:val="21"/>
          <w:highlight w:val="none"/>
        </w:rPr>
        <w:t>。</w:t>
      </w:r>
    </w:p>
    <w:p w14:paraId="648BE1C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除采购活动</w:t>
      </w:r>
      <w:r>
        <w:rPr>
          <w:rFonts w:hint="eastAsia" w:ascii="宋体" w:hAnsi="宋体" w:eastAsia="宋体" w:cs="宋体"/>
          <w:color w:val="auto"/>
          <w:sz w:val="21"/>
          <w:szCs w:val="21"/>
          <w:highlight w:val="none"/>
        </w:rPr>
        <w:t>对商品包装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w:t>
      </w:r>
      <w:r>
        <w:rPr>
          <w:rFonts w:hint="eastAsia" w:ascii="宋体" w:hAnsi="宋体" w:eastAsia="宋体" w:cs="宋体"/>
          <w:color w:val="auto"/>
          <w:sz w:val="21"/>
          <w:szCs w:val="21"/>
          <w:highlight w:val="none"/>
          <w:lang w:val="en-US" w:eastAsia="zh-CN"/>
        </w:rPr>
        <w:t>达成具体约定外</w:t>
      </w:r>
      <w:r>
        <w:rPr>
          <w:rFonts w:hint="eastAsia" w:ascii="宋体" w:hAnsi="宋体" w:eastAsia="宋体" w:cs="宋体"/>
          <w:color w:val="auto"/>
          <w:sz w:val="21"/>
          <w:szCs w:val="21"/>
          <w:highlight w:val="none"/>
        </w:rPr>
        <w:t>，乙方提供产品及相关快递服务</w:t>
      </w:r>
      <w:r>
        <w:rPr>
          <w:rFonts w:hint="eastAsia" w:ascii="宋体" w:hAnsi="宋体" w:eastAsia="宋体" w:cs="宋体"/>
          <w:color w:val="auto"/>
          <w:sz w:val="21"/>
          <w:szCs w:val="21"/>
          <w:highlight w:val="none"/>
          <w:lang w:val="en-US" w:eastAsia="zh-CN"/>
        </w:rPr>
        <w:t>涉及到</w:t>
      </w:r>
      <w:r>
        <w:rPr>
          <w:rFonts w:hint="eastAsia" w:ascii="宋体" w:hAnsi="宋体" w:eastAsia="宋体" w:cs="宋体"/>
          <w:color w:val="auto"/>
          <w:sz w:val="21"/>
          <w:szCs w:val="21"/>
          <w:highlight w:val="none"/>
        </w:rPr>
        <w:t>具体包装要求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rPr>
        <w:t>《商品包装政府采购需求标准（试行）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快递包装政府采购需求标准（试行）》</w:t>
      </w:r>
      <w:r>
        <w:rPr>
          <w:rFonts w:hint="eastAsia" w:ascii="宋体" w:hAnsi="宋体" w:eastAsia="宋体" w:cs="宋体"/>
          <w:color w:val="auto"/>
          <w:sz w:val="21"/>
          <w:szCs w:val="21"/>
          <w:highlight w:val="none"/>
          <w:lang w:val="en-US" w:eastAsia="zh-CN"/>
        </w:rPr>
        <w:t>标准</w:t>
      </w:r>
      <w:r>
        <w:rPr>
          <w:rFonts w:hint="eastAsia" w:ascii="宋体" w:hAnsi="宋体" w:eastAsia="宋体" w:cs="宋体"/>
          <w:color w:val="auto"/>
          <w:sz w:val="21"/>
          <w:szCs w:val="21"/>
          <w:highlight w:val="none"/>
        </w:rPr>
        <w:t>，并作为履约验收的内容，必要时甲方可以要求乙方在履约验收环节出具检测报告。</w:t>
      </w:r>
    </w:p>
    <w:p w14:paraId="4515374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乙方在运输到达之前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提前通知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，并提示货物运输装卸的注意事项</w:t>
      </w:r>
      <w:r>
        <w:rPr>
          <w:rFonts w:hint="eastAsia" w:ascii="宋体" w:hAnsi="宋体" w:eastAsia="宋体" w:cs="宋体"/>
          <w:color w:val="auto"/>
          <w:sz w:val="21"/>
          <w:szCs w:val="21"/>
          <w:highlight w:val="none"/>
          <w:lang w:eastAsia="zh-CN"/>
        </w:rPr>
        <w:t>，甲方配合乙方做好货物的接收工作。</w:t>
      </w:r>
    </w:p>
    <w:p w14:paraId="0444A18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 如因包装、运输问题导致货物损毁、丢失或者品质下降，甲方有权要求降价、换货、拒收部分或整批货物，由此产生的费用和损失，均由乙方承担。</w:t>
      </w:r>
    </w:p>
    <w:p w14:paraId="34E309DD">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质量标准和保证</w:t>
      </w:r>
    </w:p>
    <w:p w14:paraId="7B1679E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质量标准</w:t>
      </w:r>
    </w:p>
    <w:p w14:paraId="673852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合同约</w:t>
      </w:r>
      <w:r>
        <w:rPr>
          <w:rFonts w:hint="eastAsia" w:ascii="宋体" w:hAnsi="宋体" w:eastAsia="宋体" w:cs="宋体"/>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08D66C60">
      <w:pPr>
        <w:pStyle w:val="15"/>
        <w:adjustRightInd w:val="0"/>
        <w:snapToGrid w:val="0"/>
        <w:spacing w:before="0" w:line="4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2960FA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7D7DF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7CE2FA5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38428A1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1"/>
          <w:szCs w:val="21"/>
          <w:highlight w:val="none"/>
          <w:lang w:eastAsia="zh-CN"/>
        </w:rPr>
        <w:t>备合同约定</w:t>
      </w:r>
      <w:r>
        <w:rPr>
          <w:rFonts w:hint="eastAsia" w:ascii="宋体" w:hAnsi="宋体" w:eastAsia="宋体" w:cs="宋体"/>
          <w:color w:val="auto"/>
          <w:sz w:val="21"/>
          <w:szCs w:val="21"/>
          <w:highlight w:val="none"/>
        </w:rPr>
        <w:t>的性能。</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1C3269A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7003483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09257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auto"/>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的违约责任</w:t>
      </w:r>
      <w:r>
        <w:rPr>
          <w:rFonts w:hint="eastAsia" w:ascii="宋体" w:hAnsi="宋体" w:eastAsia="宋体" w:cs="宋体"/>
          <w:color w:val="auto"/>
          <w:sz w:val="21"/>
          <w:szCs w:val="21"/>
          <w:highlight w:val="none"/>
        </w:rPr>
        <w:t>。</w:t>
      </w:r>
    </w:p>
    <w:p w14:paraId="47BD646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3ABE3F3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权利瑕疵担保</w:t>
      </w:r>
    </w:p>
    <w:p w14:paraId="3AF250E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.1 乙方保证对其出售的货物享有合法的权利。</w:t>
      </w:r>
    </w:p>
    <w:p w14:paraId="3EF708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.2 乙方保证在交付的货物上不存在抵押权等担保物权。</w:t>
      </w:r>
    </w:p>
    <w:p w14:paraId="523ED87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.3 如甲方使用</w:t>
      </w:r>
      <w:r>
        <w:rPr>
          <w:rFonts w:hint="eastAsia" w:ascii="宋体" w:hAnsi="宋体" w:eastAsia="宋体" w:cs="宋体"/>
          <w:color w:val="auto"/>
          <w:sz w:val="21"/>
          <w:szCs w:val="21"/>
          <w:highlight w:val="none"/>
          <w:lang w:val="en-US" w:eastAsia="zh-CN"/>
        </w:rPr>
        <w:t>上述</w:t>
      </w:r>
      <w:r>
        <w:rPr>
          <w:rFonts w:hint="eastAsia" w:ascii="宋体" w:hAnsi="宋体" w:eastAsia="宋体" w:cs="宋体"/>
          <w:color w:val="auto"/>
          <w:sz w:val="21"/>
          <w:szCs w:val="21"/>
          <w:highlight w:val="none"/>
        </w:rPr>
        <w:t>货物构成</w:t>
      </w:r>
      <w:r>
        <w:rPr>
          <w:rFonts w:hint="eastAsia" w:ascii="宋体" w:hAnsi="宋体" w:eastAsia="宋体" w:cs="宋体"/>
          <w:color w:val="auto"/>
          <w:sz w:val="21"/>
          <w:szCs w:val="21"/>
          <w:highlight w:val="none"/>
          <w:lang w:val="en-US" w:eastAsia="zh-CN"/>
        </w:rPr>
        <w:t>对第三人</w:t>
      </w:r>
      <w:r>
        <w:rPr>
          <w:rFonts w:hint="eastAsia" w:ascii="宋体" w:hAnsi="宋体" w:eastAsia="宋体" w:cs="宋体"/>
          <w:color w:val="auto"/>
          <w:sz w:val="21"/>
          <w:szCs w:val="21"/>
          <w:highlight w:val="none"/>
        </w:rPr>
        <w:t>侵权的，则由乙方承担全部责任。</w:t>
      </w:r>
    </w:p>
    <w:p w14:paraId="0B2C947F">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知识产权保护</w:t>
      </w:r>
    </w:p>
    <w:p w14:paraId="6BEBA90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.1 乙方对其所销售的货物应当享有知识产权或经权利人合法授权，保证没有侵犯任何第三人的知识产权等权利。</w:t>
      </w:r>
      <w:bookmarkStart w:id="512"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512"/>
      <w:r>
        <w:rPr>
          <w:rFonts w:hint="eastAsia" w:ascii="宋体" w:hAnsi="宋体" w:eastAsia="宋体" w:cs="宋体"/>
          <w:color w:val="auto"/>
          <w:sz w:val="21"/>
          <w:szCs w:val="21"/>
          <w:highlight w:val="none"/>
        </w:rPr>
        <w:t>。</w:t>
      </w:r>
    </w:p>
    <w:p w14:paraId="285A4656">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14983EC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甲、乙双方</w:t>
      </w:r>
      <w:r>
        <w:rPr>
          <w:rFonts w:hint="eastAsia" w:ascii="宋体" w:hAnsi="宋体" w:eastAsia="宋体" w:cs="宋体"/>
          <w:color w:val="auto"/>
          <w:sz w:val="21"/>
          <w:szCs w:val="21"/>
          <w:highlight w:val="none"/>
          <w:lang w:eastAsia="zh-CN"/>
        </w:rPr>
        <w:t>对</w:t>
      </w:r>
      <w:r>
        <w:rPr>
          <w:rFonts w:hint="eastAsia" w:ascii="宋体" w:hAnsi="宋体" w:eastAsia="宋体" w:cs="宋体"/>
          <w:color w:val="auto"/>
          <w:sz w:val="21"/>
          <w:szCs w:val="21"/>
          <w:highlight w:val="none"/>
        </w:rPr>
        <w:t>采购和合同履行过程中所获悉的</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商业秘密或者其他应当保密的信息，均有保密义务</w:t>
      </w:r>
      <w:r>
        <w:rPr>
          <w:rFonts w:hint="eastAsia" w:ascii="宋体" w:hAnsi="宋体" w:eastAsia="宋体" w:cs="宋体"/>
          <w:color w:val="auto"/>
          <w:sz w:val="21"/>
          <w:szCs w:val="21"/>
          <w:highlight w:val="none"/>
          <w:lang w:eastAsia="zh-CN"/>
        </w:rPr>
        <w:t>且不受合同有效期所限，直至该信息成为公开信息</w:t>
      </w:r>
      <w:r>
        <w:rPr>
          <w:rFonts w:hint="eastAsia" w:ascii="宋体" w:hAnsi="宋体" w:eastAsia="宋体" w:cs="宋体"/>
          <w:color w:val="auto"/>
          <w:sz w:val="21"/>
          <w:szCs w:val="21"/>
          <w:highlight w:val="none"/>
        </w:rPr>
        <w:t>。泄露、不正当地使用</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w:t>
      </w:r>
      <w:r>
        <w:rPr>
          <w:rFonts w:hint="eastAsia" w:ascii="宋体" w:hAnsi="宋体" w:eastAsia="宋体" w:cs="宋体"/>
          <w:color w:val="auto"/>
          <w:sz w:val="21"/>
          <w:szCs w:val="21"/>
          <w:highlight w:val="none"/>
          <w:lang w:eastAsia="zh-CN"/>
        </w:rPr>
        <w:t>其他应当保密的</w:t>
      </w:r>
      <w:r>
        <w:rPr>
          <w:rFonts w:hint="eastAsia" w:ascii="宋体" w:hAnsi="宋体" w:eastAsia="宋体" w:cs="宋体"/>
          <w:color w:val="auto"/>
          <w:sz w:val="21"/>
          <w:szCs w:val="21"/>
          <w:highlight w:val="none"/>
        </w:rPr>
        <w:t>信息，应当承担</w:t>
      </w:r>
      <w:r>
        <w:rPr>
          <w:rFonts w:hint="eastAsia" w:ascii="宋体" w:hAnsi="宋体" w:eastAsia="宋体" w:cs="宋体"/>
          <w:color w:val="auto"/>
          <w:sz w:val="21"/>
          <w:szCs w:val="21"/>
          <w:highlight w:val="none"/>
          <w:lang w:eastAsia="zh-CN"/>
        </w:rPr>
        <w:t>相应</w:t>
      </w:r>
      <w:r>
        <w:rPr>
          <w:rFonts w:hint="eastAsia" w:ascii="宋体" w:hAnsi="宋体" w:eastAsia="宋体" w:cs="宋体"/>
          <w:color w:val="auto"/>
          <w:sz w:val="21"/>
          <w:szCs w:val="21"/>
          <w:highlight w:val="none"/>
        </w:rPr>
        <w:t>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4357F417">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F0D06E6">
      <w:pPr>
        <w:autoSpaceDE/>
        <w:autoSpaceDN/>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0A930D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12.2 对于满足合同约定支付条件的，甲方原则上应当自收到发票后10个工作日内将资</w:t>
      </w:r>
      <w:r>
        <w:rPr>
          <w:rFonts w:hint="eastAsia" w:ascii="宋体" w:hAnsi="宋体" w:eastAsia="宋体" w:cs="宋体"/>
          <w:color w:val="auto"/>
          <w:sz w:val="21"/>
          <w:szCs w:val="21"/>
          <w:highlight w:val="none"/>
        </w:rPr>
        <w:t>金支付到合同约定的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约</w:t>
      </w:r>
      <w:r>
        <w:rPr>
          <w:rFonts w:hint="eastAsia" w:ascii="宋体" w:hAnsi="宋体" w:eastAsia="宋体" w:cs="宋体"/>
          <w:color w:val="auto"/>
          <w:sz w:val="21"/>
          <w:szCs w:val="21"/>
          <w:highlight w:val="none"/>
        </w:rPr>
        <w:t>定。</w:t>
      </w:r>
    </w:p>
    <w:p w14:paraId="75F87D91">
      <w:pPr>
        <w:pStyle w:val="11"/>
        <w:spacing w:after="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7A856DB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乙方应当以支票、汇票、本票或者金融机构、担保机构出具的保函等非现金形式提交。</w:t>
      </w:r>
    </w:p>
    <w:p w14:paraId="0AC21C2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3E3A507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C52840D">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0DBFA9B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32A34A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4D1AC4A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7F66AE2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C583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color w:val="auto"/>
          <w:sz w:val="21"/>
          <w:szCs w:val="21"/>
          <w:highlight w:val="none"/>
          <w:lang w:eastAsia="zh-CN"/>
        </w:rPr>
        <w:t>；</w:t>
      </w:r>
    </w:p>
    <w:p w14:paraId="3C45C3C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2B45129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5E62DA2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9E7884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1BB91689">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5E147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3B3A2F81">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D6C30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590DD4E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E573C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3ED807C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7371855D">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52936FF">
      <w:pPr>
        <w:numPr>
          <w:ilvl w:val="0"/>
          <w:numId w:val="6"/>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8C474DB">
      <w:pPr>
        <w:autoSpaceDE/>
        <w:autoSpaceDN/>
        <w:adjustRightInd w:val="0"/>
        <w:snapToGrid w:val="0"/>
        <w:spacing w:before="0"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019E6119">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3532E8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730C3F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706E465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CD80FD9">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BCAED40">
      <w:pPr>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56F1AC4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3848BA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AF06312">
      <w:pPr>
        <w:snapToGrid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eastAsia="宋体" w:cs="宋体"/>
          <w:color w:val="auto"/>
          <w:sz w:val="21"/>
          <w:szCs w:val="21"/>
          <w:highlight w:val="none"/>
          <w:lang w:val="en-US" w:eastAsia="zh-CN"/>
        </w:rPr>
        <w:t>任</w:t>
      </w:r>
      <w:r>
        <w:rPr>
          <w:rFonts w:hint="eastAsia" w:ascii="宋体" w:hAnsi="宋体" w:eastAsia="宋体" w:cs="宋体"/>
          <w:color w:val="auto"/>
          <w:sz w:val="21"/>
          <w:szCs w:val="21"/>
          <w:highlight w:val="none"/>
        </w:rPr>
        <w:t>。</w:t>
      </w:r>
    </w:p>
    <w:p w14:paraId="3F0ADFC8">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16.4 涉及国家利益、社会公共利益的情形</w:t>
      </w:r>
    </w:p>
    <w:p w14:paraId="15580053">
      <w:pPr>
        <w:pStyle w:val="51"/>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5C2AA675">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4EF842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F9856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属于本合同组成部分。</w:t>
      </w:r>
    </w:p>
    <w:p w14:paraId="6E9E40FB">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3A0D10E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7334AEE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5B43D4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1ACB0169">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268DE9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.1 因本合同及合同有关事项发生的争议，由甲乙双方友好协商解决。协商不成时，可以向有关组织申请调解。合同一方或双方不愿调解或调解不成的，可以通过仲裁或诉讼的方式解决争议。</w:t>
      </w:r>
    </w:p>
    <w:p w14:paraId="414115B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选择仲裁的，应在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中明确仲裁机构及仲裁地；通过诉讼方式解决的，可以在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中进一步约定选择与争议有实际联系的地点的人民法院管辖，但管辖法院的约定不得违反级别管辖和专属管辖的规定。</w:t>
      </w:r>
    </w:p>
    <w:p w14:paraId="404A2EB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19.3 如甲乙双方有争议的事项不影响合同其他部分的履行，在争议解决期间，合同其他部分应当继续履行。</w:t>
      </w:r>
    </w:p>
    <w:p w14:paraId="1EE4C3A5">
      <w:pPr>
        <w:autoSpaceDE w:val="0"/>
        <w:autoSpaceDN w:val="0"/>
        <w:adjustRightInd w:val="0"/>
        <w:snapToGrid w:val="0"/>
        <w:spacing w:before="0" w:line="400" w:lineRule="exact"/>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5E7E62B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color w:val="auto"/>
          <w:sz w:val="21"/>
          <w:szCs w:val="21"/>
          <w:highlight w:val="none"/>
          <w:lang w:val="en-GB"/>
        </w:rPr>
        <w:t>本合同应当按照规定执行政府采购政策。</w:t>
      </w:r>
    </w:p>
    <w:p w14:paraId="078691A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highlight w:val="none"/>
          <w:lang w:eastAsia="zh-CN"/>
        </w:rPr>
        <w:t>甲乙双方</w:t>
      </w:r>
      <w:r>
        <w:rPr>
          <w:rFonts w:hint="eastAsia" w:ascii="宋体" w:hAnsi="宋体" w:eastAsia="宋体" w:cs="宋体"/>
          <w:color w:val="auto"/>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w:t>
      </w:r>
      <w:r>
        <w:rPr>
          <w:rFonts w:hint="eastAsia" w:ascii="宋体" w:hAnsi="宋体" w:eastAsia="宋体" w:cs="宋体"/>
          <w:color w:val="auto"/>
          <w:sz w:val="21"/>
          <w:szCs w:val="21"/>
          <w:highlight w:val="none"/>
          <w:lang w:val="en-US" w:eastAsia="zh-CN"/>
        </w:rPr>
        <w:t>担赔偿责任，双方都有过错的，各自承担相应的责任。</w:t>
      </w:r>
    </w:p>
    <w:p w14:paraId="15F6DED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lang w:val="en-US" w:eastAsia="zh-CN"/>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或者分包意向协议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作为采购合同的组成部分。</w:t>
      </w:r>
    </w:p>
    <w:p w14:paraId="4DDDC0EC">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77D8A65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本合同的订立、生效、解释、履行及与本合同有关的争议解决，均适用法律、行政法规。</w:t>
      </w:r>
    </w:p>
    <w:p w14:paraId="0781C6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本合同条款与法律、行政法规的强制性规定不一致的，双方当事人应按照法律、行政法规的强制性规定修改本合同的相关条款。</w:t>
      </w:r>
    </w:p>
    <w:p w14:paraId="4D96B473">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02B583B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22171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6F20297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22.3本合同一方给另一方的通知均应采用书面形式，传真或快递送到本合</w:t>
      </w:r>
      <w:r>
        <w:rPr>
          <w:rFonts w:hint="eastAsia" w:ascii="宋体" w:hAnsi="宋体" w:eastAsia="宋体" w:cs="宋体"/>
          <w:color w:val="auto"/>
          <w:sz w:val="21"/>
          <w:szCs w:val="21"/>
          <w:highlight w:val="none"/>
        </w:rPr>
        <w:t>同中规定的对方的地址和办理签收手续。</w:t>
      </w:r>
    </w:p>
    <w:p w14:paraId="4579FC6E">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4A5EC7F9">
      <w:pPr>
        <w:numPr>
          <w:ilvl w:val="0"/>
          <w:numId w:val="7"/>
        </w:num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776E49F">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32543E9">
      <w:pPr>
        <w:adjustRightInd w:val="0"/>
        <w:snapToGrid w:val="0"/>
        <w:spacing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513" w:name="_Toc20313"/>
    </w:p>
    <w:p w14:paraId="7C5346BC">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3F5074B6">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514" w:name="_Toc30388"/>
      <w:bookmarkStart w:id="515" w:name="_Toc25072"/>
      <w:r>
        <w:rPr>
          <w:rFonts w:hint="eastAsia" w:ascii="宋体" w:hAnsi="宋体" w:eastAsia="宋体" w:cs="宋体"/>
          <w:b/>
          <w:bCs/>
          <w:color w:val="auto"/>
          <w:sz w:val="36"/>
          <w:szCs w:val="36"/>
          <w:highlight w:val="none"/>
        </w:rPr>
        <w:t>第三节 政府采购合同专用条款</w:t>
      </w:r>
      <w:bookmarkEnd w:id="513"/>
      <w:bookmarkEnd w:id="514"/>
      <w:bookmarkEnd w:id="515"/>
    </w:p>
    <w:tbl>
      <w:tblPr>
        <w:tblStyle w:val="27"/>
        <w:tblW w:w="8557" w:type="dxa"/>
        <w:tblInd w:w="-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2233"/>
        <w:gridCol w:w="4617"/>
      </w:tblGrid>
      <w:tr w14:paraId="26750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2DB7081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EADDA0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5FE396F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617" w:type="dxa"/>
            <w:vAlign w:val="center"/>
          </w:tcPr>
          <w:p w14:paraId="0CAEE7E4">
            <w:pPr>
              <w:adjustRightInd w:val="0"/>
              <w:snapToGrid w:val="0"/>
              <w:jc w:val="left"/>
              <w:rPr>
                <w:rFonts w:ascii="宋体" w:hAnsi="宋体"/>
                <w:color w:val="auto"/>
                <w:szCs w:val="21"/>
                <w:highlight w:val="none"/>
              </w:rPr>
            </w:pPr>
          </w:p>
        </w:tc>
      </w:tr>
      <w:tr w14:paraId="02A6B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07" w:type="dxa"/>
            <w:vAlign w:val="center"/>
          </w:tcPr>
          <w:p w14:paraId="173F44F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09860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233" w:type="dxa"/>
            <w:vAlign w:val="center"/>
          </w:tcPr>
          <w:p w14:paraId="2ECD481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4617" w:type="dxa"/>
            <w:vAlign w:val="center"/>
          </w:tcPr>
          <w:p w14:paraId="0BD8D8FD">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FA1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AB415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E31FC3E">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233" w:type="dxa"/>
            <w:vAlign w:val="center"/>
          </w:tcPr>
          <w:p w14:paraId="4F86094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617" w:type="dxa"/>
            <w:vAlign w:val="center"/>
          </w:tcPr>
          <w:p w14:paraId="237B690C">
            <w:pPr>
              <w:adjustRightInd w:val="0"/>
              <w:snapToGrid w:val="0"/>
              <w:jc w:val="left"/>
              <w:rPr>
                <w:rFonts w:ascii="宋体" w:hAnsi="宋体" w:eastAsia="宋体" w:cs="Times New Roman"/>
                <w:color w:val="auto"/>
                <w:kern w:val="2"/>
                <w:sz w:val="21"/>
                <w:szCs w:val="21"/>
                <w:highlight w:val="none"/>
                <w:lang w:val="en-US" w:eastAsia="zh-CN" w:bidi="ar-SA"/>
              </w:rPr>
            </w:pPr>
          </w:p>
        </w:tc>
      </w:tr>
      <w:tr w14:paraId="63215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A9DB47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75BCC22">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233" w:type="dxa"/>
            <w:vAlign w:val="center"/>
          </w:tcPr>
          <w:p w14:paraId="5DF6184D">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617" w:type="dxa"/>
            <w:vAlign w:val="center"/>
          </w:tcPr>
          <w:p w14:paraId="5B558C36">
            <w:pPr>
              <w:adjustRightInd w:val="0"/>
              <w:snapToGrid w:val="0"/>
              <w:jc w:val="left"/>
              <w:rPr>
                <w:rFonts w:ascii="宋体" w:hAnsi="宋体" w:eastAsia="宋体" w:cs="Times New Roman"/>
                <w:color w:val="auto"/>
                <w:kern w:val="2"/>
                <w:sz w:val="21"/>
                <w:szCs w:val="21"/>
                <w:highlight w:val="none"/>
                <w:lang w:val="en-US" w:eastAsia="zh-CN" w:bidi="ar-SA"/>
              </w:rPr>
            </w:pPr>
          </w:p>
        </w:tc>
      </w:tr>
      <w:tr w14:paraId="58E92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1FC7872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99EE97">
            <w:pPr>
              <w:keepNext w:val="0"/>
              <w:keepLines w:val="0"/>
              <w:pageBreakBefore w:val="0"/>
              <w:kinsoku/>
              <w:wordWrap/>
              <w:overflowPunct/>
              <w:topLinePunct w:val="0"/>
              <w:bidi w:val="0"/>
              <w:snapToGrid w:val="0"/>
              <w:spacing w:line="240" w:lineRule="auto"/>
              <w:jc w:val="center"/>
              <w:textAlignment w:val="auto"/>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233" w:type="dxa"/>
            <w:vAlign w:val="center"/>
          </w:tcPr>
          <w:p w14:paraId="4D94B515">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617" w:type="dxa"/>
            <w:vAlign w:val="center"/>
          </w:tcPr>
          <w:p w14:paraId="1EEA1A78">
            <w:pPr>
              <w:adjustRightInd w:val="0"/>
              <w:snapToGrid w:val="0"/>
              <w:jc w:val="left"/>
              <w:rPr>
                <w:rFonts w:ascii="宋体" w:hAnsi="宋体" w:eastAsia="宋体" w:cs="Times New Roman"/>
                <w:color w:val="auto"/>
                <w:kern w:val="2"/>
                <w:sz w:val="21"/>
                <w:szCs w:val="21"/>
                <w:highlight w:val="none"/>
                <w:lang w:val="en-US" w:eastAsia="zh-CN" w:bidi="ar-SA"/>
              </w:rPr>
            </w:pPr>
          </w:p>
        </w:tc>
      </w:tr>
      <w:tr w14:paraId="2B538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2FAE6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7183B86">
            <w:pPr>
              <w:keepNext w:val="0"/>
              <w:keepLines w:val="0"/>
              <w:pageBreakBefore w:val="0"/>
              <w:kinsoku/>
              <w:wordWrap/>
              <w:overflowPunct/>
              <w:topLinePunct w:val="0"/>
              <w:bidi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233" w:type="dxa"/>
            <w:vAlign w:val="center"/>
          </w:tcPr>
          <w:p w14:paraId="62601F39">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617" w:type="dxa"/>
            <w:vAlign w:val="center"/>
          </w:tcPr>
          <w:p w14:paraId="7410CCA4">
            <w:pPr>
              <w:adjustRightInd w:val="0"/>
              <w:snapToGrid w:val="0"/>
              <w:jc w:val="left"/>
              <w:rPr>
                <w:rFonts w:ascii="宋体" w:hAnsi="宋体" w:eastAsia="宋体" w:cs="Times New Roman"/>
                <w:color w:val="auto"/>
                <w:kern w:val="2"/>
                <w:sz w:val="21"/>
                <w:szCs w:val="21"/>
                <w:highlight w:val="none"/>
                <w:lang w:val="en-US" w:eastAsia="zh-CN" w:bidi="ar-SA"/>
              </w:rPr>
            </w:pPr>
          </w:p>
        </w:tc>
      </w:tr>
      <w:tr w14:paraId="32A44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restart"/>
            <w:vAlign w:val="center"/>
          </w:tcPr>
          <w:p w14:paraId="15DF615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881C52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233" w:type="dxa"/>
            <w:vAlign w:val="center"/>
          </w:tcPr>
          <w:p w14:paraId="00425EE9">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617" w:type="dxa"/>
            <w:vAlign w:val="center"/>
          </w:tcPr>
          <w:p w14:paraId="3694B338">
            <w:pPr>
              <w:rPr>
                <w:color w:val="auto"/>
                <w:highlight w:val="none"/>
              </w:rPr>
            </w:pPr>
          </w:p>
        </w:tc>
      </w:tr>
      <w:tr w14:paraId="6A47A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continue"/>
            <w:vAlign w:val="center"/>
          </w:tcPr>
          <w:p w14:paraId="789613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p>
        </w:tc>
        <w:tc>
          <w:tcPr>
            <w:tcW w:w="2233" w:type="dxa"/>
            <w:vAlign w:val="center"/>
          </w:tcPr>
          <w:p w14:paraId="20626CA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617" w:type="dxa"/>
            <w:vAlign w:val="center"/>
          </w:tcPr>
          <w:p w14:paraId="19BEE7A3">
            <w:pPr>
              <w:rPr>
                <w:rFonts w:hint="eastAsia"/>
                <w:color w:val="auto"/>
                <w:highlight w:val="none"/>
              </w:rPr>
            </w:pPr>
          </w:p>
        </w:tc>
      </w:tr>
      <w:tr w14:paraId="5A3F9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07" w:type="dxa"/>
            <w:vAlign w:val="center"/>
          </w:tcPr>
          <w:p w14:paraId="065C74F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690E34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vAlign w:val="center"/>
          </w:tcPr>
          <w:p w14:paraId="0414183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617" w:type="dxa"/>
            <w:vAlign w:val="center"/>
          </w:tcPr>
          <w:p w14:paraId="353A3E17">
            <w:pPr>
              <w:rPr>
                <w:rFonts w:hint="eastAsia"/>
                <w:color w:val="auto"/>
                <w:highlight w:val="none"/>
              </w:rPr>
            </w:pPr>
          </w:p>
        </w:tc>
      </w:tr>
      <w:tr w14:paraId="2CF65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Align w:val="center"/>
          </w:tcPr>
          <w:p w14:paraId="42E89B4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D65CF60">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233" w:type="dxa"/>
            <w:vAlign w:val="center"/>
          </w:tcPr>
          <w:p w14:paraId="75CDC4E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617" w:type="dxa"/>
            <w:vAlign w:val="center"/>
          </w:tcPr>
          <w:p w14:paraId="0E9BEF29">
            <w:pPr>
              <w:rPr>
                <w:rFonts w:hint="eastAsia"/>
                <w:color w:val="auto"/>
                <w:highlight w:val="none"/>
              </w:rPr>
            </w:pPr>
          </w:p>
        </w:tc>
      </w:tr>
      <w:tr w14:paraId="1FBE24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0764B232">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A61154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233" w:type="dxa"/>
            <w:vAlign w:val="center"/>
          </w:tcPr>
          <w:p w14:paraId="3392AF86">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质量保证期</w:t>
            </w:r>
          </w:p>
        </w:tc>
        <w:tc>
          <w:tcPr>
            <w:tcW w:w="4617" w:type="dxa"/>
            <w:vAlign w:val="center"/>
          </w:tcPr>
          <w:p w14:paraId="74113B72">
            <w:pPr>
              <w:autoSpaceDE w:val="0"/>
              <w:autoSpaceDN w:val="0"/>
              <w:adjustRightInd w:val="0"/>
              <w:snapToGrid w:val="0"/>
              <w:ind w:firstLine="480" w:firstLineChars="200"/>
              <w:jc w:val="left"/>
              <w:rPr>
                <w:rFonts w:ascii="宋体" w:hAnsi="宋体"/>
                <w:color w:val="auto"/>
                <w:szCs w:val="21"/>
                <w:highlight w:val="none"/>
              </w:rPr>
            </w:pPr>
          </w:p>
        </w:tc>
      </w:tr>
      <w:tr w14:paraId="4A7F9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CD74A7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1064226">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233" w:type="dxa"/>
            <w:vAlign w:val="center"/>
          </w:tcPr>
          <w:p w14:paraId="7A62DE3A">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EC14C95">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响应时间</w:t>
            </w:r>
          </w:p>
        </w:tc>
        <w:tc>
          <w:tcPr>
            <w:tcW w:w="4617" w:type="dxa"/>
            <w:vAlign w:val="center"/>
          </w:tcPr>
          <w:p w14:paraId="2A52495B">
            <w:pPr>
              <w:adjustRightInd w:val="0"/>
              <w:snapToGrid w:val="0"/>
              <w:jc w:val="left"/>
              <w:rPr>
                <w:rFonts w:ascii="宋体" w:hAnsi="宋体"/>
                <w:color w:val="auto"/>
                <w:szCs w:val="21"/>
                <w:highlight w:val="none"/>
              </w:rPr>
            </w:pPr>
          </w:p>
        </w:tc>
      </w:tr>
      <w:tr w14:paraId="59FF9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5EA8AE2">
            <w:pPr>
              <w:keepNext w:val="0"/>
              <w:keepLines w:val="0"/>
              <w:pageBreakBefore w:val="0"/>
              <w:kinsoku/>
              <w:wordWrap/>
              <w:overflowPunct/>
              <w:topLinePunct w:val="0"/>
              <w:bidi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668B64F8">
            <w:pPr>
              <w:pStyle w:val="51"/>
              <w:keepNext w:val="0"/>
              <w:keepLines w:val="0"/>
              <w:pageBreakBefore w:val="0"/>
              <w:kinsoku/>
              <w:wordWrap/>
              <w:overflowPunct/>
              <w:topLinePunct w:val="0"/>
              <w:bidi w:val="0"/>
              <w:spacing w:line="240" w:lineRule="auto"/>
              <w:ind w:firstLine="0" w:firstLineChars="0"/>
              <w:jc w:val="center"/>
              <w:textAlignment w:val="auto"/>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233" w:type="dxa"/>
            <w:vAlign w:val="center"/>
          </w:tcPr>
          <w:p w14:paraId="21EDE87D">
            <w:pPr>
              <w:keepNext w:val="0"/>
              <w:keepLines w:val="0"/>
              <w:pageBreakBefore w:val="0"/>
              <w:kinsoku/>
              <w:wordWrap/>
              <w:overflowPunct/>
              <w:topLinePunct w:val="0"/>
              <w:bidi w:val="0"/>
              <w:adjustRightInd w:val="0"/>
              <w:snapToGrid w:val="0"/>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617" w:type="dxa"/>
            <w:vAlign w:val="center"/>
          </w:tcPr>
          <w:p w14:paraId="78E7A6D8">
            <w:pPr>
              <w:adjustRightInd w:val="0"/>
              <w:snapToGrid w:val="0"/>
              <w:jc w:val="left"/>
              <w:rPr>
                <w:rFonts w:ascii="宋体" w:hAnsi="宋体"/>
                <w:color w:val="auto"/>
                <w:szCs w:val="21"/>
                <w:highlight w:val="none"/>
              </w:rPr>
            </w:pPr>
          </w:p>
        </w:tc>
      </w:tr>
      <w:tr w14:paraId="3C1B3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45EAA1D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3ED786D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233" w:type="dxa"/>
            <w:vAlign w:val="center"/>
          </w:tcPr>
          <w:p w14:paraId="64A177C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617" w:type="dxa"/>
            <w:vAlign w:val="center"/>
          </w:tcPr>
          <w:p w14:paraId="19ACE1AC">
            <w:pPr>
              <w:adjustRightInd w:val="0"/>
              <w:snapToGrid w:val="0"/>
              <w:jc w:val="left"/>
              <w:rPr>
                <w:rFonts w:ascii="宋体" w:hAnsi="宋体"/>
                <w:color w:val="auto"/>
                <w:szCs w:val="21"/>
                <w:highlight w:val="none"/>
              </w:rPr>
            </w:pPr>
          </w:p>
        </w:tc>
      </w:tr>
      <w:tr w14:paraId="7F085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7E532211">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57A60EC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233" w:type="dxa"/>
            <w:vAlign w:val="center"/>
          </w:tcPr>
          <w:p w14:paraId="55BFCEBB">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617" w:type="dxa"/>
            <w:vAlign w:val="center"/>
          </w:tcPr>
          <w:p w14:paraId="3B059075">
            <w:pPr>
              <w:adjustRightInd w:val="0"/>
              <w:snapToGrid w:val="0"/>
              <w:jc w:val="left"/>
              <w:rPr>
                <w:rFonts w:ascii="宋体" w:hAnsi="宋体"/>
                <w:color w:val="auto"/>
                <w:szCs w:val="21"/>
                <w:highlight w:val="none"/>
              </w:rPr>
            </w:pPr>
          </w:p>
        </w:tc>
      </w:tr>
      <w:tr w14:paraId="2B3DC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87699EE">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4B03247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233" w:type="dxa"/>
            <w:vAlign w:val="center"/>
          </w:tcPr>
          <w:p w14:paraId="54040FA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617" w:type="dxa"/>
            <w:vAlign w:val="center"/>
          </w:tcPr>
          <w:p w14:paraId="347592D5">
            <w:pPr>
              <w:adjustRightInd w:val="0"/>
              <w:snapToGrid w:val="0"/>
              <w:jc w:val="left"/>
              <w:rPr>
                <w:rFonts w:ascii="宋体" w:hAnsi="宋体"/>
                <w:color w:val="auto"/>
                <w:szCs w:val="21"/>
                <w:highlight w:val="none"/>
              </w:rPr>
            </w:pPr>
          </w:p>
        </w:tc>
      </w:tr>
      <w:tr w14:paraId="5AAB9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72BEAD9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71C710B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233" w:type="dxa"/>
            <w:vAlign w:val="center"/>
          </w:tcPr>
          <w:p w14:paraId="6DA2DA84">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617" w:type="dxa"/>
            <w:vAlign w:val="center"/>
          </w:tcPr>
          <w:p w14:paraId="50D906D6">
            <w:pPr>
              <w:adjustRightInd w:val="0"/>
              <w:snapToGrid w:val="0"/>
              <w:jc w:val="left"/>
              <w:rPr>
                <w:rFonts w:ascii="宋体" w:hAnsi="宋体"/>
                <w:color w:val="auto"/>
                <w:szCs w:val="21"/>
                <w:highlight w:val="none"/>
              </w:rPr>
            </w:pPr>
          </w:p>
        </w:tc>
      </w:tr>
      <w:tr w14:paraId="552EA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3E35BD0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F30CB9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233" w:type="dxa"/>
            <w:vAlign w:val="center"/>
          </w:tcPr>
          <w:p w14:paraId="3B13D05A">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617" w:type="dxa"/>
            <w:vAlign w:val="center"/>
          </w:tcPr>
          <w:p w14:paraId="3F6BFC2D">
            <w:pPr>
              <w:adjustRightInd w:val="0"/>
              <w:snapToGrid w:val="0"/>
              <w:jc w:val="left"/>
              <w:rPr>
                <w:rFonts w:ascii="宋体" w:hAnsi="宋体"/>
                <w:color w:val="auto"/>
                <w:szCs w:val="21"/>
                <w:highlight w:val="none"/>
              </w:rPr>
            </w:pPr>
          </w:p>
        </w:tc>
      </w:tr>
      <w:tr w14:paraId="7599E6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1B304A7">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0C862B0">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408D4E8A">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乙方提供的其他服务</w:t>
            </w:r>
          </w:p>
        </w:tc>
        <w:tc>
          <w:tcPr>
            <w:tcW w:w="4617" w:type="dxa"/>
            <w:vAlign w:val="center"/>
          </w:tcPr>
          <w:p w14:paraId="2C32E2AE">
            <w:pPr>
              <w:adjustRightInd w:val="0"/>
              <w:snapToGrid w:val="0"/>
              <w:jc w:val="left"/>
              <w:rPr>
                <w:rFonts w:ascii="宋体" w:hAnsi="宋体"/>
                <w:color w:val="auto"/>
                <w:szCs w:val="21"/>
                <w:highlight w:val="none"/>
              </w:rPr>
            </w:pPr>
          </w:p>
        </w:tc>
      </w:tr>
      <w:tr w14:paraId="690B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99DC64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B2E6050">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233" w:type="dxa"/>
            <w:vAlign w:val="center"/>
          </w:tcPr>
          <w:p w14:paraId="1C5461E0">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617" w:type="dxa"/>
            <w:vAlign w:val="center"/>
          </w:tcPr>
          <w:p w14:paraId="27D2F587">
            <w:pPr>
              <w:adjustRightInd w:val="0"/>
              <w:snapToGrid w:val="0"/>
              <w:jc w:val="left"/>
              <w:rPr>
                <w:rFonts w:ascii="宋体" w:hAnsi="宋体"/>
                <w:color w:val="auto"/>
                <w:szCs w:val="21"/>
                <w:highlight w:val="none"/>
              </w:rPr>
            </w:pPr>
          </w:p>
        </w:tc>
      </w:tr>
      <w:tr w14:paraId="5A7799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67EA198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FAA4F0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233" w:type="dxa"/>
            <w:vAlign w:val="center"/>
          </w:tcPr>
          <w:p w14:paraId="6CCB9C34">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迟延交货赔偿费</w:t>
            </w:r>
          </w:p>
        </w:tc>
        <w:tc>
          <w:tcPr>
            <w:tcW w:w="4617" w:type="dxa"/>
            <w:vAlign w:val="center"/>
          </w:tcPr>
          <w:p w14:paraId="70280E71">
            <w:pPr>
              <w:adjustRightInd w:val="0"/>
              <w:snapToGrid w:val="0"/>
              <w:jc w:val="left"/>
              <w:rPr>
                <w:rFonts w:ascii="宋体" w:hAnsi="宋体"/>
                <w:color w:val="auto"/>
                <w:szCs w:val="21"/>
                <w:highlight w:val="none"/>
                <w:u w:val="single"/>
              </w:rPr>
            </w:pPr>
          </w:p>
        </w:tc>
      </w:tr>
      <w:tr w14:paraId="4A640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24A673C">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534525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233" w:type="dxa"/>
            <w:vAlign w:val="center"/>
          </w:tcPr>
          <w:p w14:paraId="2C233818">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rPr>
              <w:t>逾期付款利息</w:t>
            </w:r>
          </w:p>
        </w:tc>
        <w:tc>
          <w:tcPr>
            <w:tcW w:w="4617" w:type="dxa"/>
            <w:vAlign w:val="center"/>
          </w:tcPr>
          <w:p w14:paraId="3A0C3F19">
            <w:pPr>
              <w:adjustRightInd w:val="0"/>
              <w:snapToGrid w:val="0"/>
              <w:jc w:val="left"/>
              <w:rPr>
                <w:rFonts w:ascii="宋体" w:hAnsi="宋体"/>
                <w:color w:val="auto"/>
                <w:szCs w:val="21"/>
                <w:highlight w:val="none"/>
                <w:u w:val="single"/>
              </w:rPr>
            </w:pPr>
          </w:p>
        </w:tc>
      </w:tr>
      <w:tr w14:paraId="34821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07" w:type="dxa"/>
            <w:tcBorders>
              <w:bottom w:val="single" w:color="auto" w:sz="2" w:space="0"/>
              <w:right w:val="single" w:color="auto" w:sz="2" w:space="0"/>
            </w:tcBorders>
            <w:vAlign w:val="center"/>
          </w:tcPr>
          <w:p w14:paraId="45AA05D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D78F5E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233" w:type="dxa"/>
            <w:tcBorders>
              <w:left w:val="single" w:color="auto" w:sz="2" w:space="0"/>
              <w:bottom w:val="single" w:color="auto" w:sz="2" w:space="0"/>
              <w:right w:val="single" w:color="auto" w:sz="2" w:space="0"/>
            </w:tcBorders>
            <w:vAlign w:val="center"/>
          </w:tcPr>
          <w:p w14:paraId="1138734C">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其他违约责任</w:t>
            </w:r>
          </w:p>
        </w:tc>
        <w:tc>
          <w:tcPr>
            <w:tcW w:w="4617" w:type="dxa"/>
            <w:tcBorders>
              <w:left w:val="single" w:color="auto" w:sz="2" w:space="0"/>
              <w:bottom w:val="single" w:color="auto" w:sz="2" w:space="0"/>
            </w:tcBorders>
            <w:vAlign w:val="center"/>
          </w:tcPr>
          <w:p w14:paraId="219760E1">
            <w:pPr>
              <w:adjustRightInd w:val="0"/>
              <w:snapToGrid w:val="0"/>
              <w:jc w:val="left"/>
              <w:rPr>
                <w:rFonts w:ascii="宋体" w:hAnsi="宋体"/>
                <w:color w:val="auto"/>
                <w:szCs w:val="21"/>
                <w:highlight w:val="none"/>
                <w:u w:val="single"/>
              </w:rPr>
            </w:pPr>
          </w:p>
        </w:tc>
      </w:tr>
      <w:tr w14:paraId="0A209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07" w:type="dxa"/>
            <w:tcBorders>
              <w:top w:val="single" w:color="auto" w:sz="2" w:space="0"/>
              <w:right w:val="single" w:color="auto" w:sz="2" w:space="0"/>
            </w:tcBorders>
            <w:vAlign w:val="center"/>
          </w:tcPr>
          <w:p w14:paraId="177F4FB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CFE048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tcBorders>
              <w:top w:val="single" w:color="auto" w:sz="2" w:space="0"/>
              <w:left w:val="single" w:color="auto" w:sz="2" w:space="0"/>
              <w:right w:val="single" w:color="auto" w:sz="2" w:space="0"/>
            </w:tcBorders>
            <w:vAlign w:val="center"/>
          </w:tcPr>
          <w:p w14:paraId="5351737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617" w:type="dxa"/>
            <w:tcBorders>
              <w:top w:val="single" w:color="auto" w:sz="2" w:space="0"/>
              <w:left w:val="single" w:color="auto" w:sz="2" w:space="0"/>
            </w:tcBorders>
            <w:vAlign w:val="center"/>
          </w:tcPr>
          <w:p w14:paraId="0812CAF3">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66960E2A">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A1D3AA7">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5C29C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07" w:type="dxa"/>
            <w:vAlign w:val="center"/>
          </w:tcPr>
          <w:p w14:paraId="464253B9">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F24106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233" w:type="dxa"/>
            <w:vAlign w:val="center"/>
          </w:tcPr>
          <w:p w14:paraId="6180F86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617" w:type="dxa"/>
            <w:vAlign w:val="center"/>
          </w:tcPr>
          <w:p w14:paraId="08227F34">
            <w:pPr>
              <w:adjustRightInd w:val="0"/>
              <w:snapToGrid w:val="0"/>
              <w:jc w:val="left"/>
              <w:rPr>
                <w:rFonts w:hint="default" w:ascii="宋体" w:hAnsi="宋体" w:eastAsia="宋体"/>
                <w:color w:val="auto"/>
                <w:szCs w:val="21"/>
                <w:highlight w:val="none"/>
                <w:lang w:val="en-US" w:eastAsia="zh-CN"/>
              </w:rPr>
            </w:pPr>
          </w:p>
        </w:tc>
      </w:tr>
    </w:tbl>
    <w:p w14:paraId="273AC562">
      <w:pPr>
        <w:rPr>
          <w:color w:val="auto"/>
          <w:highlight w:val="none"/>
        </w:rPr>
      </w:pPr>
    </w:p>
    <w:p w14:paraId="7360A251">
      <w:pPr>
        <w:rPr>
          <w:color w:val="auto"/>
          <w:highlight w:val="none"/>
        </w:rPr>
      </w:pPr>
    </w:p>
    <w:p w14:paraId="59C8CB5D">
      <w:pPr>
        <w:rPr>
          <w:color w:val="auto"/>
          <w:highlight w:val="none"/>
          <w:lang w:val="zh-CN"/>
        </w:rPr>
      </w:pPr>
    </w:p>
    <w:p w14:paraId="086D45F7">
      <w:pPr>
        <w:rPr>
          <w:rFonts w:hint="eastAsia"/>
          <w:color w:val="auto"/>
          <w:highlight w:val="none"/>
        </w:rPr>
      </w:pPr>
    </w:p>
    <w:p w14:paraId="428C386B">
      <w:pPr>
        <w:rPr>
          <w:rFonts w:hint="eastAsia"/>
          <w:color w:val="auto"/>
          <w:highlight w:val="none"/>
        </w:rPr>
      </w:pPr>
    </w:p>
    <w:p w14:paraId="12E53718">
      <w:pPr>
        <w:ind w:left="550" w:firstLine="420" w:firstLineChars="175"/>
        <w:rPr>
          <w:color w:val="auto"/>
          <w:highlight w:val="none"/>
        </w:rPr>
      </w:pPr>
    </w:p>
    <w:p w14:paraId="0C5CAFE0">
      <w:pPr>
        <w:rPr>
          <w:color w:val="auto"/>
          <w:highlight w:val="none"/>
        </w:rPr>
        <w:sectPr>
          <w:pgSz w:w="11906" w:h="16838"/>
          <w:pgMar w:top="1440" w:right="1800" w:bottom="1440" w:left="1800" w:header="851" w:footer="992" w:gutter="0"/>
          <w:pgNumType w:fmt="numberInDash"/>
          <w:cols w:space="425" w:num="1"/>
          <w:docGrid w:type="lines" w:linePitch="312" w:charSpace="0"/>
        </w:sectPr>
      </w:pPr>
    </w:p>
    <w:p w14:paraId="25B1FD2B">
      <w:pPr>
        <w:pStyle w:val="2"/>
        <w:numPr>
          <w:ilvl w:val="0"/>
          <w:numId w:val="0"/>
        </w:numPr>
        <w:ind w:left="420" w:leftChars="0" w:hanging="420" w:firstLineChars="0"/>
        <w:rPr>
          <w:rFonts w:hint="eastAsia" w:ascii="宋体" w:hAnsi="宋体" w:eastAsia="黑体" w:cstheme="minorBidi"/>
          <w:b/>
          <w:bCs/>
          <w:color w:val="auto"/>
          <w:kern w:val="44"/>
          <w:sz w:val="44"/>
          <w:szCs w:val="44"/>
          <w:highlight w:val="none"/>
          <w:lang w:val="en-US" w:eastAsia="zh-CN" w:bidi="ar-SA"/>
        </w:rPr>
      </w:pPr>
    </w:p>
    <w:p w14:paraId="1EBBB031">
      <w:pPr>
        <w:pStyle w:val="2"/>
        <w:numPr>
          <w:ilvl w:val="0"/>
          <w:numId w:val="0"/>
        </w:numPr>
        <w:ind w:left="420" w:leftChars="0" w:hanging="420" w:firstLineChars="0"/>
        <w:rPr>
          <w:rFonts w:hint="eastAsia" w:ascii="宋体" w:hAnsi="宋体" w:eastAsia="宋体" w:cs="宋体"/>
          <w:color w:val="auto"/>
          <w:sz w:val="36"/>
          <w:szCs w:val="36"/>
          <w:highlight w:val="none"/>
        </w:rPr>
      </w:pPr>
      <w:bookmarkStart w:id="516" w:name="_Toc12356"/>
      <w:bookmarkStart w:id="517" w:name="_Toc2755"/>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516"/>
      <w:bookmarkEnd w:id="517"/>
    </w:p>
    <w:p w14:paraId="6EC4C082">
      <w:pPr>
        <w:ind w:firstLine="480" w:firstLineChars="200"/>
        <w:rPr>
          <w:rFonts w:hint="eastAsia" w:cs="仿宋_GB2312"/>
          <w:color w:val="auto"/>
          <w:highlight w:val="none"/>
          <w:lang w:val="zh-CN"/>
        </w:rPr>
      </w:pPr>
    </w:p>
    <w:p w14:paraId="66F9DB6D">
      <w:pPr>
        <w:ind w:firstLine="480" w:firstLineChars="200"/>
        <w:rPr>
          <w:rFonts w:hint="eastAsia" w:cs="仿宋_GB2312"/>
          <w:color w:val="auto"/>
          <w:highlight w:val="none"/>
          <w:lang w:val="zh-CN"/>
        </w:rPr>
      </w:pPr>
    </w:p>
    <w:p w14:paraId="0F1E5057">
      <w:pPr>
        <w:ind w:firstLine="480" w:firstLineChars="200"/>
        <w:rPr>
          <w:rFonts w:hint="eastAsia" w:cs="仿宋_GB2312"/>
          <w:color w:val="auto"/>
          <w:highlight w:val="none"/>
          <w:lang w:val="zh-CN"/>
        </w:rPr>
      </w:pPr>
    </w:p>
    <w:p w14:paraId="02C1CDE2">
      <w:pPr>
        <w:ind w:firstLine="480" w:firstLineChars="200"/>
        <w:rPr>
          <w:rFonts w:hint="eastAsia" w:cs="仿宋_GB2312"/>
          <w:color w:val="auto"/>
          <w:highlight w:val="none"/>
          <w:lang w:val="zh-CN"/>
        </w:rPr>
      </w:pPr>
    </w:p>
    <w:p w14:paraId="5FD4F8BE">
      <w:pPr>
        <w:ind w:firstLine="480" w:firstLineChars="200"/>
        <w:rPr>
          <w:rFonts w:hint="eastAsia" w:cs="仿宋_GB2312"/>
          <w:color w:val="auto"/>
          <w:highlight w:val="none"/>
          <w:lang w:val="zh-CN"/>
        </w:rPr>
      </w:pPr>
    </w:p>
    <w:p w14:paraId="40FD170D">
      <w:pPr>
        <w:ind w:firstLine="480" w:firstLineChars="200"/>
        <w:rPr>
          <w:rFonts w:hint="eastAsia" w:cs="仿宋_GB2312"/>
          <w:color w:val="auto"/>
          <w:highlight w:val="none"/>
          <w:lang w:val="zh-CN"/>
        </w:rPr>
      </w:pPr>
    </w:p>
    <w:p w14:paraId="333C12D2">
      <w:pPr>
        <w:ind w:firstLine="480" w:firstLineChars="200"/>
        <w:rPr>
          <w:rFonts w:hint="eastAsia" w:cs="仿宋_GB2312"/>
          <w:color w:val="auto"/>
          <w:highlight w:val="none"/>
          <w:lang w:val="zh-CN"/>
        </w:rPr>
      </w:pPr>
    </w:p>
    <w:p w14:paraId="0DC5F5FB">
      <w:pPr>
        <w:ind w:firstLine="480" w:firstLineChars="200"/>
        <w:rPr>
          <w:rFonts w:hint="eastAsia" w:cs="仿宋_GB2312"/>
          <w:color w:val="auto"/>
          <w:highlight w:val="none"/>
          <w:lang w:val="zh-CN"/>
        </w:rPr>
      </w:pPr>
    </w:p>
    <w:p w14:paraId="7D5CE0DF">
      <w:pPr>
        <w:ind w:firstLine="480" w:firstLineChars="200"/>
        <w:rPr>
          <w:rFonts w:hint="eastAsia" w:cs="仿宋_GB2312"/>
          <w:color w:val="auto"/>
          <w:highlight w:val="none"/>
          <w:lang w:val="zh-CN"/>
        </w:rPr>
      </w:pPr>
    </w:p>
    <w:p w14:paraId="226FEC9F">
      <w:pPr>
        <w:ind w:firstLine="480" w:firstLineChars="200"/>
        <w:rPr>
          <w:rFonts w:hint="eastAsia" w:cs="仿宋_GB2312"/>
          <w:color w:val="auto"/>
          <w:highlight w:val="none"/>
          <w:lang w:val="zh-CN"/>
        </w:rPr>
      </w:pPr>
    </w:p>
    <w:p w14:paraId="3B193948">
      <w:pPr>
        <w:ind w:firstLine="480" w:firstLineChars="200"/>
        <w:rPr>
          <w:rFonts w:hint="eastAsia" w:cs="仿宋_GB2312"/>
          <w:color w:val="auto"/>
          <w:highlight w:val="none"/>
          <w:lang w:val="zh-CN"/>
        </w:rPr>
      </w:pPr>
    </w:p>
    <w:p w14:paraId="25528327">
      <w:pPr>
        <w:ind w:firstLine="480" w:firstLineChars="200"/>
        <w:rPr>
          <w:rFonts w:hint="eastAsia" w:cs="仿宋_GB2312"/>
          <w:color w:val="auto"/>
          <w:highlight w:val="none"/>
          <w:lang w:val="zh-CN"/>
        </w:rPr>
      </w:pPr>
    </w:p>
    <w:p w14:paraId="6F2846A3">
      <w:pPr>
        <w:ind w:firstLine="480" w:firstLineChars="200"/>
        <w:rPr>
          <w:rFonts w:hint="eastAsia" w:cs="仿宋_GB2312"/>
          <w:color w:val="auto"/>
          <w:highlight w:val="none"/>
          <w:lang w:val="zh-CN"/>
        </w:rPr>
      </w:pPr>
    </w:p>
    <w:p w14:paraId="6D7EA01B">
      <w:pPr>
        <w:ind w:firstLine="480" w:firstLineChars="200"/>
        <w:rPr>
          <w:rFonts w:hint="eastAsia" w:cs="仿宋_GB2312"/>
          <w:color w:val="auto"/>
          <w:highlight w:val="none"/>
          <w:lang w:val="zh-CN"/>
        </w:rPr>
      </w:pPr>
    </w:p>
    <w:p w14:paraId="1FA1C6E4">
      <w:pPr>
        <w:ind w:firstLine="480" w:firstLineChars="200"/>
        <w:rPr>
          <w:rFonts w:hint="eastAsia" w:cs="仿宋_GB2312"/>
          <w:color w:val="auto"/>
          <w:highlight w:val="none"/>
          <w:lang w:val="zh-CN"/>
        </w:rPr>
      </w:pPr>
    </w:p>
    <w:p w14:paraId="7080018F">
      <w:pPr>
        <w:ind w:firstLine="480" w:firstLineChars="200"/>
        <w:rPr>
          <w:rFonts w:hint="eastAsia" w:cs="仿宋_GB2312"/>
          <w:color w:val="auto"/>
          <w:highlight w:val="none"/>
          <w:lang w:val="zh-CN"/>
        </w:rPr>
      </w:pPr>
    </w:p>
    <w:p w14:paraId="4B79049E">
      <w:pPr>
        <w:ind w:firstLine="480" w:firstLineChars="200"/>
        <w:rPr>
          <w:rFonts w:hint="eastAsia" w:cs="仿宋_GB2312"/>
          <w:color w:val="auto"/>
          <w:highlight w:val="none"/>
          <w:lang w:val="zh-CN"/>
        </w:rPr>
      </w:pPr>
    </w:p>
    <w:p w14:paraId="690F05F4">
      <w:pPr>
        <w:ind w:firstLine="480" w:firstLineChars="200"/>
        <w:rPr>
          <w:rFonts w:hint="eastAsia" w:cs="仿宋_GB2312"/>
          <w:color w:val="auto"/>
          <w:highlight w:val="none"/>
          <w:lang w:val="zh-CN"/>
        </w:rPr>
      </w:pPr>
    </w:p>
    <w:p w14:paraId="6ED94B89">
      <w:pPr>
        <w:ind w:firstLine="480" w:firstLineChars="200"/>
        <w:rPr>
          <w:rFonts w:hint="eastAsia" w:cs="仿宋_GB2312"/>
          <w:color w:val="auto"/>
          <w:highlight w:val="none"/>
          <w:lang w:val="zh-CN"/>
        </w:rPr>
      </w:pPr>
    </w:p>
    <w:p w14:paraId="7DE59651">
      <w:pPr>
        <w:ind w:firstLine="480" w:firstLineChars="200"/>
        <w:rPr>
          <w:rFonts w:hint="eastAsia" w:cs="仿宋_GB2312"/>
          <w:color w:val="auto"/>
          <w:highlight w:val="none"/>
          <w:lang w:val="zh-CN"/>
        </w:rPr>
      </w:pPr>
    </w:p>
    <w:p w14:paraId="0D899E1D">
      <w:pPr>
        <w:ind w:firstLine="480" w:firstLineChars="200"/>
        <w:rPr>
          <w:rFonts w:hint="eastAsia" w:cs="仿宋_GB2312"/>
          <w:color w:val="auto"/>
          <w:highlight w:val="none"/>
          <w:lang w:val="zh-CN"/>
        </w:rPr>
      </w:pPr>
    </w:p>
    <w:p w14:paraId="6EA0DF60">
      <w:pPr>
        <w:ind w:firstLine="480" w:firstLineChars="200"/>
        <w:rPr>
          <w:rFonts w:hint="eastAsia" w:cs="仿宋_GB2312"/>
          <w:color w:val="auto"/>
          <w:highlight w:val="none"/>
          <w:lang w:val="zh-CN"/>
        </w:rPr>
      </w:pPr>
    </w:p>
    <w:p w14:paraId="0EAD2D3B">
      <w:pPr>
        <w:ind w:firstLine="480" w:firstLineChars="200"/>
        <w:rPr>
          <w:rFonts w:hint="eastAsia" w:cs="仿宋_GB2312"/>
          <w:color w:val="auto"/>
          <w:highlight w:val="none"/>
          <w:lang w:val="zh-CN"/>
        </w:rPr>
      </w:pPr>
    </w:p>
    <w:p w14:paraId="470AE675">
      <w:pPr>
        <w:ind w:firstLine="480" w:firstLineChars="200"/>
        <w:rPr>
          <w:rFonts w:hint="eastAsia" w:cs="仿宋_GB2312"/>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3"/>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44B4D6D4">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color w:val="auto"/>
          <w:sz w:val="28"/>
          <w:szCs w:val="28"/>
          <w:highlight w:val="none"/>
        </w:rPr>
      </w:pPr>
      <w:r>
        <w:rPr>
          <w:b/>
          <w:bCs/>
          <w:color w:val="auto"/>
          <w:sz w:val="28"/>
          <w:szCs w:val="28"/>
          <w:highlight w:val="none"/>
        </w:rPr>
        <w:br w:type="page"/>
      </w:r>
    </w:p>
    <w:p w14:paraId="6DBE2CDA">
      <w:pPr>
        <w:rPr>
          <w:color w:val="auto"/>
          <w:highlight w:val="none"/>
          <w:lang w:val="zh-CN"/>
        </w:rPr>
      </w:pPr>
      <w:bookmarkStart w:id="518" w:name="_Toc163492922"/>
      <w:bookmarkStart w:id="519" w:name="_Toc155185928"/>
      <w:bookmarkStart w:id="520" w:name="_Toc163493643"/>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521" w:name="_Toc30712"/>
      <w:bookmarkStart w:id="522" w:name="_Toc28200"/>
      <w:bookmarkStart w:id="523"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521"/>
      <w:bookmarkEnd w:id="522"/>
    </w:p>
    <w:bookmarkEnd w:id="523"/>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128F3677">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bookmarkEnd w:id="518"/>
    <w:bookmarkEnd w:id="519"/>
    <w:p w14:paraId="69A95AD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524" w:name="_Toc4110"/>
      <w:bookmarkStart w:id="525" w:name="_Toc4705"/>
      <w:r>
        <w:rPr>
          <w:rFonts w:hint="eastAsia" w:eastAsia="宋体" w:cstheme="majorBidi"/>
          <w:b/>
          <w:bCs/>
          <w:color w:val="auto"/>
          <w:kern w:val="2"/>
          <w:sz w:val="24"/>
          <w:szCs w:val="24"/>
          <w:highlight w:val="none"/>
          <w:lang w:val="en-US" w:eastAsia="zh-CN" w:bidi="ar-SA"/>
        </w:rPr>
        <w:t>（二）兵团政府采购供应商信用承诺函</w:t>
      </w:r>
      <w:bookmarkEnd w:id="524"/>
      <w:bookmarkEnd w:id="525"/>
    </w:p>
    <w:p w14:paraId="149786FB">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8FFA3C0">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DA4A26F">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565F5FE">
      <w:pPr>
        <w:spacing w:line="560" w:lineRule="exact"/>
        <w:ind w:firstLine="480" w:firstLineChars="200"/>
        <w:rPr>
          <w:rFonts w:hint="eastAsia" w:ascii="宋体" w:hAnsi="宋体" w:eastAsia="宋体" w:cs="宋体"/>
          <w:color w:val="auto"/>
          <w:kern w:val="0"/>
          <w:sz w:val="24"/>
          <w:szCs w:val="24"/>
          <w:highlight w:val="none"/>
        </w:rPr>
      </w:pPr>
    </w:p>
    <w:p w14:paraId="39CDD6B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、重大税收违法案件当事人名单、政府采购严重违法失信行为记录名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70127B2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color w:val="auto"/>
          <w:kern w:val="0"/>
          <w:sz w:val="24"/>
          <w:szCs w:val="24"/>
          <w:highlight w:val="none"/>
        </w:rPr>
      </w:pPr>
    </w:p>
    <w:p w14:paraId="5883D10C">
      <w:pPr>
        <w:spacing w:line="560" w:lineRule="exact"/>
        <w:rPr>
          <w:rFonts w:hint="eastAsia" w:ascii="宋体" w:hAnsi="宋体" w:eastAsia="宋体" w:cs="宋体"/>
          <w:color w:val="auto"/>
          <w:kern w:val="0"/>
          <w:sz w:val="24"/>
          <w:szCs w:val="24"/>
          <w:highlight w:val="none"/>
        </w:rPr>
      </w:pPr>
    </w:p>
    <w:p w14:paraId="02066849">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FCFFDC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510A125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color w:val="auto"/>
          <w:kern w:val="0"/>
          <w:sz w:val="24"/>
          <w:szCs w:val="24"/>
          <w:highlight w:val="none"/>
        </w:rPr>
      </w:pPr>
    </w:p>
    <w:p w14:paraId="282D3BE6">
      <w:pPr>
        <w:rPr>
          <w:rFonts w:ascii="Arial" w:hAnsi="Arial" w:cs="Arial"/>
          <w:color w:val="auto"/>
          <w:szCs w:val="21"/>
          <w:highlight w:val="none"/>
        </w:rPr>
      </w:pPr>
      <w:r>
        <w:rPr>
          <w:rFonts w:ascii="Arial" w:hAnsi="Arial" w:cs="Arial"/>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526" w:name="_Toc109900336"/>
      <w:bookmarkStart w:id="527" w:name="_Toc109899498"/>
      <w:bookmarkStart w:id="528" w:name="_Toc109899917"/>
      <w:bookmarkStart w:id="529" w:name="_Toc155185930"/>
      <w:bookmarkStart w:id="530" w:name="_Toc140132840"/>
      <w:bookmarkStart w:id="531" w:name="_Toc163492923"/>
      <w:bookmarkStart w:id="532" w:name="_Toc17033"/>
      <w:bookmarkStart w:id="533" w:name="_Toc21768"/>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526"/>
      <w:bookmarkEnd w:id="527"/>
      <w:bookmarkEnd w:id="528"/>
      <w:bookmarkEnd w:id="529"/>
      <w:bookmarkEnd w:id="530"/>
      <w:bookmarkEnd w:id="531"/>
      <w:bookmarkStart w:id="534"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534"/>
      <w:r>
        <w:rPr>
          <w:rFonts w:hint="eastAsia" w:ascii="宋体" w:hAnsi="宋体" w:eastAsia="宋体" w:cstheme="minorBidi"/>
          <w:b w:val="0"/>
          <w:bCs w:val="0"/>
          <w:color w:val="auto"/>
          <w:kern w:val="2"/>
          <w:sz w:val="28"/>
          <w:szCs w:val="28"/>
          <w:highlight w:val="none"/>
          <w:lang w:val="zh-CN" w:eastAsia="zh-CN" w:bidi="ar-SA"/>
        </w:rPr>
        <w:t>【如适用】</w:t>
      </w:r>
      <w:bookmarkEnd w:id="532"/>
      <w:bookmarkEnd w:id="533"/>
    </w:p>
    <w:p w14:paraId="39563C7F">
      <w:pPr>
        <w:snapToGrid w:val="0"/>
        <w:spacing w:line="360" w:lineRule="auto"/>
        <w:jc w:val="center"/>
        <w:outlineLvl w:val="0"/>
        <w:rPr>
          <w:rFonts w:hint="eastAsia" w:ascii="宋体" w:hAnsi="宋体" w:cs="宋体"/>
          <w:b/>
          <w:color w:val="auto"/>
          <w:kern w:val="0"/>
          <w:sz w:val="32"/>
          <w:szCs w:val="32"/>
          <w:highlight w:val="none"/>
        </w:rPr>
      </w:pPr>
    </w:p>
    <w:p w14:paraId="0BBE5457">
      <w:pPr>
        <w:snapToGrid w:val="0"/>
        <w:spacing w:line="360" w:lineRule="auto"/>
        <w:jc w:val="center"/>
        <w:outlineLvl w:val="0"/>
        <w:rPr>
          <w:rFonts w:hint="eastAsia" w:ascii="宋体" w:hAnsi="宋体" w:cs="宋体"/>
          <w:b/>
          <w:color w:val="auto"/>
          <w:kern w:val="0"/>
          <w:sz w:val="32"/>
          <w:szCs w:val="32"/>
          <w:highlight w:val="none"/>
        </w:rPr>
      </w:pPr>
      <w:bookmarkStart w:id="535" w:name="_Toc6473"/>
      <w:bookmarkStart w:id="536" w:name="_Toc30743"/>
      <w:r>
        <w:rPr>
          <w:rFonts w:hint="eastAsia" w:ascii="宋体" w:hAnsi="宋体" w:cs="宋体"/>
          <w:b/>
          <w:color w:val="auto"/>
          <w:kern w:val="0"/>
          <w:sz w:val="32"/>
          <w:szCs w:val="32"/>
          <w:highlight w:val="none"/>
        </w:rPr>
        <w:t>联合体协议书</w:t>
      </w:r>
      <w:bookmarkEnd w:id="535"/>
      <w:bookmarkEnd w:id="536"/>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w:t>
      </w:r>
      <w:r>
        <w:rPr>
          <w:rFonts w:hint="eastAsia" w:cs="宋体"/>
          <w:b/>
          <w:color w:val="auto"/>
          <w:sz w:val="24"/>
          <w:highlight w:val="none"/>
          <w:lang w:val="en-US" w:eastAsia="zh-CN"/>
        </w:rPr>
        <w:t>谈判响应</w:t>
      </w:r>
      <w:r>
        <w:rPr>
          <w:rFonts w:hint="eastAsia" w:ascii="宋体" w:hAnsi="宋体" w:cs="宋体"/>
          <w:b/>
          <w:color w:val="auto"/>
          <w:sz w:val="24"/>
          <w:highlight w:val="none"/>
        </w:rPr>
        <w:t>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w:t>
      </w:r>
      <w:r>
        <w:rPr>
          <w:rFonts w:hint="eastAsia" w:cs="宋体"/>
          <w:b/>
          <w:color w:val="auto"/>
          <w:sz w:val="24"/>
          <w:highlight w:val="none"/>
          <w:lang w:val="en-US" w:eastAsia="zh-CN"/>
        </w:rPr>
        <w:t>谈判响应</w:t>
      </w:r>
      <w:r>
        <w:rPr>
          <w:rFonts w:hint="eastAsia" w:ascii="宋体" w:hAnsi="宋体" w:cs="宋体"/>
          <w:b/>
          <w:color w:val="auto"/>
          <w:sz w:val="24"/>
          <w:highlight w:val="none"/>
        </w:rPr>
        <w:t>或者</w:t>
      </w:r>
      <w:r>
        <w:rPr>
          <w:rFonts w:hint="eastAsia" w:cs="宋体"/>
          <w:b/>
          <w:color w:val="auto"/>
          <w:sz w:val="24"/>
          <w:highlight w:val="none"/>
          <w:lang w:val="en-US" w:eastAsia="zh-CN"/>
        </w:rPr>
        <w:t>供应商</w:t>
      </w:r>
      <w:r>
        <w:rPr>
          <w:rFonts w:hint="eastAsia" w:ascii="宋体" w:hAnsi="宋体" w:cs="宋体"/>
          <w:b/>
          <w:color w:val="auto"/>
          <w:sz w:val="24"/>
          <w:highlight w:val="none"/>
        </w:rPr>
        <w:t>不以联合体形式</w:t>
      </w:r>
      <w:r>
        <w:rPr>
          <w:rFonts w:hint="eastAsia" w:cs="宋体"/>
          <w:b/>
          <w:color w:val="auto"/>
          <w:sz w:val="24"/>
          <w:highlight w:val="none"/>
          <w:lang w:val="en-US" w:eastAsia="zh-CN"/>
        </w:rPr>
        <w:t>谈判响应</w:t>
      </w:r>
      <w:r>
        <w:rPr>
          <w:rFonts w:hint="eastAsia" w:ascii="宋体" w:hAnsi="宋体" w:cs="宋体"/>
          <w:b/>
          <w:color w:val="auto"/>
          <w:sz w:val="24"/>
          <w:highlight w:val="none"/>
        </w:rPr>
        <w:t>的，则不需要提供）</w:t>
      </w:r>
    </w:p>
    <w:p w14:paraId="40230D62">
      <w:pPr>
        <w:snapToGrid w:val="0"/>
        <w:ind w:firstLine="576"/>
        <w:rPr>
          <w:rFonts w:ascii="宋体" w:hAnsi="宋体" w:cs="宋体"/>
          <w:color w:val="auto"/>
          <w:kern w:val="0"/>
          <w:sz w:val="24"/>
          <w:highlight w:val="none"/>
          <w:lang w:val="zh-CN"/>
        </w:rPr>
      </w:pPr>
      <w:r>
        <w:rPr>
          <w:rFonts w:hint="eastAsia" w:cs="宋体"/>
          <w:color w:val="auto"/>
          <w:kern w:val="0"/>
          <w:highlight w:val="none"/>
          <w:u w:val="single"/>
        </w:rPr>
        <w:t>（联合体所有成员名称）</w:t>
      </w:r>
      <w:r>
        <w:rPr>
          <w:rFonts w:hint="eastAsia" w:cs="宋体"/>
          <w:color w:val="auto"/>
          <w:kern w:val="0"/>
          <w:highlight w:val="none"/>
        </w:rPr>
        <w:t>自愿</w:t>
      </w:r>
      <w:r>
        <w:rPr>
          <w:rFonts w:hint="eastAsia" w:cs="宋体"/>
          <w:color w:val="auto"/>
          <w:kern w:val="0"/>
          <w:highlight w:val="none"/>
          <w:lang w:val="zh-CN"/>
        </w:rPr>
        <w:t>组成一个联合体，以一个</w:t>
      </w:r>
      <w:r>
        <w:rPr>
          <w:rFonts w:hint="eastAsia" w:cs="宋体"/>
          <w:color w:val="auto"/>
          <w:kern w:val="0"/>
          <w:highlight w:val="none"/>
        </w:rPr>
        <w:t>供应商</w:t>
      </w:r>
      <w:r>
        <w:rPr>
          <w:rFonts w:hint="eastAsia" w:cs="宋体"/>
          <w:color w:val="auto"/>
          <w:kern w:val="0"/>
          <w:highlight w:val="none"/>
          <w:lang w:val="zh-CN"/>
        </w:rPr>
        <w:t>的身份</w:t>
      </w:r>
      <w:r>
        <w:rPr>
          <w:rFonts w:hint="eastAsia" w:cs="宋体"/>
          <w:color w:val="auto"/>
          <w:kern w:val="0"/>
          <w:highlight w:val="none"/>
        </w:rPr>
        <w:t>参加</w:t>
      </w:r>
      <w:r>
        <w:rPr>
          <w:rFonts w:hint="eastAsia" w:cs="宋体"/>
          <w:color w:val="auto"/>
          <w:highlight w:val="none"/>
          <w:u w:val="single"/>
        </w:rPr>
        <w:t>（项目名称）</w:t>
      </w:r>
      <w:r>
        <w:rPr>
          <w:rFonts w:hint="eastAsia" w:cs="宋体"/>
          <w:color w:val="auto"/>
          <w:highlight w:val="none"/>
          <w:u w:val="single"/>
          <w:lang w:val="en-US" w:eastAsia="zh-CN"/>
        </w:rPr>
        <w:t xml:space="preserve">     </w:t>
      </w:r>
      <w:r>
        <w:rPr>
          <w:rFonts w:hint="eastAsia" w:cs="宋体"/>
          <w:color w:val="auto"/>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cs="宋体"/>
          <w:color w:val="auto"/>
          <w:highlight w:val="none"/>
        </w:rPr>
        <w:t>】</w:t>
      </w:r>
      <w:r>
        <w:rPr>
          <w:rFonts w:hint="eastAsia" w:cs="宋体"/>
          <w:color w:val="auto"/>
          <w:kern w:val="0"/>
          <w:highlight w:val="none"/>
          <w:lang w:val="en-US" w:eastAsia="zh-CN"/>
        </w:rPr>
        <w:t>谈判</w:t>
      </w:r>
      <w:r>
        <w:rPr>
          <w:rFonts w:hint="eastAsia" w:cs="宋体"/>
          <w:color w:val="auto"/>
          <w:kern w:val="0"/>
          <w:highlight w:val="none"/>
          <w:lang w:val="zh-CN"/>
        </w:rPr>
        <w:t xml:space="preserve">。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w:t>
      </w:r>
      <w:r>
        <w:rPr>
          <w:rFonts w:hint="eastAsia" w:cs="宋体"/>
          <w:color w:val="auto"/>
          <w:sz w:val="24"/>
          <w:highlight w:val="none"/>
          <w:lang w:val="en-US" w:eastAsia="zh-CN"/>
        </w:rPr>
        <w:t>谈判响应</w:t>
      </w:r>
      <w:r>
        <w:rPr>
          <w:rFonts w:hint="eastAsia" w:ascii="宋体" w:hAnsi="宋体" w:cs="宋体"/>
          <w:color w:val="auto"/>
          <w:sz w:val="24"/>
          <w:highlight w:val="none"/>
        </w:rPr>
        <w:t>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w:t>
      </w:r>
      <w:r>
        <w:rPr>
          <w:rFonts w:hint="eastAsia" w:ascii="宋体" w:hAnsi="宋体" w:cs="宋体"/>
          <w:color w:val="auto"/>
          <w:kern w:val="0"/>
          <w:sz w:val="24"/>
          <w:highlight w:val="none"/>
          <w:lang w:val="zh-CN" w:eastAsia="zh-CN"/>
        </w:rPr>
        <w:t>竞争性</w:t>
      </w:r>
      <w:r>
        <w:rPr>
          <w:rFonts w:hint="eastAsia" w:cs="宋体"/>
          <w:color w:val="auto"/>
          <w:kern w:val="0"/>
          <w:sz w:val="24"/>
          <w:highlight w:val="none"/>
          <w:lang w:val="en-US" w:eastAsia="zh-CN"/>
        </w:rPr>
        <w:t>谈判</w:t>
      </w:r>
      <w:r>
        <w:rPr>
          <w:rFonts w:hint="eastAsia" w:ascii="宋体" w:hAnsi="宋体" w:cs="宋体"/>
          <w:color w:val="auto"/>
          <w:kern w:val="0"/>
          <w:sz w:val="24"/>
          <w:highlight w:val="none"/>
          <w:lang w:val="zh-CN"/>
        </w:rPr>
        <w:t>文件规定及</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内容而对采购人、采购代理机构所作的任何合法承诺，包括书面澄清及相应等均对联合</w:t>
      </w:r>
      <w:r>
        <w:rPr>
          <w:rFonts w:hint="eastAsia" w:cs="宋体"/>
          <w:color w:val="auto"/>
          <w:kern w:val="0"/>
          <w:sz w:val="24"/>
          <w:highlight w:val="none"/>
          <w:lang w:val="en-US" w:eastAsia="zh-CN"/>
        </w:rPr>
        <w:t>谈判响应</w:t>
      </w:r>
      <w:r>
        <w:rPr>
          <w:rFonts w:hint="eastAsia" w:ascii="宋体" w:hAnsi="宋体" w:cs="宋体"/>
          <w:color w:val="auto"/>
          <w:kern w:val="0"/>
          <w:sz w:val="24"/>
          <w:highlight w:val="none"/>
          <w:lang w:val="zh-CN"/>
        </w:rPr>
        <w:t>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w:t>
      </w:r>
      <w:r>
        <w:rPr>
          <w:rFonts w:hint="eastAsia" w:cs="宋体"/>
          <w:color w:val="auto"/>
          <w:kern w:val="0"/>
          <w:sz w:val="24"/>
          <w:highlight w:val="none"/>
          <w:lang w:val="en-US" w:eastAsia="zh-CN"/>
        </w:rPr>
        <w:t>谈判响应</w:t>
      </w:r>
      <w:r>
        <w:rPr>
          <w:rFonts w:hint="eastAsia" w:ascii="宋体" w:hAnsi="宋体" w:cs="宋体"/>
          <w:color w:val="auto"/>
          <w:kern w:val="0"/>
          <w:sz w:val="24"/>
          <w:highlight w:val="none"/>
          <w:lang w:val="zh-CN"/>
        </w:rPr>
        <w:t>中，分工如下：</w:t>
      </w:r>
    </w:p>
    <w:p w14:paraId="5742291A">
      <w:pPr>
        <w:snapToGrid w:val="0"/>
        <w:spacing w:line="360" w:lineRule="auto"/>
        <w:ind w:firstLine="576"/>
        <w:rPr>
          <w:rFonts w:ascii="宋体" w:hAnsi="宋体" w:cs="宋体"/>
          <w:color w:val="auto"/>
          <w:kern w:val="0"/>
          <w:sz w:val="24"/>
          <w:highlight w:val="none"/>
          <w:lang w:val="zh-CN"/>
        </w:rPr>
      </w:pPr>
      <w:bookmarkStart w:id="537"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537"/>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w:t>
      </w:r>
      <w:r>
        <w:rPr>
          <w:rFonts w:hint="eastAsia" w:cs="宋体"/>
          <w:b/>
          <w:color w:val="auto"/>
          <w:kern w:val="0"/>
          <w:sz w:val="24"/>
          <w:highlight w:val="none"/>
          <w:lang w:val="en-US" w:eastAsia="zh-CN"/>
        </w:rPr>
        <w:t>谈判响应</w:t>
      </w:r>
      <w:r>
        <w:rPr>
          <w:rFonts w:hint="eastAsia" w:ascii="宋体" w:hAnsi="宋体" w:cs="宋体"/>
          <w:b/>
          <w:color w:val="auto"/>
          <w:kern w:val="0"/>
          <w:sz w:val="24"/>
          <w:highlight w:val="none"/>
          <w:lang w:val="zh-CN"/>
        </w:rPr>
        <w:t>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w:t>
      </w:r>
      <w:r>
        <w:rPr>
          <w:rFonts w:hint="eastAsia" w:cs="宋体"/>
          <w:b/>
          <w:bCs/>
          <w:color w:val="auto"/>
          <w:sz w:val="24"/>
          <w:highlight w:val="none"/>
          <w:lang w:val="en-US" w:eastAsia="zh-CN"/>
        </w:rPr>
        <w:t>竞争性谈判</w:t>
      </w:r>
      <w:r>
        <w:rPr>
          <w:rFonts w:hint="eastAsia" w:ascii="宋体" w:hAnsi="宋体" w:cs="宋体"/>
          <w:b/>
          <w:bCs/>
          <w:color w:val="auto"/>
          <w:sz w:val="24"/>
          <w:highlight w:val="none"/>
        </w:rPr>
        <w:t>文件第一部分</w:t>
      </w:r>
      <w:r>
        <w:rPr>
          <w:rFonts w:hint="eastAsia" w:cs="宋体"/>
          <w:b/>
          <w:bCs/>
          <w:color w:val="auto"/>
          <w:sz w:val="24"/>
          <w:highlight w:val="none"/>
          <w:lang w:val="en-US" w:eastAsia="zh-CN"/>
        </w:rPr>
        <w:t>竞争性谈判</w:t>
      </w:r>
      <w:r>
        <w:rPr>
          <w:rFonts w:hint="eastAsia" w:ascii="宋体" w:hAnsi="宋体" w:cs="宋体"/>
          <w:b/>
          <w:bCs/>
          <w:color w:val="auto"/>
          <w:sz w:val="24"/>
          <w:highlight w:val="none"/>
        </w:rPr>
        <w:t>公告申请人的资格要求中规定的联合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w:t>
      </w:r>
      <w:r>
        <w:rPr>
          <w:rFonts w:hint="eastAsia" w:cs="宋体"/>
          <w:color w:val="auto"/>
          <w:kern w:val="0"/>
          <w:sz w:val="24"/>
          <w:highlight w:val="none"/>
          <w:lang w:val="en-US" w:eastAsia="zh-CN"/>
        </w:rPr>
        <w:t>谈判响应</w:t>
      </w:r>
      <w:r>
        <w:rPr>
          <w:rFonts w:hint="eastAsia" w:ascii="宋体" w:hAnsi="宋体" w:cs="宋体"/>
          <w:color w:val="auto"/>
          <w:kern w:val="0"/>
          <w:sz w:val="24"/>
          <w:highlight w:val="none"/>
          <w:lang w:val="zh-CN"/>
        </w:rPr>
        <w:t>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，自本</w:t>
      </w:r>
      <w:r>
        <w:rPr>
          <w:rFonts w:hint="eastAsia" w:cs="宋体"/>
          <w:color w:val="auto"/>
          <w:kern w:val="0"/>
          <w:sz w:val="24"/>
          <w:highlight w:val="none"/>
          <w:lang w:val="en-US" w:eastAsia="zh-CN"/>
        </w:rPr>
        <w:t>响应文件</w:t>
      </w:r>
      <w:r>
        <w:rPr>
          <w:rFonts w:hint="eastAsia" w:ascii="宋体" w:hAnsi="宋体" w:cs="宋体"/>
          <w:color w:val="auto"/>
          <w:kern w:val="0"/>
          <w:sz w:val="24"/>
          <w:highlight w:val="none"/>
          <w:lang w:val="zh-CN"/>
        </w:rPr>
        <w:t>有效期结束后自行失效；若</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1797DC92">
      <w:pPr>
        <w:pStyle w:val="3"/>
        <w:rPr>
          <w:color w:val="auto"/>
          <w:highlight w:val="none"/>
          <w:lang w:val="zh-CN"/>
        </w:rPr>
      </w:pPr>
    </w:p>
    <w:p w14:paraId="6A1B5B5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名称(公章)：</w:t>
      </w:r>
    </w:p>
    <w:p w14:paraId="21DBA726">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名称(公章)：</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538" w:name="_Toc30924"/>
      <w:bookmarkStart w:id="539" w:name="_Toc6505"/>
      <w:bookmarkStart w:id="540" w:name="_Toc156490356"/>
      <w:bookmarkStart w:id="541" w:name="_Toc162299566"/>
      <w:bookmarkStart w:id="542"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538"/>
      <w:bookmarkEnd w:id="539"/>
      <w:bookmarkEnd w:id="540"/>
      <w:bookmarkEnd w:id="541"/>
    </w:p>
    <w:p w14:paraId="72EF9FB2">
      <w:pPr>
        <w:snapToGrid w:val="0"/>
        <w:spacing w:line="360" w:lineRule="auto"/>
        <w:jc w:val="center"/>
        <w:outlineLvl w:val="0"/>
        <w:rPr>
          <w:rFonts w:hint="eastAsia" w:ascii="宋体" w:hAnsi="宋体" w:cs="宋体"/>
          <w:b/>
          <w:color w:val="auto"/>
          <w:kern w:val="0"/>
          <w:sz w:val="32"/>
          <w:szCs w:val="32"/>
          <w:highlight w:val="none"/>
        </w:rPr>
      </w:pPr>
    </w:p>
    <w:p w14:paraId="3CEAA822">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543" w:name="_Toc24335"/>
      <w:bookmarkStart w:id="544" w:name="_Toc30787"/>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543"/>
      <w:bookmarkEnd w:id="544"/>
    </w:p>
    <w:p w14:paraId="4E9F0BF4">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cs="宋体"/>
          <w:b/>
          <w:color w:val="auto"/>
          <w:sz w:val="24"/>
          <w:highlight w:val="none"/>
          <w:lang w:val="en-US" w:eastAsia="zh-CN"/>
        </w:rPr>
        <w:t>成交</w:t>
      </w:r>
      <w:r>
        <w:rPr>
          <w:rFonts w:hint="eastAsia" w:ascii="宋体" w:hAnsi="宋体" w:cs="宋体"/>
          <w:b/>
          <w:color w:val="auto"/>
          <w:sz w:val="24"/>
          <w:highlight w:val="none"/>
        </w:rPr>
        <w:t>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w:t>
      </w:r>
      <w:r>
        <w:rPr>
          <w:rFonts w:hint="eastAsia" w:cs="宋体"/>
          <w:b/>
          <w:color w:val="auto"/>
          <w:sz w:val="24"/>
          <w:highlight w:val="none"/>
          <w:lang w:val="en-US" w:eastAsia="zh-CN"/>
        </w:rPr>
        <w:t>供应商成交</w:t>
      </w:r>
      <w:r>
        <w:rPr>
          <w:rFonts w:hint="eastAsia" w:ascii="宋体" w:hAnsi="宋体" w:cs="宋体"/>
          <w:b/>
          <w:color w:val="auto"/>
          <w:sz w:val="24"/>
          <w:highlight w:val="none"/>
        </w:rPr>
        <w:t>后不以分包方式履行合同的，则不需要提供。</w:t>
      </w:r>
      <w:r>
        <w:rPr>
          <w:rFonts w:hint="eastAsia" w:ascii="宋体" w:hAnsi="宋体" w:cs="宋体"/>
          <w:color w:val="auto"/>
          <w:sz w:val="24"/>
          <w:highlight w:val="none"/>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u w:val="single"/>
        </w:rPr>
        <w:t>（项目名称）</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供应商，将依法采取分包方式履行合同。</w:t>
      </w: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color w:val="auto"/>
          <w:kern w:val="0"/>
          <w:sz w:val="24"/>
          <w:szCs w:val="24"/>
          <w:highlight w:val="none"/>
        </w:rPr>
      </w:pPr>
      <w:bookmarkStart w:id="545" w:name="_Toc1032"/>
      <w:bookmarkStart w:id="546" w:name="_Toc30204"/>
      <w:r>
        <w:rPr>
          <w:rFonts w:hint="eastAsia" w:ascii="宋体" w:hAnsi="宋体" w:eastAsia="宋体" w:cs="宋体"/>
          <w:color w:val="auto"/>
          <w:kern w:val="0"/>
          <w:sz w:val="24"/>
          <w:szCs w:val="24"/>
          <w:highlight w:val="none"/>
        </w:rPr>
        <w:t>……</w:t>
      </w:r>
      <w:bookmarkEnd w:id="545"/>
      <w:bookmarkEnd w:id="546"/>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547"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w:t>
      </w:r>
      <w:r>
        <w:rPr>
          <w:rFonts w:hint="eastAsia" w:cs="宋体"/>
          <w:b/>
          <w:bCs/>
          <w:color w:val="auto"/>
          <w:sz w:val="24"/>
          <w:highlight w:val="none"/>
          <w:lang w:val="en-US" w:eastAsia="zh-CN"/>
        </w:rPr>
        <w:t>谈判</w:t>
      </w:r>
      <w:r>
        <w:rPr>
          <w:rFonts w:hint="eastAsia" w:ascii="宋体" w:hAnsi="宋体" w:cs="宋体"/>
          <w:b/>
          <w:bCs/>
          <w:color w:val="auto"/>
          <w:sz w:val="24"/>
          <w:highlight w:val="none"/>
        </w:rPr>
        <w:t>文件第一部分</w:t>
      </w:r>
      <w:r>
        <w:rPr>
          <w:rFonts w:hint="eastAsia" w:cs="宋体"/>
          <w:b/>
          <w:bCs/>
          <w:color w:val="auto"/>
          <w:sz w:val="24"/>
          <w:highlight w:val="none"/>
          <w:lang w:val="en-US" w:eastAsia="zh-CN"/>
        </w:rPr>
        <w:t>竞争性谈判</w:t>
      </w:r>
      <w:r>
        <w:rPr>
          <w:rFonts w:hint="eastAsia" w:ascii="宋体" w:hAnsi="宋体" w:cs="宋体"/>
          <w:b/>
          <w:bCs/>
          <w:color w:val="auto"/>
          <w:sz w:val="24"/>
          <w:highlight w:val="none"/>
        </w:rPr>
        <w:t>公告申请人的资格要求中规定的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547"/>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A9066DF">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665C464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542"/>
    <w:p w14:paraId="5775F461">
      <w:pPr>
        <w:ind w:left="2520" w:leftChars="1050"/>
        <w:rPr>
          <w:color w:val="auto"/>
          <w:highlight w:val="none"/>
        </w:rPr>
      </w:pPr>
      <w:r>
        <w:rPr>
          <w:rFonts w:cs="Courier New"/>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548" w:name="_Toc163492926"/>
      <w:bookmarkStart w:id="549" w:name="_Toc155185932"/>
      <w:bookmarkStart w:id="550" w:name="_Toc3017"/>
      <w:bookmarkStart w:id="551" w:name="_Toc21866"/>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548"/>
      <w:bookmarkEnd w:id="549"/>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550"/>
      <w:bookmarkEnd w:id="551"/>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552" w:name="_Toc163492938"/>
      <w:bookmarkStart w:id="553" w:name="_Toc2471"/>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552"/>
      <w:bookmarkEnd w:id="553"/>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4"/>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4"/>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4"/>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4"/>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4"/>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4"/>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4"/>
              <w:jc w:val="center"/>
              <w:rPr>
                <w:color w:val="auto"/>
                <w:sz w:val="21"/>
                <w:szCs w:val="21"/>
                <w:highlight w:val="none"/>
              </w:rPr>
            </w:pPr>
            <w:r>
              <w:rPr>
                <w:rFonts w:hint="eastAsia"/>
                <w:color w:val="auto"/>
                <w:sz w:val="21"/>
                <w:szCs w:val="21"/>
                <w:highlight w:val="none"/>
              </w:rPr>
              <w:t>单价</w:t>
            </w:r>
          </w:p>
          <w:p w14:paraId="4D8AC9C4">
            <w:pPr>
              <w:pStyle w:val="44"/>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4"/>
              <w:jc w:val="center"/>
              <w:rPr>
                <w:color w:val="auto"/>
                <w:sz w:val="21"/>
                <w:szCs w:val="21"/>
                <w:highlight w:val="none"/>
              </w:rPr>
            </w:pPr>
            <w:r>
              <w:rPr>
                <w:rFonts w:hint="eastAsia"/>
                <w:color w:val="auto"/>
                <w:sz w:val="21"/>
                <w:szCs w:val="21"/>
                <w:highlight w:val="none"/>
              </w:rPr>
              <w:t>总价</w:t>
            </w:r>
          </w:p>
          <w:p w14:paraId="4637FB3E">
            <w:pPr>
              <w:pStyle w:val="44"/>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4"/>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4"/>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4"/>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4"/>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4"/>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4"/>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4"/>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4"/>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4"/>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4"/>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4"/>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4"/>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4"/>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7"/>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4"/>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4"/>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4"/>
              <w:jc w:val="center"/>
              <w:rPr>
                <w:color w:val="auto"/>
                <w:sz w:val="21"/>
                <w:szCs w:val="21"/>
                <w:highlight w:val="none"/>
              </w:rPr>
            </w:pPr>
            <w:r>
              <w:rPr>
                <w:rFonts w:hint="eastAsia"/>
                <w:color w:val="auto"/>
                <w:sz w:val="21"/>
                <w:szCs w:val="21"/>
                <w:highlight w:val="none"/>
              </w:rPr>
              <w:t>制造商</w:t>
            </w:r>
          </w:p>
          <w:p w14:paraId="6871D586">
            <w:pPr>
              <w:pStyle w:val="44"/>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4"/>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4"/>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4"/>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4"/>
              <w:jc w:val="center"/>
              <w:rPr>
                <w:color w:val="auto"/>
                <w:sz w:val="21"/>
                <w:szCs w:val="21"/>
                <w:highlight w:val="none"/>
              </w:rPr>
            </w:pPr>
            <w:r>
              <w:rPr>
                <w:rFonts w:hint="eastAsia"/>
                <w:color w:val="auto"/>
                <w:sz w:val="21"/>
                <w:szCs w:val="21"/>
                <w:highlight w:val="none"/>
              </w:rPr>
              <w:t>单价</w:t>
            </w:r>
          </w:p>
          <w:p w14:paraId="09FBCB92">
            <w:pPr>
              <w:pStyle w:val="44"/>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4"/>
              <w:jc w:val="center"/>
              <w:rPr>
                <w:color w:val="auto"/>
                <w:sz w:val="21"/>
                <w:szCs w:val="21"/>
                <w:highlight w:val="none"/>
              </w:rPr>
            </w:pPr>
            <w:r>
              <w:rPr>
                <w:rFonts w:hint="eastAsia"/>
                <w:color w:val="auto"/>
                <w:sz w:val="21"/>
                <w:szCs w:val="21"/>
                <w:highlight w:val="none"/>
              </w:rPr>
              <w:t>总价</w:t>
            </w:r>
          </w:p>
          <w:p w14:paraId="33CDE01B">
            <w:pPr>
              <w:pStyle w:val="44"/>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4"/>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4"/>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4"/>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4"/>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4"/>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4"/>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4"/>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4"/>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4"/>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4"/>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color w:val="auto"/>
          <w:sz w:val="21"/>
          <w:szCs w:val="21"/>
          <w:highlight w:val="none"/>
        </w:rPr>
      </w:pPr>
      <w:r>
        <w:rPr>
          <w:rFonts w:hint="eastAsia" w:ascii="Arial" w:hAnsi="Arial" w:cs="Arial"/>
          <w:b/>
          <w:color w:val="auto"/>
          <w:sz w:val="21"/>
          <w:szCs w:val="21"/>
          <w:highlight w:val="none"/>
        </w:rPr>
        <w:t>特别说明：</w:t>
      </w:r>
      <w:r>
        <w:rPr>
          <w:rFonts w:hint="eastAsia" w:ascii="Arial" w:hAnsi="Arial" w:cs="Arial"/>
          <w:b/>
          <w:color w:val="auto"/>
          <w:sz w:val="21"/>
          <w:szCs w:val="21"/>
          <w:highlight w:val="none"/>
          <w:lang w:val="en-US" w:eastAsia="zh-CN"/>
        </w:rPr>
        <w:t>供应商</w:t>
      </w:r>
      <w:r>
        <w:rPr>
          <w:rFonts w:hint="eastAsia" w:ascii="Arial" w:hAnsi="Arial" w:cs="Arial"/>
          <w:b/>
          <w:color w:val="auto"/>
          <w:sz w:val="21"/>
          <w:szCs w:val="21"/>
          <w:highlight w:val="none"/>
        </w:rPr>
        <w:t>应将所投产品中节能、环保产品分别列入上表中，并按本</w:t>
      </w:r>
      <w:r>
        <w:rPr>
          <w:rFonts w:hint="eastAsia" w:ascii="Arial" w:hAnsi="Arial" w:cs="Arial"/>
          <w:b/>
          <w:color w:val="auto"/>
          <w:sz w:val="21"/>
          <w:szCs w:val="21"/>
          <w:highlight w:val="none"/>
          <w:lang w:val="en-US" w:eastAsia="zh-CN"/>
        </w:rPr>
        <w:t>竞争性谈判</w:t>
      </w:r>
      <w:r>
        <w:rPr>
          <w:rFonts w:hint="eastAsia" w:ascii="Arial" w:hAnsi="Arial" w:cs="Arial"/>
          <w:b/>
          <w:color w:val="auto"/>
          <w:sz w:val="21"/>
          <w:szCs w:val="21"/>
          <w:highlight w:val="none"/>
        </w:rPr>
        <w:t>文件</w:t>
      </w:r>
      <w:r>
        <w:rPr>
          <w:rFonts w:hint="eastAsia" w:ascii="Arial" w:hAnsi="Arial" w:cs="Arial"/>
          <w:b/>
          <w:color w:val="auto"/>
          <w:sz w:val="21"/>
          <w:szCs w:val="21"/>
          <w:highlight w:val="none"/>
          <w:lang w:val="en-US" w:eastAsia="zh-CN"/>
        </w:rPr>
        <w:t>“</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供应商须知”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675C9164">
      <w:pPr>
        <w:spacing w:line="300" w:lineRule="auto"/>
        <w:rPr>
          <w:rFonts w:ascii="Arial" w:hAnsi="Arial" w:cs="Arial"/>
          <w:color w:val="auto"/>
          <w:szCs w:val="21"/>
          <w:highlight w:val="none"/>
        </w:rPr>
      </w:pPr>
    </w:p>
    <w:p w14:paraId="0BA1A982">
      <w:pP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lang w:val="en-US" w:eastAsia="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3068A70D">
      <w:pPr>
        <w:ind w:firstLine="5520" w:firstLineChars="2300"/>
        <w:rPr>
          <w:rFonts w:ascii="Arial" w:hAnsi="Arial" w:cs="Arial"/>
          <w:color w:val="auto"/>
          <w:szCs w:val="21"/>
          <w:highlight w:val="none"/>
        </w:rPr>
      </w:pPr>
      <w:r>
        <w:rPr>
          <w:rFonts w:ascii="Arial" w:hAnsi="Arial" w:cs="Arial"/>
          <w:color w:val="auto"/>
          <w:szCs w:val="21"/>
          <w:highlight w:val="none"/>
        </w:rPr>
        <w:t>日期：</w:t>
      </w:r>
    </w:p>
    <w:p w14:paraId="70617D68">
      <w:pPr>
        <w:rPr>
          <w:rFonts w:ascii="Arial" w:hAnsi="Arial" w:cs="Arial"/>
          <w:color w:val="auto"/>
          <w:szCs w:val="21"/>
          <w:highlight w:val="none"/>
        </w:rPr>
      </w:pPr>
      <w:r>
        <w:rPr>
          <w:rFonts w:ascii="Arial" w:hAnsi="Arial" w:cs="Arial"/>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554" w:name="_Toc163492939"/>
      <w:bookmarkStart w:id="555" w:name="_Toc830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554"/>
      <w:bookmarkEnd w:id="555"/>
    </w:p>
    <w:p w14:paraId="17DF8322">
      <w:pPr>
        <w:pStyle w:val="37"/>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31EF7E02">
      <w:pPr>
        <w:pStyle w:val="37"/>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中小企业声明函</w:t>
      </w:r>
    </w:p>
    <w:p w14:paraId="78BC1CF1">
      <w:pPr>
        <w:ind w:firstLine="504" w:firstLineChars="200"/>
        <w:rPr>
          <w:rFonts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采购活动，提供的货物全部由符合政策要求的中小企业制造。相关企业（含联合体中的中小企业、签订分包意向协议</w:t>
      </w:r>
      <w:r>
        <w:rPr>
          <w:rFonts w:hint="eastAsia" w:cs="宋体"/>
          <w:color w:val="auto"/>
          <w:spacing w:val="6"/>
          <w:szCs w:val="24"/>
          <w:highlight w:val="none"/>
          <w:lang w:val="en-US" w:eastAsia="zh-CN"/>
        </w:rPr>
        <w:t>书</w:t>
      </w:r>
      <w:r>
        <w:rPr>
          <w:rFonts w:hint="eastAsia" w:cs="宋体"/>
          <w:color w:val="auto"/>
          <w:spacing w:val="6"/>
          <w:szCs w:val="24"/>
          <w:highlight w:val="none"/>
        </w:rPr>
        <w:t>的中小企业）的具体情况如下：</w:t>
      </w:r>
    </w:p>
    <w:p w14:paraId="5FCC96F1">
      <w:pPr>
        <w:ind w:firstLine="504" w:firstLineChars="200"/>
        <w:rPr>
          <w:rFonts w:cs="宋体"/>
          <w:color w:val="auto"/>
          <w:spacing w:val="6"/>
          <w:szCs w:val="24"/>
          <w:highlight w:val="none"/>
        </w:rPr>
      </w:pPr>
      <w:r>
        <w:rPr>
          <w:rFonts w:hint="eastAsia" w:cs="宋体"/>
          <w:color w:val="auto"/>
          <w:spacing w:val="6"/>
          <w:szCs w:val="24"/>
          <w:highlight w:val="none"/>
        </w:rPr>
        <w:t>1.</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1D01E102">
      <w:pPr>
        <w:ind w:firstLine="504" w:firstLineChars="200"/>
        <w:rPr>
          <w:rFonts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7CB1DD8C">
      <w:pPr>
        <w:ind w:firstLine="504" w:firstLineChars="200"/>
        <w:rPr>
          <w:rFonts w:cs="宋体"/>
          <w:color w:val="auto"/>
          <w:spacing w:val="6"/>
          <w:szCs w:val="24"/>
          <w:highlight w:val="none"/>
        </w:rPr>
      </w:pPr>
      <w:r>
        <w:rPr>
          <w:rFonts w:hint="eastAsia" w:cs="宋体"/>
          <w:color w:val="auto"/>
          <w:spacing w:val="6"/>
          <w:szCs w:val="24"/>
          <w:highlight w:val="none"/>
        </w:rPr>
        <w:t>……</w:t>
      </w:r>
    </w:p>
    <w:p w14:paraId="776FE44A">
      <w:pPr>
        <w:ind w:firstLine="504" w:firstLineChars="200"/>
        <w:rPr>
          <w:rFonts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5A6D844B">
      <w:pPr>
        <w:ind w:right="1008" w:firstLine="4788" w:firstLineChars="1900"/>
        <w:rPr>
          <w:rFonts w:cs="宋体"/>
          <w:color w:val="auto"/>
          <w:spacing w:val="6"/>
          <w:szCs w:val="24"/>
          <w:highlight w:val="none"/>
        </w:rPr>
      </w:pPr>
    </w:p>
    <w:p w14:paraId="165AEE2D">
      <w:pPr>
        <w:ind w:right="1008" w:firstLine="4080" w:firstLineChars="1700"/>
        <w:rPr>
          <w:rFonts w:cs="宋体"/>
          <w:color w:val="auto"/>
          <w:spacing w:val="6"/>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1ADE189F">
      <w:pPr>
        <w:rPr>
          <w:rFonts w:hint="eastAsia" w:cs="宋体"/>
          <w:color w:val="auto"/>
          <w:spacing w:val="6"/>
          <w:sz w:val="24"/>
          <w:szCs w:val="24"/>
          <w:highlight w:val="none"/>
        </w:rPr>
      </w:pPr>
    </w:p>
    <w:p w14:paraId="4C098FFB">
      <w:pPr>
        <w:rPr>
          <w:rFonts w:hint="eastAsia" w:cs="宋体"/>
          <w:color w:val="auto"/>
          <w:spacing w:val="6"/>
          <w:sz w:val="24"/>
          <w:szCs w:val="24"/>
          <w:highlight w:val="none"/>
        </w:rPr>
      </w:pPr>
    </w:p>
    <w:p w14:paraId="3C73BF63">
      <w:pPr>
        <w:rPr>
          <w:rFonts w:hint="eastAsia" w:cs="宋体"/>
          <w:color w:val="auto"/>
          <w:spacing w:val="6"/>
          <w:sz w:val="24"/>
          <w:szCs w:val="24"/>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30"/>
          <w:rFonts w:hint="eastAsia" w:ascii="宋体" w:hAnsi="宋体" w:eastAsia="宋体" w:cs="宋体"/>
          <w:color w:val="auto"/>
          <w:kern w:val="0"/>
          <w:sz w:val="28"/>
          <w:szCs w:val="28"/>
          <w:highlight w:val="none"/>
          <w:lang w:val="en-US" w:eastAsia="zh-CN" w:bidi="ar"/>
        </w:rPr>
      </w:pPr>
    </w:p>
    <w:p w14:paraId="65EA448B">
      <w:pPr>
        <w:keepNext w:val="0"/>
        <w:keepLines w:val="0"/>
        <w:widowControl/>
        <w:suppressLineNumbers w:val="0"/>
        <w:ind w:firstLine="482" w:firstLineChars="200"/>
        <w:jc w:val="left"/>
        <w:rPr>
          <w:rStyle w:val="30"/>
          <w:rFonts w:hint="eastAsia" w:ascii="宋体" w:hAnsi="宋体" w:eastAsia="宋体" w:cs="宋体"/>
          <w:color w:val="auto"/>
          <w:kern w:val="0"/>
          <w:sz w:val="28"/>
          <w:szCs w:val="28"/>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（一）关于</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中小企业声明函</w:t>
      </w:r>
      <w:r>
        <w:rPr>
          <w:rStyle w:val="30"/>
          <w:rFonts w:hint="eastAsia" w:cs="宋体"/>
          <w:color w:val="auto"/>
          <w:kern w:val="0"/>
          <w:sz w:val="24"/>
          <w:szCs w:val="24"/>
          <w:highlight w:val="none"/>
          <w:lang w:val="en-US" w:eastAsia="zh-CN" w:bidi="ar"/>
        </w:rPr>
        <w:t>”</w:t>
      </w:r>
      <w:r>
        <w:rPr>
          <w:rStyle w:val="30"/>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30"/>
          <w:rFonts w:hint="eastAsia" w:ascii="宋体" w:hAnsi="宋体" w:eastAsia="宋体" w:cs="宋体"/>
          <w:color w:val="auto"/>
          <w:kern w:val="0"/>
          <w:sz w:val="24"/>
          <w:szCs w:val="24"/>
          <w:highlight w:val="none"/>
          <w:lang w:val="en-US" w:eastAsia="zh-CN" w:bidi="ar"/>
        </w:rPr>
      </w:pPr>
      <w:r>
        <w:rPr>
          <w:rStyle w:val="30"/>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1.投标（响应）供应商对</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3.如供应商提供的</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A812C4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30"/>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30"/>
          <w:rFonts w:hint="eastAsia" w:ascii="宋体" w:hAnsi="宋体" w:eastAsia="宋体" w:cs="宋体"/>
          <w:b/>
          <w:bCs w:val="0"/>
          <w:color w:val="auto"/>
          <w:sz w:val="28"/>
          <w:szCs w:val="28"/>
          <w:highlight w:val="none"/>
        </w:rPr>
      </w:pPr>
      <w:r>
        <w:rPr>
          <w:rStyle w:val="30"/>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宋体"/>
          <w:color w:val="auto"/>
          <w:spacing w:val="6"/>
          <w:sz w:val="21"/>
          <w:szCs w:val="21"/>
          <w:highlight w:val="none"/>
        </w:rPr>
      </w:pPr>
      <w:r>
        <w:rPr>
          <w:rStyle w:val="30"/>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color w:val="auto"/>
          <w:spacing w:val="6"/>
          <w:sz w:val="21"/>
          <w:szCs w:val="21"/>
          <w:highlight w:val="none"/>
        </w:rPr>
      </w:pPr>
      <w:r>
        <w:rPr>
          <w:rFonts w:cs="宋体"/>
          <w:color w:val="auto"/>
          <w:spacing w:val="6"/>
          <w:sz w:val="21"/>
          <w:szCs w:val="21"/>
          <w:highlight w:val="none"/>
        </w:rPr>
        <w:br w:type="page"/>
      </w:r>
    </w:p>
    <w:p w14:paraId="20B4770A">
      <w:pPr>
        <w:rPr>
          <w:rFonts w:cs="宋体"/>
          <w:color w:val="auto"/>
          <w:spacing w:val="6"/>
          <w:sz w:val="21"/>
          <w:szCs w:val="21"/>
          <w:highlight w:val="none"/>
        </w:rPr>
      </w:pPr>
      <w:bookmarkStart w:id="556"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54CACF8E">
      <w:pPr>
        <w:jc w:val="center"/>
        <w:rPr>
          <w:rStyle w:val="30"/>
          <w:rFonts w:hint="eastAsia" w:ascii="宋体" w:hAnsi="宋体" w:eastAsia="宋体" w:cs="宋体"/>
          <w:b w:val="0"/>
          <w:color w:val="auto"/>
          <w:sz w:val="24"/>
          <w:szCs w:val="24"/>
          <w:highlight w:val="none"/>
        </w:rPr>
      </w:pPr>
      <w:r>
        <w:rPr>
          <w:rStyle w:val="30"/>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30"/>
          <w:rFonts w:hint="eastAsia" w:ascii="宋体" w:hAnsi="宋体" w:eastAsia="宋体" w:cs="宋体"/>
          <w:b w:val="0"/>
          <w:bCs w:val="0"/>
          <w:color w:val="auto"/>
          <w:sz w:val="24"/>
          <w:szCs w:val="24"/>
          <w:highlight w:val="none"/>
        </w:rPr>
        <w:t>       </w:t>
      </w:r>
      <w:r>
        <w:rPr>
          <w:rStyle w:val="30"/>
          <w:rFonts w:hint="eastAsia" w:cs="宋体"/>
          <w:b w:val="0"/>
          <w:bCs w:val="0"/>
          <w:color w:val="auto"/>
          <w:sz w:val="24"/>
          <w:szCs w:val="24"/>
          <w:highlight w:val="none"/>
          <w:lang w:val="en-US" w:eastAsia="zh-CN"/>
        </w:rPr>
        <w:t xml:space="preserve">                            </w:t>
      </w:r>
      <w:r>
        <w:rPr>
          <w:rStyle w:val="30"/>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                                                     </w:t>
      </w:r>
      <w:r>
        <w:rPr>
          <w:rStyle w:val="30"/>
          <w:rFonts w:hint="eastAsia" w:cs="宋体"/>
          <w:b w:val="0"/>
          <w:bCs w:val="0"/>
          <w:color w:val="auto"/>
          <w:sz w:val="24"/>
          <w:szCs w:val="24"/>
          <w:highlight w:val="none"/>
          <w:lang w:val="en-US" w:eastAsia="zh-CN"/>
        </w:rPr>
        <w:t xml:space="preserve">     </w:t>
      </w:r>
      <w:r>
        <w:rPr>
          <w:rStyle w:val="30"/>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3F79F65C">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30"/>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30"/>
          <w:rFonts w:hint="eastAsia" w:cs="宋体"/>
          <w:b w:val="0"/>
          <w:bCs w:val="0"/>
          <w:color w:val="auto"/>
          <w:sz w:val="24"/>
          <w:szCs w:val="24"/>
          <w:highlight w:val="none"/>
          <w:lang w:eastAsia="zh-CN"/>
        </w:rPr>
        <w:t>，</w:t>
      </w:r>
      <w:r>
        <w:rPr>
          <w:rStyle w:val="30"/>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30"/>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lang w:eastAsia="zh-CN"/>
        </w:rPr>
      </w:pPr>
      <w:r>
        <w:rPr>
          <w:rStyle w:val="30"/>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30"/>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30"/>
          <w:rFonts w:hint="eastAsia" w:ascii="宋体" w:hAnsi="宋体" w:eastAsia="宋体" w:cs="宋体"/>
          <w:b w:val="0"/>
          <w:bCs w:val="0"/>
          <w:color w:val="auto"/>
          <w:sz w:val="24"/>
          <w:szCs w:val="24"/>
          <w:highlight w:val="none"/>
        </w:rPr>
      </w:pPr>
      <w:r>
        <w:rPr>
          <w:rStyle w:val="30"/>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3A51FB27">
      <w:pPr>
        <w:pStyle w:val="15"/>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8"/>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26C2B589">
      <w:pPr>
        <w:rPr>
          <w:rFonts w:cs="宋体"/>
          <w:color w:val="auto"/>
          <w:spacing w:val="6"/>
          <w:sz w:val="21"/>
          <w:szCs w:val="21"/>
          <w:highlight w:val="none"/>
        </w:rPr>
      </w:pPr>
      <w:r>
        <w:rPr>
          <w:rFonts w:cs="宋体"/>
          <w:color w:val="auto"/>
          <w:spacing w:val="6"/>
          <w:sz w:val="21"/>
          <w:szCs w:val="21"/>
          <w:highlight w:val="none"/>
        </w:rPr>
        <w:br w:type="page"/>
      </w:r>
    </w:p>
    <w:p w14:paraId="5D4F19F2">
      <w:pPr>
        <w:pStyle w:val="15"/>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0711552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57" w:name="_Toc31594"/>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556"/>
      <w:bookmarkEnd w:id="557"/>
    </w:p>
    <w:p w14:paraId="744F56E2">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5"/>
        <w:spacing w:line="360" w:lineRule="auto"/>
        <w:jc w:val="center"/>
        <w:rPr>
          <w:rFonts w:hint="eastAsia" w:ascii="宋体" w:hAnsi="宋体" w:eastAsia="宋体" w:cs="宋体"/>
          <w:b/>
          <w:bCs w:val="0"/>
          <w:color w:val="auto"/>
          <w:sz w:val="32"/>
          <w:szCs w:val="32"/>
          <w:highlight w:val="none"/>
        </w:rPr>
      </w:pPr>
    </w:p>
    <w:p w14:paraId="3EAA5E2A">
      <w:pPr>
        <w:pStyle w:val="15"/>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cs="宋体"/>
          <w:color w:val="auto"/>
          <w:spacing w:val="6"/>
          <w:szCs w:val="24"/>
          <w:highlight w:val="none"/>
        </w:rPr>
      </w:pPr>
      <w:r>
        <w:rPr>
          <w:rFonts w:hint="eastAsia" w:cs="宋体"/>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080" w:firstLineChars="1700"/>
        <w:rPr>
          <w:rFonts w:hint="eastAsia" w:ascii="宋体" w:hAnsi="宋体" w:eastAsia="宋体" w:cs="宋体"/>
          <w:color w:val="auto"/>
          <w:spacing w:val="6"/>
          <w:sz w:val="24"/>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（含新疆生产建设兵团）（盖章）：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58"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559" w:name="_Toc7838"/>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558"/>
      <w:bookmarkEnd w:id="559"/>
    </w:p>
    <w:p w14:paraId="57F303A4">
      <w:pPr>
        <w:pStyle w:val="37"/>
        <w:numPr>
          <w:ilvl w:val="0"/>
          <w:numId w:val="0"/>
        </w:numPr>
        <w:ind w:left="420" w:leftChars="0" w:hanging="420" w:firstLineChars="0"/>
        <w:jc w:val="center"/>
        <w:rPr>
          <w:rFonts w:hint="eastAsia"/>
          <w:b/>
          <w:bCs/>
          <w:color w:val="auto"/>
          <w:sz w:val="32"/>
          <w:szCs w:val="32"/>
          <w:highlight w:val="none"/>
        </w:rPr>
      </w:pPr>
    </w:p>
    <w:p w14:paraId="6049E14B">
      <w:pPr>
        <w:pStyle w:val="37"/>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4E988B10">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采购活动，提供的货物</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残疾人福利性单位制造</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color w:val="auto"/>
          <w:szCs w:val="24"/>
          <w:highlight w:val="none"/>
        </w:rPr>
      </w:pPr>
      <w:r>
        <w:rPr>
          <w:rFonts w:hint="eastAsia"/>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color w:val="auto"/>
          <w:szCs w:val="24"/>
          <w:highlight w:val="none"/>
        </w:rPr>
      </w:pPr>
      <w:r>
        <w:rPr>
          <w:rFonts w:hint="eastAsia"/>
          <w:color w:val="auto"/>
          <w:szCs w:val="24"/>
          <w:highlight w:val="none"/>
        </w:rPr>
        <w:t>本企业对上述声明内容的真实性负责。如有虚假，将依法承担相应责任。</w:t>
      </w:r>
    </w:p>
    <w:p w14:paraId="44C7A080">
      <w:pPr>
        <w:wordWrap w:val="0"/>
        <w:ind w:left="1091" w:hanging="1091" w:hangingChars="453"/>
        <w:rPr>
          <w:b/>
          <w:bCs/>
          <w:color w:val="auto"/>
          <w:szCs w:val="24"/>
          <w:highlight w:val="none"/>
        </w:rPr>
      </w:pPr>
    </w:p>
    <w:p w14:paraId="43523196">
      <w:pPr>
        <w:wordWrap w:val="0"/>
        <w:ind w:left="1091" w:hanging="1091" w:hangingChars="453"/>
        <w:rPr>
          <w:bCs/>
          <w:color w:val="auto"/>
          <w:szCs w:val="24"/>
          <w:highlight w:val="none"/>
        </w:rPr>
      </w:pPr>
      <w:r>
        <w:rPr>
          <w:rFonts w:hint="eastAsia"/>
          <w:b/>
          <w:bCs/>
          <w:color w:val="auto"/>
          <w:szCs w:val="24"/>
          <w:highlight w:val="none"/>
        </w:rPr>
        <w:t>说明：</w:t>
      </w:r>
      <w:r>
        <w:rPr>
          <w:rFonts w:hint="eastAsia"/>
          <w:bCs/>
          <w:color w:val="auto"/>
          <w:szCs w:val="24"/>
          <w:highlight w:val="none"/>
        </w:rPr>
        <w:t>1、</w:t>
      </w:r>
      <w:r>
        <w:rPr>
          <w:rFonts w:hint="eastAsia"/>
          <w:bCs/>
          <w:color w:val="auto"/>
          <w:szCs w:val="21"/>
          <w:highlight w:val="none"/>
          <w:lang w:val="zh-CN"/>
        </w:rPr>
        <w:t>货物应当全部由符合政策要求的残疾人福利性单位生产且使用该残疾人福利性单位商号或注册商标（与代理商或</w:t>
      </w:r>
      <w:r>
        <w:rPr>
          <w:rFonts w:hint="eastAsia"/>
          <w:bCs/>
          <w:color w:val="auto"/>
          <w:szCs w:val="21"/>
          <w:highlight w:val="none"/>
          <w:lang w:val="en-US" w:eastAsia="zh-CN"/>
        </w:rPr>
        <w:t>供应商</w:t>
      </w:r>
      <w:r>
        <w:rPr>
          <w:rFonts w:hint="eastAsia"/>
          <w:bCs/>
          <w:color w:val="auto"/>
          <w:szCs w:val="21"/>
          <w:highlight w:val="none"/>
          <w:lang w:val="zh-CN"/>
        </w:rPr>
        <w:t>无关）；应当严格按上述格式及内容进行填写（应当明确每个</w:t>
      </w:r>
      <w:r>
        <w:rPr>
          <w:rFonts w:hint="eastAsia"/>
          <w:bCs/>
          <w:color w:val="auto"/>
          <w:szCs w:val="21"/>
          <w:highlight w:val="none"/>
          <w:lang w:val="en-US" w:eastAsia="zh-CN"/>
        </w:rPr>
        <w:t>包</w:t>
      </w:r>
      <w:r>
        <w:rPr>
          <w:rFonts w:hint="eastAsia"/>
          <w:bCs/>
          <w:color w:val="auto"/>
          <w:szCs w:val="21"/>
          <w:highlight w:val="none"/>
          <w:lang w:val="zh-CN"/>
        </w:rPr>
        <w:t>的的生产企业类型及相关数据），否则导致的后果由</w:t>
      </w:r>
      <w:r>
        <w:rPr>
          <w:rFonts w:hint="eastAsia"/>
          <w:bCs/>
          <w:color w:val="auto"/>
          <w:szCs w:val="21"/>
          <w:highlight w:val="none"/>
          <w:lang w:val="en-US" w:eastAsia="zh-CN"/>
        </w:rPr>
        <w:t>供应商</w:t>
      </w:r>
      <w:r>
        <w:rPr>
          <w:rFonts w:hint="eastAsia"/>
          <w:bCs/>
          <w:color w:val="auto"/>
          <w:szCs w:val="21"/>
          <w:highlight w:val="none"/>
          <w:lang w:val="zh-CN"/>
        </w:rPr>
        <w:t>自行承担；</w:t>
      </w:r>
    </w:p>
    <w:p w14:paraId="2288B711">
      <w:pPr>
        <w:wordWrap w:val="0"/>
        <w:ind w:left="1087" w:hanging="1087" w:hangingChars="453"/>
        <w:rPr>
          <w:rFonts w:cs="Courier New"/>
          <w:color w:val="auto"/>
          <w:szCs w:val="21"/>
          <w:highlight w:val="none"/>
        </w:rPr>
      </w:pPr>
      <w:r>
        <w:rPr>
          <w:rFonts w:hint="eastAsia"/>
          <w:bCs/>
          <w:color w:val="auto"/>
          <w:szCs w:val="21"/>
          <w:highlight w:val="none"/>
          <w:lang w:val="zh-CN"/>
        </w:rPr>
        <w:t xml:space="preserve">      2、</w:t>
      </w:r>
      <w:r>
        <w:rPr>
          <w:rFonts w:hint="eastAsia" w:cs="Courier New"/>
          <w:color w:val="auto"/>
          <w:szCs w:val="21"/>
          <w:highlight w:val="none"/>
        </w:rPr>
        <w:t>以联合体形式参加的，应</w:t>
      </w:r>
      <w:r>
        <w:rPr>
          <w:rFonts w:hint="eastAsia"/>
          <w:bCs/>
          <w:color w:val="auto"/>
          <w:szCs w:val="21"/>
          <w:highlight w:val="none"/>
          <w:lang w:val="zh-CN"/>
        </w:rPr>
        <w:t>当</w:t>
      </w:r>
      <w:r>
        <w:rPr>
          <w:rFonts w:hint="eastAsia" w:cs="Courier New"/>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en-US" w:eastAsia="zh-CN"/>
        </w:rPr>
        <w:t>供应商名称（公章）</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6F5F8DCA">
      <w:pPr>
        <w:ind w:left="4620" w:firstLine="281" w:firstLineChars="100"/>
        <w:rPr>
          <w:rFonts w:cs="仿宋_GB2312"/>
          <w:b/>
          <w:color w:val="auto"/>
          <w:sz w:val="28"/>
          <w:szCs w:val="28"/>
          <w:highlight w:val="none"/>
        </w:rPr>
      </w:pPr>
    </w:p>
    <w:p w14:paraId="7BDD1A80">
      <w:pPr>
        <w:rPr>
          <w:color w:val="auto"/>
          <w:highlight w:val="none"/>
        </w:rPr>
      </w:pPr>
      <w:r>
        <w:rPr>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560" w:name="_Toc17432"/>
      <w:bookmarkStart w:id="561" w:name="_Toc8760"/>
      <w:r>
        <w:rPr>
          <w:rFonts w:hint="eastAsia" w:cstheme="majorBidi"/>
          <w:b/>
          <w:bCs/>
          <w:color w:val="auto"/>
          <w:kern w:val="2"/>
          <w:sz w:val="28"/>
          <w:szCs w:val="28"/>
          <w:highlight w:val="none"/>
          <w:lang w:val="en-US" w:eastAsia="zh-CN" w:bidi="ar-SA"/>
        </w:rPr>
        <w:t>五、不参与围标串标承诺书</w:t>
      </w:r>
      <w:bookmarkEnd w:id="560"/>
      <w:bookmarkEnd w:id="561"/>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1FE71F6D">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2DC5E9C8">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本人作为经授权的供应商代表,清楚知晓我单位参与本项目竞争性谈判活动,对以下事项作出承诺：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二、我单位和我本人在本项目政府采购竞争性谈判活动中,未参与围标串标。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三、我单位如被查实在本项目政府采购竞争性谈判活动中存在围标串标的，递交响应文件行为作为实施串通投标违法行为的关键环节,由我单位及法定代表人承担相应的法律责任，接受相应行政处罚和失信惩戒。</w:t>
      </w:r>
    </w:p>
    <w:p w14:paraId="29E3C848">
      <w:pPr>
        <w:pStyle w:val="11"/>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签字或印章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11"/>
        <w:rPr>
          <w:rFonts w:hint="eastAsia"/>
          <w:color w:val="auto"/>
          <w:highlight w:val="none"/>
          <w:lang w:val="en-US" w:eastAsia="zh-CN"/>
        </w:rPr>
      </w:pPr>
    </w:p>
    <w:p w14:paraId="6FC519D1">
      <w:pPr>
        <w:pStyle w:val="11"/>
        <w:rPr>
          <w:rFonts w:hint="eastAsia"/>
          <w:color w:val="auto"/>
          <w:highlight w:val="none"/>
          <w:lang w:val="en-US" w:eastAsia="zh-CN"/>
        </w:rPr>
      </w:pPr>
    </w:p>
    <w:p w14:paraId="7500053D">
      <w:pPr>
        <w:pStyle w:val="11"/>
        <w:rPr>
          <w:rFonts w:hint="eastAsia"/>
          <w:color w:val="auto"/>
          <w:highlight w:val="none"/>
          <w:lang w:val="en-US" w:eastAsia="zh-CN"/>
        </w:rPr>
      </w:pPr>
    </w:p>
    <w:p w14:paraId="5BF64493">
      <w:pPr>
        <w:pStyle w:val="11"/>
        <w:rPr>
          <w:rFonts w:hint="eastAsia"/>
          <w:color w:val="auto"/>
          <w:highlight w:val="none"/>
          <w:lang w:val="en-US" w:eastAsia="zh-CN"/>
        </w:rPr>
      </w:pPr>
    </w:p>
    <w:p w14:paraId="5CA01A8B">
      <w:pPr>
        <w:pStyle w:val="11"/>
        <w:rPr>
          <w:rFonts w:hint="eastAsia"/>
          <w:color w:val="auto"/>
          <w:highlight w:val="none"/>
          <w:lang w:val="en-US" w:eastAsia="zh-CN"/>
        </w:rPr>
      </w:pPr>
    </w:p>
    <w:p w14:paraId="029F743D">
      <w:pPr>
        <w:pStyle w:val="11"/>
        <w:rPr>
          <w:rFonts w:hint="eastAsia"/>
          <w:color w:val="auto"/>
          <w:highlight w:val="none"/>
          <w:lang w:val="en-US" w:eastAsia="zh-CN"/>
        </w:rPr>
      </w:pPr>
    </w:p>
    <w:p w14:paraId="41587146">
      <w:pPr>
        <w:pStyle w:val="11"/>
        <w:rPr>
          <w:rFonts w:hint="eastAsia"/>
          <w:color w:val="auto"/>
          <w:highlight w:val="none"/>
          <w:lang w:val="en-US" w:eastAsia="zh-CN"/>
        </w:rPr>
      </w:pPr>
    </w:p>
    <w:p w14:paraId="34406338">
      <w:pPr>
        <w:widowControl/>
        <w:spacing w:before="100" w:beforeAutospacing="1" w:after="100" w:afterAutospacing="1"/>
        <w:rPr>
          <w:rFonts w:hint="eastAsia" w:ascii="Arial" w:hAnsi="Arial" w:cs="Arial"/>
          <w:color w:val="auto"/>
          <w:sz w:val="21"/>
          <w:szCs w:val="21"/>
          <w:highlight w:val="none"/>
          <w:lang w:val="en-US" w:eastAsia="zh-CN"/>
        </w:rPr>
      </w:pPr>
    </w:p>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7A1B48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zh-CN" w:eastAsia="zh-CN" w:bidi="ar-SA"/>
        </w:rPr>
      </w:pPr>
      <w:bookmarkStart w:id="562" w:name="_Toc29561"/>
      <w:bookmarkStart w:id="563" w:name="_Toc20923"/>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562"/>
      <w:bookmarkEnd w:id="563"/>
    </w:p>
    <w:p w14:paraId="0C24F0AE">
      <w:pPr>
        <w:pStyle w:val="33"/>
        <w:rPr>
          <w:rFonts w:hint="eastAsia"/>
          <w:color w:val="auto"/>
          <w:highlight w:val="none"/>
        </w:rPr>
      </w:pPr>
      <w:r>
        <w:rPr>
          <w:rFonts w:hint="eastAsia" w:cs="Courier New"/>
          <w:color w:val="auto"/>
          <w:szCs w:val="24"/>
          <w:highlight w:val="none"/>
          <w:lang w:val="en-US" w:eastAsia="zh-CN"/>
        </w:rPr>
        <w:t>供应商</w:t>
      </w:r>
      <w:r>
        <w:rPr>
          <w:rFonts w:hint="eastAsia" w:cs="Courier New"/>
          <w:color w:val="auto"/>
          <w:szCs w:val="24"/>
          <w:highlight w:val="none"/>
        </w:rPr>
        <w:t>认为需提供的其它相关资格证明材料</w:t>
      </w:r>
    </w:p>
    <w:p w14:paraId="7C2C3E83">
      <w:pPr>
        <w:pStyle w:val="33"/>
        <w:rPr>
          <w:rFonts w:hint="eastAsia"/>
          <w:color w:val="auto"/>
          <w:highlight w:val="none"/>
        </w:rPr>
      </w:pPr>
    </w:p>
    <w:p w14:paraId="58A36194">
      <w:pPr>
        <w:pStyle w:val="33"/>
        <w:rPr>
          <w:rFonts w:hint="eastAsia"/>
          <w:color w:val="auto"/>
          <w:highlight w:val="none"/>
        </w:rPr>
      </w:pPr>
    </w:p>
    <w:p w14:paraId="3553B395">
      <w:pPr>
        <w:pStyle w:val="33"/>
        <w:rPr>
          <w:rFonts w:hint="eastAsia"/>
          <w:color w:val="auto"/>
          <w:highlight w:val="none"/>
        </w:rPr>
      </w:pPr>
    </w:p>
    <w:p w14:paraId="49D404FC">
      <w:pPr>
        <w:pStyle w:val="33"/>
        <w:rPr>
          <w:rFonts w:hint="eastAsia"/>
          <w:color w:val="auto"/>
          <w:highlight w:val="none"/>
        </w:rPr>
      </w:pPr>
    </w:p>
    <w:p w14:paraId="4B98E4B6">
      <w:pPr>
        <w:pStyle w:val="33"/>
        <w:rPr>
          <w:rFonts w:hint="eastAsia"/>
          <w:color w:val="auto"/>
          <w:highlight w:val="none"/>
        </w:rPr>
      </w:pPr>
    </w:p>
    <w:p w14:paraId="737FEDD3">
      <w:pPr>
        <w:pStyle w:val="33"/>
        <w:rPr>
          <w:rFonts w:hint="eastAsia"/>
          <w:color w:val="auto"/>
          <w:highlight w:val="none"/>
        </w:rPr>
      </w:pPr>
    </w:p>
    <w:p w14:paraId="1C876135">
      <w:pPr>
        <w:pStyle w:val="33"/>
        <w:rPr>
          <w:rFonts w:hint="eastAsia"/>
          <w:color w:val="auto"/>
          <w:highlight w:val="none"/>
        </w:rPr>
      </w:pPr>
    </w:p>
    <w:p w14:paraId="7E85C842">
      <w:pPr>
        <w:pStyle w:val="33"/>
        <w:rPr>
          <w:rFonts w:hint="eastAsia"/>
          <w:color w:val="auto"/>
          <w:highlight w:val="none"/>
        </w:rPr>
      </w:pPr>
    </w:p>
    <w:p w14:paraId="4CBE3B0D">
      <w:pPr>
        <w:pStyle w:val="33"/>
        <w:rPr>
          <w:rFonts w:hint="eastAsia"/>
          <w:color w:val="auto"/>
          <w:highlight w:val="none"/>
        </w:rPr>
      </w:pPr>
    </w:p>
    <w:p w14:paraId="2E6E451F">
      <w:pPr>
        <w:pStyle w:val="33"/>
        <w:rPr>
          <w:rFonts w:hint="eastAsia"/>
          <w:color w:val="auto"/>
          <w:highlight w:val="none"/>
        </w:rPr>
      </w:pPr>
    </w:p>
    <w:p w14:paraId="38DC2C55">
      <w:pPr>
        <w:pStyle w:val="33"/>
        <w:rPr>
          <w:rFonts w:hint="eastAsia"/>
          <w:color w:val="auto"/>
          <w:highlight w:val="none"/>
        </w:rPr>
      </w:pPr>
    </w:p>
    <w:p w14:paraId="04DAFD3C">
      <w:pPr>
        <w:pStyle w:val="33"/>
        <w:rPr>
          <w:rFonts w:hint="eastAsia"/>
          <w:color w:val="auto"/>
          <w:highlight w:val="none"/>
        </w:rPr>
      </w:pPr>
    </w:p>
    <w:p w14:paraId="51E24CDC">
      <w:pPr>
        <w:pStyle w:val="33"/>
        <w:rPr>
          <w:rFonts w:hint="eastAsia"/>
          <w:color w:val="auto"/>
          <w:highlight w:val="none"/>
        </w:rPr>
      </w:pPr>
    </w:p>
    <w:p w14:paraId="1AC1942E">
      <w:pPr>
        <w:pStyle w:val="33"/>
        <w:rPr>
          <w:rFonts w:hint="eastAsia"/>
          <w:color w:val="auto"/>
          <w:highlight w:val="none"/>
        </w:rPr>
      </w:pPr>
    </w:p>
    <w:p w14:paraId="4722E259">
      <w:pPr>
        <w:pStyle w:val="33"/>
        <w:rPr>
          <w:rFonts w:hint="eastAsia"/>
          <w:color w:val="auto"/>
          <w:highlight w:val="none"/>
        </w:rPr>
      </w:pPr>
    </w:p>
    <w:p w14:paraId="07033BD3">
      <w:pPr>
        <w:pStyle w:val="33"/>
        <w:rPr>
          <w:rFonts w:hint="eastAsia"/>
          <w:color w:val="auto"/>
          <w:highlight w:val="none"/>
        </w:rPr>
      </w:pPr>
    </w:p>
    <w:p w14:paraId="6E1D094D">
      <w:pPr>
        <w:pStyle w:val="33"/>
        <w:rPr>
          <w:rFonts w:hint="eastAsia"/>
          <w:color w:val="auto"/>
          <w:highlight w:val="none"/>
        </w:rPr>
      </w:pPr>
    </w:p>
    <w:p w14:paraId="23B0DB54">
      <w:pPr>
        <w:pStyle w:val="33"/>
        <w:rPr>
          <w:rFonts w:hint="eastAsia"/>
          <w:color w:val="auto"/>
          <w:highlight w:val="none"/>
        </w:rPr>
      </w:pPr>
    </w:p>
    <w:p w14:paraId="07159DF6">
      <w:pPr>
        <w:pStyle w:val="33"/>
        <w:rPr>
          <w:rFonts w:hint="eastAsia"/>
          <w:color w:val="auto"/>
          <w:highlight w:val="none"/>
        </w:rPr>
      </w:pPr>
    </w:p>
    <w:p w14:paraId="44B3A5AA">
      <w:pPr>
        <w:pStyle w:val="33"/>
        <w:rPr>
          <w:rFonts w:hint="eastAsia"/>
          <w:color w:val="auto"/>
          <w:highlight w:val="none"/>
        </w:rPr>
      </w:pPr>
    </w:p>
    <w:p w14:paraId="05BB178A">
      <w:pPr>
        <w:pStyle w:val="33"/>
        <w:rPr>
          <w:rFonts w:hint="eastAsia"/>
          <w:color w:val="auto"/>
          <w:highlight w:val="none"/>
        </w:rPr>
      </w:pPr>
    </w:p>
    <w:p w14:paraId="0E7980AB">
      <w:pPr>
        <w:pStyle w:val="33"/>
        <w:rPr>
          <w:rFonts w:hint="eastAsia"/>
          <w:color w:val="auto"/>
          <w:highlight w:val="none"/>
        </w:rPr>
      </w:pPr>
    </w:p>
    <w:p w14:paraId="5A09B930">
      <w:pPr>
        <w:pStyle w:val="33"/>
        <w:rPr>
          <w:rFonts w:hint="eastAsia"/>
          <w:color w:val="auto"/>
          <w:highlight w:val="none"/>
        </w:rPr>
      </w:pPr>
    </w:p>
    <w:p w14:paraId="3FB1F62E">
      <w:pPr>
        <w:pStyle w:val="33"/>
        <w:rPr>
          <w:rFonts w:hint="eastAsia"/>
          <w:color w:val="auto"/>
          <w:highlight w:val="none"/>
        </w:rPr>
      </w:pPr>
    </w:p>
    <w:p w14:paraId="43B020C2">
      <w:pPr>
        <w:pStyle w:val="33"/>
        <w:rPr>
          <w:rFonts w:hint="eastAsia"/>
          <w:color w:val="auto"/>
          <w:highlight w:val="none"/>
        </w:rPr>
      </w:pPr>
    </w:p>
    <w:p w14:paraId="04384634">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47D3EE">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3"/>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6C0FD82C">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564" w:name="_Toc16501"/>
      <w:bookmarkStart w:id="565" w:name="_Toc23056"/>
      <w:r>
        <w:rPr>
          <w:rFonts w:hint="eastAsia" w:cstheme="majorBidi"/>
          <w:b/>
          <w:bCs/>
          <w:color w:val="auto"/>
          <w:kern w:val="2"/>
          <w:sz w:val="32"/>
          <w:szCs w:val="32"/>
          <w:highlight w:val="none"/>
          <w:lang w:val="en-US" w:eastAsia="zh-CN" w:bidi="ar-SA"/>
        </w:rPr>
        <w:t>一、报价一览表</w:t>
      </w:r>
      <w:bookmarkEnd w:id="564"/>
      <w:bookmarkEnd w:id="565"/>
    </w:p>
    <w:p w14:paraId="2AB3D72A">
      <w:pPr>
        <w:spacing w:line="300" w:lineRule="auto"/>
        <w:rPr>
          <w:rFonts w:cs="仿宋_GB2312"/>
          <w:color w:val="auto"/>
          <w:szCs w:val="24"/>
          <w:highlight w:val="none"/>
        </w:rPr>
      </w:pPr>
    </w:p>
    <w:p w14:paraId="2E702B28">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0D117C7C">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color w:val="auto"/>
                <w:szCs w:val="21"/>
                <w:highlight w:val="none"/>
              </w:rPr>
            </w:pPr>
            <w:r>
              <w:rPr>
                <w:rFonts w:hint="eastAsia"/>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color w:val="auto"/>
                <w:szCs w:val="21"/>
                <w:highlight w:val="none"/>
              </w:rPr>
            </w:pPr>
            <w:r>
              <w:rPr>
                <w:rFonts w:hint="eastAsia"/>
                <w:color w:val="auto"/>
                <w:szCs w:val="21"/>
                <w:highlight w:val="none"/>
                <w:lang w:val="en-US" w:eastAsia="zh-CN"/>
              </w:rPr>
              <w:t>谈判</w:t>
            </w:r>
            <w:r>
              <w:rPr>
                <w:rFonts w:hint="eastAsia"/>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color w:val="auto"/>
                <w:szCs w:val="21"/>
                <w:highlight w:val="none"/>
              </w:rPr>
            </w:pPr>
            <w:r>
              <w:rPr>
                <w:rFonts w:hint="eastAsia"/>
                <w:color w:val="auto"/>
                <w:szCs w:val="21"/>
                <w:highlight w:val="none"/>
              </w:rPr>
              <w:t>交货期限</w:t>
            </w:r>
          </w:p>
        </w:tc>
        <w:tc>
          <w:tcPr>
            <w:tcW w:w="2611" w:type="dxa"/>
            <w:vAlign w:val="center"/>
          </w:tcPr>
          <w:p w14:paraId="620875ED">
            <w:pPr>
              <w:widowControl/>
              <w:autoSpaceDE w:val="0"/>
              <w:autoSpaceDN w:val="0"/>
              <w:jc w:val="center"/>
              <w:textAlignment w:val="bottom"/>
              <w:rPr>
                <w:color w:val="auto"/>
                <w:szCs w:val="21"/>
                <w:highlight w:val="none"/>
              </w:rPr>
            </w:pPr>
            <w:r>
              <w:rPr>
                <w:rFonts w:hint="eastAsia"/>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color w:val="auto"/>
                <w:sz w:val="28"/>
                <w:highlight w:val="none"/>
              </w:rPr>
            </w:pPr>
          </w:p>
        </w:tc>
        <w:tc>
          <w:tcPr>
            <w:tcW w:w="2352" w:type="dxa"/>
            <w:vAlign w:val="center"/>
          </w:tcPr>
          <w:p w14:paraId="45A40F19">
            <w:pPr>
              <w:widowControl/>
              <w:autoSpaceDE w:val="0"/>
              <w:autoSpaceDN w:val="0"/>
              <w:spacing w:line="240" w:lineRule="auto"/>
              <w:ind w:left="851" w:hanging="851"/>
              <w:jc w:val="left"/>
              <w:textAlignment w:val="bottom"/>
              <w:rPr>
                <w:rFonts w:hint="eastAsia"/>
                <w:color w:val="auto"/>
                <w:szCs w:val="21"/>
                <w:highlight w:val="none"/>
                <w:lang w:val="en-US" w:eastAsia="zh-CN"/>
              </w:rPr>
            </w:pPr>
            <w:r>
              <w:rPr>
                <w:rFonts w:hint="eastAsia"/>
                <w:color w:val="auto"/>
                <w:szCs w:val="21"/>
                <w:highlight w:val="none"/>
                <w:lang w:val="en-US" w:eastAsia="zh-CN"/>
              </w:rPr>
              <w:t>小写：</w:t>
            </w:r>
          </w:p>
          <w:p w14:paraId="131FC705">
            <w:pPr>
              <w:jc w:val="left"/>
              <w:rPr>
                <w:color w:val="auto"/>
                <w:sz w:val="28"/>
                <w:highlight w:val="none"/>
              </w:rPr>
            </w:pPr>
            <w:r>
              <w:rPr>
                <w:rFonts w:hint="eastAsia"/>
                <w:color w:val="auto"/>
                <w:szCs w:val="21"/>
                <w:highlight w:val="none"/>
                <w:lang w:val="en-US" w:eastAsia="zh-CN"/>
              </w:rPr>
              <w:t>大写：</w:t>
            </w:r>
          </w:p>
        </w:tc>
        <w:tc>
          <w:tcPr>
            <w:tcW w:w="2161" w:type="dxa"/>
            <w:vAlign w:val="center"/>
          </w:tcPr>
          <w:p w14:paraId="3409D243">
            <w:pPr>
              <w:jc w:val="center"/>
              <w:rPr>
                <w:color w:val="auto"/>
                <w:sz w:val="28"/>
                <w:highlight w:val="none"/>
              </w:rPr>
            </w:pPr>
          </w:p>
        </w:tc>
        <w:tc>
          <w:tcPr>
            <w:tcW w:w="2611" w:type="dxa"/>
            <w:vAlign w:val="center"/>
          </w:tcPr>
          <w:p w14:paraId="35602B49">
            <w:pPr>
              <w:jc w:val="center"/>
              <w:rPr>
                <w:color w:val="auto"/>
                <w:sz w:val="28"/>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6302F8A6">
      <w:pPr>
        <w:spacing w:line="300" w:lineRule="auto"/>
        <w:rPr>
          <w:rFonts w:ascii="Arial" w:hAnsi="Arial" w:cs="Arial"/>
          <w:color w:val="auto"/>
          <w:szCs w:val="21"/>
          <w:highlight w:val="none"/>
          <w:u w:val="single"/>
        </w:rPr>
      </w:pPr>
      <w:r>
        <w:rPr>
          <w:rFonts w:ascii="Arial" w:hAnsi="Arial" w:cs="Arial"/>
          <w:color w:val="auto"/>
          <w:szCs w:val="21"/>
          <w:highlight w:val="none"/>
        </w:rPr>
        <w:t>日期：</w:t>
      </w:r>
    </w:p>
    <w:p w14:paraId="722CC087">
      <w:pPr>
        <w:rPr>
          <w:rFonts w:cs="Arial"/>
          <w:color w:val="auto"/>
          <w:szCs w:val="24"/>
          <w:highlight w:val="none"/>
        </w:rPr>
      </w:pPr>
    </w:p>
    <w:p w14:paraId="21BB3A26">
      <w:pPr>
        <w:pStyle w:val="11"/>
        <w:rPr>
          <w:rFonts w:cs="Arial"/>
          <w:color w:val="auto"/>
          <w:szCs w:val="24"/>
          <w:highlight w:val="none"/>
        </w:rPr>
      </w:pPr>
    </w:p>
    <w:p w14:paraId="4C551945">
      <w:pPr>
        <w:pStyle w:val="11"/>
        <w:rPr>
          <w:rFonts w:cs="Arial"/>
          <w:color w:val="auto"/>
          <w:szCs w:val="24"/>
          <w:highlight w:val="none"/>
        </w:rPr>
      </w:pPr>
    </w:p>
    <w:p w14:paraId="09ACCEBB">
      <w:pPr>
        <w:pStyle w:val="11"/>
        <w:rPr>
          <w:rFonts w:cs="Arial"/>
          <w:color w:val="auto"/>
          <w:szCs w:val="24"/>
          <w:highlight w:val="none"/>
        </w:rPr>
      </w:pPr>
    </w:p>
    <w:p w14:paraId="54CAC625">
      <w:pPr>
        <w:pStyle w:val="11"/>
        <w:rPr>
          <w:rFonts w:cs="Arial"/>
          <w:color w:val="auto"/>
          <w:szCs w:val="24"/>
          <w:highlight w:val="none"/>
        </w:rPr>
      </w:pP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1266F1C5">
      <w:pPr>
        <w:pStyle w:val="11"/>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1.上述</w:t>
      </w:r>
      <w:r>
        <w:rPr>
          <w:rFonts w:hint="eastAsia" w:ascii="宋体" w:hAnsi="宋体"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报价内容根据</w:t>
      </w:r>
      <w:r>
        <w:rPr>
          <w:rFonts w:hint="eastAsia" w:ascii="宋体" w:hAnsi="宋体" w:cs="宋体"/>
          <w:color w:val="auto"/>
          <w:sz w:val="21"/>
          <w:szCs w:val="21"/>
          <w:highlight w:val="none"/>
          <w:lang w:val="en-US" w:eastAsia="zh-CN"/>
        </w:rPr>
        <w:t>谈判</w:t>
      </w:r>
      <w:r>
        <w:rPr>
          <w:rFonts w:hint="eastAsia" w:ascii="宋体" w:hAnsi="宋体" w:eastAsia="宋体" w:cs="宋体"/>
          <w:color w:val="auto"/>
          <w:sz w:val="21"/>
          <w:szCs w:val="21"/>
          <w:highlight w:val="none"/>
          <w:lang w:val="en-US" w:eastAsia="zh-CN"/>
        </w:rPr>
        <w:t>文件要求包括了货物及其配套的设计、采购、制造、检测、试验、运输、保险、仓储、税费以及现场落地、安装及安装耗损、调试、培训、技术服务（包括技术资料、图纸的提供）质保期内的售后服务保障等所有费用。</w:t>
      </w:r>
    </w:p>
    <w:p w14:paraId="26C7BD91">
      <w:pPr>
        <w:pStyle w:val="11"/>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2.特殊事项在备注中注明。</w:t>
      </w:r>
    </w:p>
    <w:p w14:paraId="56ADDAE7">
      <w:pPr>
        <w:pStyle w:val="11"/>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3.表中大写与小写不一致的，以大写为准</w:t>
      </w:r>
      <w:r>
        <w:rPr>
          <w:rFonts w:hint="eastAsia" w:ascii="宋体" w:hAnsi="宋体" w:eastAsia="宋体" w:cs="宋体"/>
          <w:color w:val="auto"/>
          <w:sz w:val="21"/>
          <w:szCs w:val="21"/>
          <w:highlight w:val="none"/>
        </w:rPr>
        <w:t>。</w:t>
      </w:r>
    </w:p>
    <w:p w14:paraId="5C45EAC1">
      <w:pPr>
        <w:pStyle w:val="11"/>
        <w:ind w:firstLine="480" w:firstLineChars="200"/>
        <w:rPr>
          <w:rFonts w:hint="eastAsia" w:ascii="宋体" w:hAnsi="宋体" w:eastAsia="宋体" w:cs="宋体"/>
          <w:color w:val="auto"/>
          <w:sz w:val="24"/>
          <w:szCs w:val="24"/>
          <w:highlight w:val="none"/>
        </w:rPr>
      </w:pPr>
    </w:p>
    <w:p w14:paraId="584BFACD">
      <w:pPr>
        <w:pStyle w:val="11"/>
        <w:ind w:firstLine="480" w:firstLineChars="200"/>
        <w:rPr>
          <w:rFonts w:hint="eastAsia" w:ascii="宋体" w:hAnsi="宋体" w:eastAsia="宋体" w:cs="宋体"/>
          <w:color w:val="auto"/>
          <w:sz w:val="24"/>
          <w:szCs w:val="24"/>
          <w:highlight w:val="none"/>
        </w:rPr>
      </w:pPr>
    </w:p>
    <w:p w14:paraId="3426CDB6">
      <w:pPr>
        <w:pStyle w:val="11"/>
        <w:ind w:firstLine="480" w:firstLineChars="200"/>
        <w:rPr>
          <w:rFonts w:hint="eastAsia" w:ascii="宋体" w:hAnsi="宋体" w:eastAsia="宋体" w:cs="宋体"/>
          <w:color w:val="auto"/>
          <w:sz w:val="24"/>
          <w:szCs w:val="24"/>
          <w:highlight w:val="none"/>
        </w:rPr>
      </w:pPr>
    </w:p>
    <w:p w14:paraId="39260CE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sectPr>
          <w:pgSz w:w="11906" w:h="16838"/>
          <w:pgMar w:top="1440" w:right="1800" w:bottom="1440" w:left="1800" w:header="851" w:footer="992" w:gutter="0"/>
          <w:pgNumType w:fmt="numberInDash"/>
          <w:cols w:space="425" w:num="1"/>
          <w:docGrid w:type="lines" w:linePitch="312" w:charSpace="0"/>
        </w:sectPr>
      </w:pP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566" w:name="_Toc22648"/>
      <w:bookmarkStart w:id="567" w:name="_Toc28294"/>
      <w:r>
        <w:rPr>
          <w:rFonts w:hint="eastAsia" w:cstheme="majorBidi"/>
          <w:b/>
          <w:bCs/>
          <w:color w:val="auto"/>
          <w:kern w:val="2"/>
          <w:sz w:val="32"/>
          <w:szCs w:val="32"/>
          <w:highlight w:val="none"/>
          <w:lang w:val="en-US" w:eastAsia="zh-CN" w:bidi="ar-SA"/>
        </w:rPr>
        <w:t>二、分项报价表</w:t>
      </w:r>
      <w:bookmarkEnd w:id="566"/>
      <w:bookmarkEnd w:id="567"/>
    </w:p>
    <w:p w14:paraId="36B29882">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48D45A94">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236"/>
        <w:gridCol w:w="986"/>
        <w:gridCol w:w="1040"/>
        <w:gridCol w:w="1383"/>
        <w:gridCol w:w="1012"/>
        <w:gridCol w:w="1500"/>
        <w:gridCol w:w="985"/>
        <w:gridCol w:w="863"/>
        <w:gridCol w:w="1324"/>
        <w:gridCol w:w="1026"/>
        <w:gridCol w:w="923"/>
        <w:gridCol w:w="1091"/>
      </w:tblGrid>
      <w:tr w14:paraId="331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51E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kern w:val="2"/>
                <w:sz w:val="24"/>
                <w:szCs w:val="24"/>
                <w:highlight w:val="none"/>
              </w:rPr>
              <w:t>序号</w:t>
            </w:r>
          </w:p>
        </w:tc>
        <w:tc>
          <w:tcPr>
            <w:tcW w:w="1236" w:type="dxa"/>
            <w:vAlign w:val="center"/>
          </w:tcPr>
          <w:p w14:paraId="31DAB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分项</w:t>
            </w:r>
            <w:r>
              <w:rPr>
                <w:rFonts w:hint="eastAsia" w:ascii="宋体" w:hAnsi="宋体" w:eastAsia="宋体" w:cs="宋体"/>
                <w:b w:val="0"/>
                <w:bCs/>
                <w:color w:val="auto"/>
                <w:sz w:val="24"/>
                <w:szCs w:val="24"/>
                <w:highlight w:val="none"/>
              </w:rPr>
              <w:t>名称</w:t>
            </w:r>
          </w:p>
        </w:tc>
        <w:tc>
          <w:tcPr>
            <w:tcW w:w="986" w:type="dxa"/>
            <w:vAlign w:val="center"/>
          </w:tcPr>
          <w:p w14:paraId="1FEEA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w:t>
            </w:r>
          </w:p>
        </w:tc>
        <w:tc>
          <w:tcPr>
            <w:tcW w:w="1040" w:type="dxa"/>
            <w:vAlign w:val="center"/>
          </w:tcPr>
          <w:p w14:paraId="264DED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产地/国别</w:t>
            </w:r>
          </w:p>
        </w:tc>
        <w:tc>
          <w:tcPr>
            <w:tcW w:w="1383" w:type="dxa"/>
            <w:vAlign w:val="center"/>
          </w:tcPr>
          <w:p w14:paraId="64AC8B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制造商</w:t>
            </w:r>
          </w:p>
          <w:p w14:paraId="09B3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统一社会信用代码</w:t>
            </w:r>
          </w:p>
        </w:tc>
        <w:tc>
          <w:tcPr>
            <w:tcW w:w="1012" w:type="dxa"/>
            <w:vAlign w:val="center"/>
          </w:tcPr>
          <w:p w14:paraId="7A390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制造商规模</w:t>
            </w:r>
          </w:p>
        </w:tc>
        <w:tc>
          <w:tcPr>
            <w:tcW w:w="1500" w:type="dxa"/>
            <w:vAlign w:val="center"/>
          </w:tcPr>
          <w:p w14:paraId="3A9B2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制造商实际控制人性别</w:t>
            </w:r>
          </w:p>
        </w:tc>
        <w:tc>
          <w:tcPr>
            <w:tcW w:w="985" w:type="dxa"/>
            <w:vAlign w:val="center"/>
          </w:tcPr>
          <w:p w14:paraId="37BD3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外商投资类型</w:t>
            </w:r>
          </w:p>
        </w:tc>
        <w:tc>
          <w:tcPr>
            <w:tcW w:w="863" w:type="dxa"/>
            <w:vAlign w:val="center"/>
          </w:tcPr>
          <w:p w14:paraId="60D081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品牌</w:t>
            </w:r>
          </w:p>
        </w:tc>
        <w:tc>
          <w:tcPr>
            <w:tcW w:w="1324" w:type="dxa"/>
            <w:vAlign w:val="center"/>
          </w:tcPr>
          <w:p w14:paraId="6B3AF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规格</w:t>
            </w:r>
            <w:r>
              <w:rPr>
                <w:rFonts w:hint="eastAsia"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型号</w:t>
            </w:r>
          </w:p>
        </w:tc>
        <w:tc>
          <w:tcPr>
            <w:tcW w:w="1026" w:type="dxa"/>
            <w:vAlign w:val="center"/>
          </w:tcPr>
          <w:p w14:paraId="45014B84">
            <w:pPr>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单价</w:t>
            </w:r>
          </w:p>
          <w:p w14:paraId="145DF2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c>
          <w:tcPr>
            <w:tcW w:w="923" w:type="dxa"/>
            <w:vAlign w:val="center"/>
          </w:tcPr>
          <w:p w14:paraId="3BCED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数量</w:t>
            </w:r>
          </w:p>
        </w:tc>
        <w:tc>
          <w:tcPr>
            <w:tcW w:w="1091" w:type="dxa"/>
            <w:vAlign w:val="center"/>
          </w:tcPr>
          <w:p w14:paraId="577D0E39">
            <w:pPr>
              <w:spacing w:line="240" w:lineRule="auto"/>
              <w:jc w:val="center"/>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合价</w:t>
            </w:r>
          </w:p>
          <w:p w14:paraId="2EC37A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r>
      <w:tr w14:paraId="3DDD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6007496">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1</w:t>
            </w:r>
          </w:p>
        </w:tc>
        <w:tc>
          <w:tcPr>
            <w:tcW w:w="1236" w:type="dxa"/>
            <w:vAlign w:val="center"/>
          </w:tcPr>
          <w:p w14:paraId="5185A0F8">
            <w:pPr>
              <w:jc w:val="center"/>
              <w:rPr>
                <w:rFonts w:hint="eastAsia"/>
                <w:b w:val="0"/>
                <w:bCs/>
                <w:color w:val="auto"/>
                <w:szCs w:val="21"/>
                <w:highlight w:val="none"/>
                <w:u w:val="none"/>
                <w:vertAlign w:val="baseline"/>
                <w:lang w:val="zh-CN"/>
              </w:rPr>
            </w:pPr>
          </w:p>
        </w:tc>
        <w:tc>
          <w:tcPr>
            <w:tcW w:w="986" w:type="dxa"/>
            <w:vAlign w:val="center"/>
          </w:tcPr>
          <w:p w14:paraId="440761B0">
            <w:pPr>
              <w:jc w:val="center"/>
              <w:rPr>
                <w:rFonts w:hint="eastAsia"/>
                <w:b w:val="0"/>
                <w:bCs/>
                <w:color w:val="auto"/>
                <w:szCs w:val="21"/>
                <w:highlight w:val="none"/>
                <w:u w:val="none"/>
                <w:vertAlign w:val="baseline"/>
                <w:lang w:val="zh-CN"/>
              </w:rPr>
            </w:pPr>
          </w:p>
        </w:tc>
        <w:tc>
          <w:tcPr>
            <w:tcW w:w="1040" w:type="dxa"/>
            <w:vAlign w:val="center"/>
          </w:tcPr>
          <w:p w14:paraId="2042EBA7">
            <w:pPr>
              <w:jc w:val="center"/>
              <w:rPr>
                <w:rFonts w:hint="eastAsia"/>
                <w:b w:val="0"/>
                <w:bCs/>
                <w:color w:val="auto"/>
                <w:szCs w:val="21"/>
                <w:highlight w:val="none"/>
                <w:u w:val="none"/>
                <w:vertAlign w:val="baseline"/>
                <w:lang w:val="zh-CN"/>
              </w:rPr>
            </w:pPr>
          </w:p>
        </w:tc>
        <w:tc>
          <w:tcPr>
            <w:tcW w:w="1383" w:type="dxa"/>
            <w:vAlign w:val="center"/>
          </w:tcPr>
          <w:p w14:paraId="74B97F46">
            <w:pPr>
              <w:jc w:val="center"/>
              <w:rPr>
                <w:rFonts w:hint="eastAsia"/>
                <w:b w:val="0"/>
                <w:bCs/>
                <w:color w:val="auto"/>
                <w:szCs w:val="21"/>
                <w:highlight w:val="none"/>
                <w:u w:val="none"/>
                <w:vertAlign w:val="baseline"/>
                <w:lang w:val="zh-CN"/>
              </w:rPr>
            </w:pPr>
          </w:p>
        </w:tc>
        <w:tc>
          <w:tcPr>
            <w:tcW w:w="1012" w:type="dxa"/>
            <w:vAlign w:val="center"/>
          </w:tcPr>
          <w:p w14:paraId="339AD079">
            <w:pPr>
              <w:jc w:val="center"/>
              <w:rPr>
                <w:rFonts w:hint="eastAsia"/>
                <w:b w:val="0"/>
                <w:bCs/>
                <w:color w:val="auto"/>
                <w:szCs w:val="21"/>
                <w:highlight w:val="none"/>
                <w:u w:val="none"/>
                <w:vertAlign w:val="baseline"/>
                <w:lang w:val="zh-CN"/>
              </w:rPr>
            </w:pPr>
          </w:p>
        </w:tc>
        <w:tc>
          <w:tcPr>
            <w:tcW w:w="1500" w:type="dxa"/>
            <w:vAlign w:val="center"/>
          </w:tcPr>
          <w:p w14:paraId="0CB6EDE3">
            <w:pPr>
              <w:jc w:val="center"/>
              <w:rPr>
                <w:rFonts w:hint="eastAsia"/>
                <w:b w:val="0"/>
                <w:bCs/>
                <w:color w:val="auto"/>
                <w:szCs w:val="21"/>
                <w:highlight w:val="none"/>
                <w:u w:val="none"/>
                <w:vertAlign w:val="baseline"/>
                <w:lang w:val="zh-CN"/>
              </w:rPr>
            </w:pPr>
          </w:p>
        </w:tc>
        <w:tc>
          <w:tcPr>
            <w:tcW w:w="985" w:type="dxa"/>
            <w:vAlign w:val="center"/>
          </w:tcPr>
          <w:p w14:paraId="2B5545C8">
            <w:pPr>
              <w:jc w:val="center"/>
              <w:rPr>
                <w:rFonts w:hint="eastAsia"/>
                <w:b w:val="0"/>
                <w:bCs/>
                <w:color w:val="auto"/>
                <w:szCs w:val="21"/>
                <w:highlight w:val="none"/>
                <w:u w:val="none"/>
                <w:vertAlign w:val="baseline"/>
                <w:lang w:val="zh-CN"/>
              </w:rPr>
            </w:pPr>
          </w:p>
        </w:tc>
        <w:tc>
          <w:tcPr>
            <w:tcW w:w="863" w:type="dxa"/>
            <w:vAlign w:val="center"/>
          </w:tcPr>
          <w:p w14:paraId="58D4443B">
            <w:pPr>
              <w:jc w:val="center"/>
              <w:rPr>
                <w:rFonts w:hint="eastAsia"/>
                <w:b w:val="0"/>
                <w:bCs/>
                <w:color w:val="auto"/>
                <w:szCs w:val="21"/>
                <w:highlight w:val="none"/>
                <w:u w:val="none"/>
                <w:vertAlign w:val="baseline"/>
                <w:lang w:val="zh-CN"/>
              </w:rPr>
            </w:pPr>
          </w:p>
        </w:tc>
        <w:tc>
          <w:tcPr>
            <w:tcW w:w="1324" w:type="dxa"/>
            <w:vAlign w:val="center"/>
          </w:tcPr>
          <w:p w14:paraId="38890D30">
            <w:pPr>
              <w:jc w:val="center"/>
              <w:rPr>
                <w:rFonts w:hint="eastAsia"/>
                <w:b w:val="0"/>
                <w:bCs/>
                <w:color w:val="auto"/>
                <w:szCs w:val="21"/>
                <w:highlight w:val="none"/>
                <w:u w:val="none"/>
                <w:vertAlign w:val="baseline"/>
                <w:lang w:val="zh-CN"/>
              </w:rPr>
            </w:pPr>
          </w:p>
        </w:tc>
        <w:tc>
          <w:tcPr>
            <w:tcW w:w="1026" w:type="dxa"/>
            <w:vAlign w:val="center"/>
          </w:tcPr>
          <w:p w14:paraId="50753003">
            <w:pPr>
              <w:jc w:val="center"/>
              <w:rPr>
                <w:rFonts w:hint="eastAsia"/>
                <w:b w:val="0"/>
                <w:bCs/>
                <w:color w:val="auto"/>
                <w:szCs w:val="21"/>
                <w:highlight w:val="none"/>
                <w:u w:val="none"/>
                <w:vertAlign w:val="baseline"/>
                <w:lang w:val="zh-CN"/>
              </w:rPr>
            </w:pPr>
          </w:p>
        </w:tc>
        <w:tc>
          <w:tcPr>
            <w:tcW w:w="923" w:type="dxa"/>
            <w:vAlign w:val="center"/>
          </w:tcPr>
          <w:p w14:paraId="722E72FF">
            <w:pPr>
              <w:jc w:val="center"/>
              <w:rPr>
                <w:rFonts w:hint="eastAsia"/>
                <w:b w:val="0"/>
                <w:bCs/>
                <w:color w:val="auto"/>
                <w:szCs w:val="21"/>
                <w:highlight w:val="none"/>
                <w:u w:val="none"/>
                <w:vertAlign w:val="baseline"/>
                <w:lang w:val="zh-CN"/>
              </w:rPr>
            </w:pPr>
          </w:p>
        </w:tc>
        <w:tc>
          <w:tcPr>
            <w:tcW w:w="1091" w:type="dxa"/>
            <w:vAlign w:val="center"/>
          </w:tcPr>
          <w:p w14:paraId="1F020DC5">
            <w:pPr>
              <w:jc w:val="center"/>
              <w:rPr>
                <w:rFonts w:hint="eastAsia"/>
                <w:b w:val="0"/>
                <w:bCs/>
                <w:color w:val="auto"/>
                <w:szCs w:val="21"/>
                <w:highlight w:val="none"/>
                <w:u w:val="none"/>
                <w:vertAlign w:val="baseline"/>
                <w:lang w:val="zh-CN"/>
              </w:rPr>
            </w:pPr>
          </w:p>
        </w:tc>
      </w:tr>
      <w:tr w14:paraId="327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A2FC9F">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2</w:t>
            </w:r>
          </w:p>
        </w:tc>
        <w:tc>
          <w:tcPr>
            <w:tcW w:w="1236" w:type="dxa"/>
            <w:vAlign w:val="center"/>
          </w:tcPr>
          <w:p w14:paraId="022E3F12">
            <w:pPr>
              <w:jc w:val="center"/>
              <w:rPr>
                <w:rFonts w:hint="eastAsia"/>
                <w:b w:val="0"/>
                <w:bCs/>
                <w:color w:val="auto"/>
                <w:szCs w:val="21"/>
                <w:highlight w:val="none"/>
                <w:u w:val="none"/>
                <w:vertAlign w:val="baseline"/>
                <w:lang w:val="zh-CN"/>
              </w:rPr>
            </w:pPr>
          </w:p>
        </w:tc>
        <w:tc>
          <w:tcPr>
            <w:tcW w:w="986" w:type="dxa"/>
            <w:vAlign w:val="center"/>
          </w:tcPr>
          <w:p w14:paraId="3FFF5518">
            <w:pPr>
              <w:jc w:val="center"/>
              <w:rPr>
                <w:rFonts w:hint="eastAsia"/>
                <w:b w:val="0"/>
                <w:bCs/>
                <w:color w:val="auto"/>
                <w:szCs w:val="21"/>
                <w:highlight w:val="none"/>
                <w:u w:val="none"/>
                <w:vertAlign w:val="baseline"/>
                <w:lang w:val="zh-CN"/>
              </w:rPr>
            </w:pPr>
          </w:p>
        </w:tc>
        <w:tc>
          <w:tcPr>
            <w:tcW w:w="1040" w:type="dxa"/>
            <w:vAlign w:val="center"/>
          </w:tcPr>
          <w:p w14:paraId="0C93B94B">
            <w:pPr>
              <w:jc w:val="center"/>
              <w:rPr>
                <w:rFonts w:hint="eastAsia"/>
                <w:b w:val="0"/>
                <w:bCs/>
                <w:color w:val="auto"/>
                <w:szCs w:val="21"/>
                <w:highlight w:val="none"/>
                <w:u w:val="none"/>
                <w:vertAlign w:val="baseline"/>
                <w:lang w:val="zh-CN"/>
              </w:rPr>
            </w:pPr>
          </w:p>
        </w:tc>
        <w:tc>
          <w:tcPr>
            <w:tcW w:w="1383" w:type="dxa"/>
            <w:vAlign w:val="center"/>
          </w:tcPr>
          <w:p w14:paraId="43F08D28">
            <w:pPr>
              <w:jc w:val="center"/>
              <w:rPr>
                <w:rFonts w:hint="eastAsia"/>
                <w:b w:val="0"/>
                <w:bCs/>
                <w:color w:val="auto"/>
                <w:szCs w:val="21"/>
                <w:highlight w:val="none"/>
                <w:u w:val="none"/>
                <w:vertAlign w:val="baseline"/>
                <w:lang w:val="zh-CN"/>
              </w:rPr>
            </w:pPr>
          </w:p>
        </w:tc>
        <w:tc>
          <w:tcPr>
            <w:tcW w:w="1012" w:type="dxa"/>
            <w:vAlign w:val="center"/>
          </w:tcPr>
          <w:p w14:paraId="4F7A043B">
            <w:pPr>
              <w:jc w:val="center"/>
              <w:rPr>
                <w:rFonts w:hint="eastAsia"/>
                <w:b w:val="0"/>
                <w:bCs/>
                <w:color w:val="auto"/>
                <w:szCs w:val="21"/>
                <w:highlight w:val="none"/>
                <w:u w:val="none"/>
                <w:vertAlign w:val="baseline"/>
                <w:lang w:val="zh-CN"/>
              </w:rPr>
            </w:pPr>
          </w:p>
        </w:tc>
        <w:tc>
          <w:tcPr>
            <w:tcW w:w="1500" w:type="dxa"/>
            <w:vAlign w:val="center"/>
          </w:tcPr>
          <w:p w14:paraId="2BA9D216">
            <w:pPr>
              <w:jc w:val="center"/>
              <w:rPr>
                <w:rFonts w:hint="eastAsia"/>
                <w:b w:val="0"/>
                <w:bCs/>
                <w:color w:val="auto"/>
                <w:szCs w:val="21"/>
                <w:highlight w:val="none"/>
                <w:u w:val="none"/>
                <w:vertAlign w:val="baseline"/>
                <w:lang w:val="zh-CN"/>
              </w:rPr>
            </w:pPr>
          </w:p>
        </w:tc>
        <w:tc>
          <w:tcPr>
            <w:tcW w:w="985" w:type="dxa"/>
            <w:vAlign w:val="center"/>
          </w:tcPr>
          <w:p w14:paraId="0E652E37">
            <w:pPr>
              <w:jc w:val="center"/>
              <w:rPr>
                <w:rFonts w:hint="eastAsia"/>
                <w:b w:val="0"/>
                <w:bCs/>
                <w:color w:val="auto"/>
                <w:szCs w:val="21"/>
                <w:highlight w:val="none"/>
                <w:u w:val="none"/>
                <w:vertAlign w:val="baseline"/>
                <w:lang w:val="zh-CN"/>
              </w:rPr>
            </w:pPr>
          </w:p>
        </w:tc>
        <w:tc>
          <w:tcPr>
            <w:tcW w:w="863" w:type="dxa"/>
            <w:vAlign w:val="center"/>
          </w:tcPr>
          <w:p w14:paraId="22025CB6">
            <w:pPr>
              <w:jc w:val="center"/>
              <w:rPr>
                <w:rFonts w:hint="eastAsia"/>
                <w:b w:val="0"/>
                <w:bCs/>
                <w:color w:val="auto"/>
                <w:szCs w:val="21"/>
                <w:highlight w:val="none"/>
                <w:u w:val="none"/>
                <w:vertAlign w:val="baseline"/>
                <w:lang w:val="zh-CN"/>
              </w:rPr>
            </w:pPr>
          </w:p>
        </w:tc>
        <w:tc>
          <w:tcPr>
            <w:tcW w:w="1324" w:type="dxa"/>
            <w:vAlign w:val="center"/>
          </w:tcPr>
          <w:p w14:paraId="62DDA3C2">
            <w:pPr>
              <w:jc w:val="center"/>
              <w:rPr>
                <w:rFonts w:hint="eastAsia"/>
                <w:b w:val="0"/>
                <w:bCs/>
                <w:color w:val="auto"/>
                <w:szCs w:val="21"/>
                <w:highlight w:val="none"/>
                <w:u w:val="none"/>
                <w:vertAlign w:val="baseline"/>
                <w:lang w:val="zh-CN"/>
              </w:rPr>
            </w:pPr>
          </w:p>
        </w:tc>
        <w:tc>
          <w:tcPr>
            <w:tcW w:w="1026" w:type="dxa"/>
            <w:vAlign w:val="center"/>
          </w:tcPr>
          <w:p w14:paraId="703F39B0">
            <w:pPr>
              <w:jc w:val="center"/>
              <w:rPr>
                <w:rFonts w:hint="eastAsia"/>
                <w:b w:val="0"/>
                <w:bCs/>
                <w:color w:val="auto"/>
                <w:szCs w:val="21"/>
                <w:highlight w:val="none"/>
                <w:u w:val="none"/>
                <w:vertAlign w:val="baseline"/>
                <w:lang w:val="zh-CN"/>
              </w:rPr>
            </w:pPr>
          </w:p>
        </w:tc>
        <w:tc>
          <w:tcPr>
            <w:tcW w:w="923" w:type="dxa"/>
            <w:vAlign w:val="center"/>
          </w:tcPr>
          <w:p w14:paraId="454AC89A">
            <w:pPr>
              <w:jc w:val="center"/>
              <w:rPr>
                <w:rFonts w:hint="eastAsia"/>
                <w:b w:val="0"/>
                <w:bCs/>
                <w:color w:val="auto"/>
                <w:szCs w:val="21"/>
                <w:highlight w:val="none"/>
                <w:u w:val="none"/>
                <w:vertAlign w:val="baseline"/>
                <w:lang w:val="zh-CN"/>
              </w:rPr>
            </w:pPr>
          </w:p>
        </w:tc>
        <w:tc>
          <w:tcPr>
            <w:tcW w:w="1091" w:type="dxa"/>
            <w:vAlign w:val="center"/>
          </w:tcPr>
          <w:p w14:paraId="3DE3EDC9">
            <w:pPr>
              <w:jc w:val="center"/>
              <w:rPr>
                <w:rFonts w:hint="eastAsia"/>
                <w:b w:val="0"/>
                <w:bCs/>
                <w:color w:val="auto"/>
                <w:szCs w:val="21"/>
                <w:highlight w:val="none"/>
                <w:u w:val="none"/>
                <w:vertAlign w:val="baseline"/>
                <w:lang w:val="zh-CN"/>
              </w:rPr>
            </w:pPr>
          </w:p>
        </w:tc>
      </w:tr>
      <w:tr w14:paraId="338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88DC270">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3</w:t>
            </w:r>
          </w:p>
        </w:tc>
        <w:tc>
          <w:tcPr>
            <w:tcW w:w="1236" w:type="dxa"/>
            <w:vAlign w:val="center"/>
          </w:tcPr>
          <w:p w14:paraId="296B3553">
            <w:pPr>
              <w:jc w:val="center"/>
              <w:rPr>
                <w:rFonts w:hint="eastAsia"/>
                <w:b w:val="0"/>
                <w:bCs/>
                <w:color w:val="auto"/>
                <w:szCs w:val="21"/>
                <w:highlight w:val="none"/>
                <w:u w:val="none"/>
                <w:vertAlign w:val="baseline"/>
                <w:lang w:val="zh-CN"/>
              </w:rPr>
            </w:pPr>
          </w:p>
        </w:tc>
        <w:tc>
          <w:tcPr>
            <w:tcW w:w="986" w:type="dxa"/>
            <w:vAlign w:val="center"/>
          </w:tcPr>
          <w:p w14:paraId="11A9BFBA">
            <w:pPr>
              <w:jc w:val="center"/>
              <w:rPr>
                <w:rFonts w:hint="eastAsia"/>
                <w:b w:val="0"/>
                <w:bCs/>
                <w:color w:val="auto"/>
                <w:szCs w:val="21"/>
                <w:highlight w:val="none"/>
                <w:u w:val="none"/>
                <w:vertAlign w:val="baseline"/>
                <w:lang w:val="zh-CN"/>
              </w:rPr>
            </w:pPr>
          </w:p>
        </w:tc>
        <w:tc>
          <w:tcPr>
            <w:tcW w:w="1040" w:type="dxa"/>
            <w:vAlign w:val="center"/>
          </w:tcPr>
          <w:p w14:paraId="6D34AAEE">
            <w:pPr>
              <w:jc w:val="center"/>
              <w:rPr>
                <w:rFonts w:hint="eastAsia"/>
                <w:b w:val="0"/>
                <w:bCs/>
                <w:color w:val="auto"/>
                <w:szCs w:val="21"/>
                <w:highlight w:val="none"/>
                <w:u w:val="none"/>
                <w:vertAlign w:val="baseline"/>
                <w:lang w:val="zh-CN"/>
              </w:rPr>
            </w:pPr>
          </w:p>
        </w:tc>
        <w:tc>
          <w:tcPr>
            <w:tcW w:w="1383" w:type="dxa"/>
            <w:vAlign w:val="center"/>
          </w:tcPr>
          <w:p w14:paraId="1895811B">
            <w:pPr>
              <w:jc w:val="center"/>
              <w:rPr>
                <w:rFonts w:hint="eastAsia"/>
                <w:b w:val="0"/>
                <w:bCs/>
                <w:color w:val="auto"/>
                <w:szCs w:val="21"/>
                <w:highlight w:val="none"/>
                <w:u w:val="none"/>
                <w:vertAlign w:val="baseline"/>
                <w:lang w:val="zh-CN"/>
              </w:rPr>
            </w:pPr>
          </w:p>
        </w:tc>
        <w:tc>
          <w:tcPr>
            <w:tcW w:w="1012" w:type="dxa"/>
            <w:vAlign w:val="center"/>
          </w:tcPr>
          <w:p w14:paraId="5C049FB4">
            <w:pPr>
              <w:jc w:val="center"/>
              <w:rPr>
                <w:rFonts w:hint="eastAsia"/>
                <w:b w:val="0"/>
                <w:bCs/>
                <w:color w:val="auto"/>
                <w:szCs w:val="21"/>
                <w:highlight w:val="none"/>
                <w:u w:val="none"/>
                <w:vertAlign w:val="baseline"/>
                <w:lang w:val="zh-CN"/>
              </w:rPr>
            </w:pPr>
          </w:p>
        </w:tc>
        <w:tc>
          <w:tcPr>
            <w:tcW w:w="1500" w:type="dxa"/>
            <w:vAlign w:val="center"/>
          </w:tcPr>
          <w:p w14:paraId="1EEF0947">
            <w:pPr>
              <w:jc w:val="center"/>
              <w:rPr>
                <w:rFonts w:hint="eastAsia"/>
                <w:b w:val="0"/>
                <w:bCs/>
                <w:color w:val="auto"/>
                <w:szCs w:val="21"/>
                <w:highlight w:val="none"/>
                <w:u w:val="none"/>
                <w:vertAlign w:val="baseline"/>
                <w:lang w:val="zh-CN"/>
              </w:rPr>
            </w:pPr>
          </w:p>
        </w:tc>
        <w:tc>
          <w:tcPr>
            <w:tcW w:w="985" w:type="dxa"/>
            <w:vAlign w:val="center"/>
          </w:tcPr>
          <w:p w14:paraId="7778CA91">
            <w:pPr>
              <w:jc w:val="center"/>
              <w:rPr>
                <w:rFonts w:hint="eastAsia"/>
                <w:b w:val="0"/>
                <w:bCs/>
                <w:color w:val="auto"/>
                <w:szCs w:val="21"/>
                <w:highlight w:val="none"/>
                <w:u w:val="none"/>
                <w:vertAlign w:val="baseline"/>
                <w:lang w:val="zh-CN"/>
              </w:rPr>
            </w:pPr>
          </w:p>
        </w:tc>
        <w:tc>
          <w:tcPr>
            <w:tcW w:w="863" w:type="dxa"/>
            <w:vAlign w:val="center"/>
          </w:tcPr>
          <w:p w14:paraId="4765FF03">
            <w:pPr>
              <w:jc w:val="center"/>
              <w:rPr>
                <w:rFonts w:hint="eastAsia"/>
                <w:b w:val="0"/>
                <w:bCs/>
                <w:color w:val="auto"/>
                <w:szCs w:val="21"/>
                <w:highlight w:val="none"/>
                <w:u w:val="none"/>
                <w:vertAlign w:val="baseline"/>
                <w:lang w:val="zh-CN"/>
              </w:rPr>
            </w:pPr>
          </w:p>
        </w:tc>
        <w:tc>
          <w:tcPr>
            <w:tcW w:w="1324" w:type="dxa"/>
            <w:vAlign w:val="center"/>
          </w:tcPr>
          <w:p w14:paraId="1030805C">
            <w:pPr>
              <w:jc w:val="center"/>
              <w:rPr>
                <w:rFonts w:hint="eastAsia"/>
                <w:b w:val="0"/>
                <w:bCs/>
                <w:color w:val="auto"/>
                <w:szCs w:val="21"/>
                <w:highlight w:val="none"/>
                <w:u w:val="none"/>
                <w:vertAlign w:val="baseline"/>
                <w:lang w:val="zh-CN"/>
              </w:rPr>
            </w:pPr>
          </w:p>
        </w:tc>
        <w:tc>
          <w:tcPr>
            <w:tcW w:w="1026" w:type="dxa"/>
            <w:vAlign w:val="center"/>
          </w:tcPr>
          <w:p w14:paraId="03FD13FA">
            <w:pPr>
              <w:jc w:val="center"/>
              <w:rPr>
                <w:rFonts w:hint="eastAsia"/>
                <w:b w:val="0"/>
                <w:bCs/>
                <w:color w:val="auto"/>
                <w:szCs w:val="21"/>
                <w:highlight w:val="none"/>
                <w:u w:val="none"/>
                <w:vertAlign w:val="baseline"/>
                <w:lang w:val="zh-CN"/>
              </w:rPr>
            </w:pPr>
          </w:p>
        </w:tc>
        <w:tc>
          <w:tcPr>
            <w:tcW w:w="923" w:type="dxa"/>
            <w:vAlign w:val="center"/>
          </w:tcPr>
          <w:p w14:paraId="16B2BB13">
            <w:pPr>
              <w:jc w:val="center"/>
              <w:rPr>
                <w:rFonts w:hint="eastAsia"/>
                <w:b w:val="0"/>
                <w:bCs/>
                <w:color w:val="auto"/>
                <w:szCs w:val="21"/>
                <w:highlight w:val="none"/>
                <w:u w:val="none"/>
                <w:vertAlign w:val="baseline"/>
                <w:lang w:val="zh-CN"/>
              </w:rPr>
            </w:pPr>
          </w:p>
        </w:tc>
        <w:tc>
          <w:tcPr>
            <w:tcW w:w="1091" w:type="dxa"/>
            <w:vAlign w:val="center"/>
          </w:tcPr>
          <w:p w14:paraId="568E139E">
            <w:pPr>
              <w:jc w:val="center"/>
              <w:rPr>
                <w:rFonts w:hint="eastAsia"/>
                <w:b w:val="0"/>
                <w:bCs/>
                <w:color w:val="auto"/>
                <w:szCs w:val="21"/>
                <w:highlight w:val="none"/>
                <w:u w:val="none"/>
                <w:vertAlign w:val="baseline"/>
                <w:lang w:val="zh-CN"/>
              </w:rPr>
            </w:pPr>
          </w:p>
        </w:tc>
      </w:tr>
      <w:tr w14:paraId="42C3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125950">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4</w:t>
            </w:r>
          </w:p>
        </w:tc>
        <w:tc>
          <w:tcPr>
            <w:tcW w:w="1236" w:type="dxa"/>
            <w:vAlign w:val="center"/>
          </w:tcPr>
          <w:p w14:paraId="15DAFE63">
            <w:pPr>
              <w:jc w:val="center"/>
              <w:rPr>
                <w:rFonts w:hint="eastAsia"/>
                <w:b w:val="0"/>
                <w:bCs/>
                <w:color w:val="auto"/>
                <w:szCs w:val="21"/>
                <w:highlight w:val="none"/>
                <w:u w:val="none"/>
                <w:vertAlign w:val="baseline"/>
                <w:lang w:val="zh-CN"/>
              </w:rPr>
            </w:pPr>
          </w:p>
        </w:tc>
        <w:tc>
          <w:tcPr>
            <w:tcW w:w="986" w:type="dxa"/>
            <w:vAlign w:val="center"/>
          </w:tcPr>
          <w:p w14:paraId="2B09F9F1">
            <w:pPr>
              <w:jc w:val="center"/>
              <w:rPr>
                <w:rFonts w:hint="eastAsia"/>
                <w:b w:val="0"/>
                <w:bCs/>
                <w:color w:val="auto"/>
                <w:szCs w:val="21"/>
                <w:highlight w:val="none"/>
                <w:u w:val="none"/>
                <w:vertAlign w:val="baseline"/>
                <w:lang w:val="zh-CN"/>
              </w:rPr>
            </w:pPr>
          </w:p>
        </w:tc>
        <w:tc>
          <w:tcPr>
            <w:tcW w:w="1040" w:type="dxa"/>
            <w:vAlign w:val="center"/>
          </w:tcPr>
          <w:p w14:paraId="4CDA23AB">
            <w:pPr>
              <w:jc w:val="center"/>
              <w:rPr>
                <w:rFonts w:hint="eastAsia"/>
                <w:b w:val="0"/>
                <w:bCs/>
                <w:color w:val="auto"/>
                <w:szCs w:val="21"/>
                <w:highlight w:val="none"/>
                <w:u w:val="none"/>
                <w:vertAlign w:val="baseline"/>
                <w:lang w:val="zh-CN"/>
              </w:rPr>
            </w:pPr>
          </w:p>
        </w:tc>
        <w:tc>
          <w:tcPr>
            <w:tcW w:w="1383" w:type="dxa"/>
            <w:vAlign w:val="center"/>
          </w:tcPr>
          <w:p w14:paraId="0950F184">
            <w:pPr>
              <w:jc w:val="center"/>
              <w:rPr>
                <w:rFonts w:hint="eastAsia"/>
                <w:b w:val="0"/>
                <w:bCs/>
                <w:color w:val="auto"/>
                <w:szCs w:val="21"/>
                <w:highlight w:val="none"/>
                <w:u w:val="none"/>
                <w:vertAlign w:val="baseline"/>
                <w:lang w:val="zh-CN"/>
              </w:rPr>
            </w:pPr>
          </w:p>
        </w:tc>
        <w:tc>
          <w:tcPr>
            <w:tcW w:w="1012" w:type="dxa"/>
            <w:vAlign w:val="center"/>
          </w:tcPr>
          <w:p w14:paraId="1ADBDEB6">
            <w:pPr>
              <w:jc w:val="center"/>
              <w:rPr>
                <w:rFonts w:hint="eastAsia"/>
                <w:b w:val="0"/>
                <w:bCs/>
                <w:color w:val="auto"/>
                <w:szCs w:val="21"/>
                <w:highlight w:val="none"/>
                <w:u w:val="none"/>
                <w:vertAlign w:val="baseline"/>
                <w:lang w:val="zh-CN"/>
              </w:rPr>
            </w:pPr>
          </w:p>
        </w:tc>
        <w:tc>
          <w:tcPr>
            <w:tcW w:w="1500" w:type="dxa"/>
            <w:vAlign w:val="center"/>
          </w:tcPr>
          <w:p w14:paraId="6F43C248">
            <w:pPr>
              <w:jc w:val="center"/>
              <w:rPr>
                <w:rFonts w:hint="eastAsia"/>
                <w:b w:val="0"/>
                <w:bCs/>
                <w:color w:val="auto"/>
                <w:szCs w:val="21"/>
                <w:highlight w:val="none"/>
                <w:u w:val="none"/>
                <w:vertAlign w:val="baseline"/>
                <w:lang w:val="zh-CN"/>
              </w:rPr>
            </w:pPr>
          </w:p>
        </w:tc>
        <w:tc>
          <w:tcPr>
            <w:tcW w:w="985" w:type="dxa"/>
            <w:vAlign w:val="center"/>
          </w:tcPr>
          <w:p w14:paraId="0D8A82F2">
            <w:pPr>
              <w:jc w:val="center"/>
              <w:rPr>
                <w:rFonts w:hint="eastAsia"/>
                <w:b w:val="0"/>
                <w:bCs/>
                <w:color w:val="auto"/>
                <w:szCs w:val="21"/>
                <w:highlight w:val="none"/>
                <w:u w:val="none"/>
                <w:vertAlign w:val="baseline"/>
                <w:lang w:val="zh-CN"/>
              </w:rPr>
            </w:pPr>
          </w:p>
        </w:tc>
        <w:tc>
          <w:tcPr>
            <w:tcW w:w="863" w:type="dxa"/>
            <w:vAlign w:val="center"/>
          </w:tcPr>
          <w:p w14:paraId="7741B4AD">
            <w:pPr>
              <w:jc w:val="center"/>
              <w:rPr>
                <w:rFonts w:hint="eastAsia"/>
                <w:b w:val="0"/>
                <w:bCs/>
                <w:color w:val="auto"/>
                <w:szCs w:val="21"/>
                <w:highlight w:val="none"/>
                <w:u w:val="none"/>
                <w:vertAlign w:val="baseline"/>
                <w:lang w:val="zh-CN"/>
              </w:rPr>
            </w:pPr>
          </w:p>
        </w:tc>
        <w:tc>
          <w:tcPr>
            <w:tcW w:w="1324" w:type="dxa"/>
            <w:vAlign w:val="center"/>
          </w:tcPr>
          <w:p w14:paraId="16246DFE">
            <w:pPr>
              <w:jc w:val="center"/>
              <w:rPr>
                <w:rFonts w:hint="eastAsia"/>
                <w:b w:val="0"/>
                <w:bCs/>
                <w:color w:val="auto"/>
                <w:szCs w:val="21"/>
                <w:highlight w:val="none"/>
                <w:u w:val="none"/>
                <w:vertAlign w:val="baseline"/>
                <w:lang w:val="zh-CN"/>
              </w:rPr>
            </w:pPr>
          </w:p>
        </w:tc>
        <w:tc>
          <w:tcPr>
            <w:tcW w:w="1026" w:type="dxa"/>
            <w:vAlign w:val="center"/>
          </w:tcPr>
          <w:p w14:paraId="667E660E">
            <w:pPr>
              <w:jc w:val="center"/>
              <w:rPr>
                <w:rFonts w:hint="eastAsia"/>
                <w:b w:val="0"/>
                <w:bCs/>
                <w:color w:val="auto"/>
                <w:szCs w:val="21"/>
                <w:highlight w:val="none"/>
                <w:u w:val="none"/>
                <w:vertAlign w:val="baseline"/>
                <w:lang w:val="zh-CN"/>
              </w:rPr>
            </w:pPr>
          </w:p>
        </w:tc>
        <w:tc>
          <w:tcPr>
            <w:tcW w:w="923" w:type="dxa"/>
            <w:vAlign w:val="center"/>
          </w:tcPr>
          <w:p w14:paraId="0AB67270">
            <w:pPr>
              <w:jc w:val="center"/>
              <w:rPr>
                <w:rFonts w:hint="eastAsia"/>
                <w:b w:val="0"/>
                <w:bCs/>
                <w:color w:val="auto"/>
                <w:szCs w:val="21"/>
                <w:highlight w:val="none"/>
                <w:u w:val="none"/>
                <w:vertAlign w:val="baseline"/>
                <w:lang w:val="zh-CN"/>
              </w:rPr>
            </w:pPr>
          </w:p>
        </w:tc>
        <w:tc>
          <w:tcPr>
            <w:tcW w:w="1091" w:type="dxa"/>
            <w:vAlign w:val="center"/>
          </w:tcPr>
          <w:p w14:paraId="2CD8830B">
            <w:pPr>
              <w:jc w:val="center"/>
              <w:rPr>
                <w:rFonts w:hint="eastAsia"/>
                <w:b w:val="0"/>
                <w:bCs/>
                <w:color w:val="auto"/>
                <w:szCs w:val="21"/>
                <w:highlight w:val="none"/>
                <w:u w:val="none"/>
                <w:vertAlign w:val="baseline"/>
                <w:lang w:val="zh-CN"/>
              </w:rPr>
            </w:pPr>
          </w:p>
        </w:tc>
      </w:tr>
      <w:tr w14:paraId="5D11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6CAC30B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5</w:t>
            </w:r>
          </w:p>
        </w:tc>
        <w:tc>
          <w:tcPr>
            <w:tcW w:w="1236" w:type="dxa"/>
            <w:vAlign w:val="center"/>
          </w:tcPr>
          <w:p w14:paraId="3FB10D43">
            <w:pPr>
              <w:jc w:val="center"/>
              <w:rPr>
                <w:rFonts w:hint="eastAsia"/>
                <w:b w:val="0"/>
                <w:bCs/>
                <w:color w:val="auto"/>
                <w:szCs w:val="21"/>
                <w:highlight w:val="none"/>
                <w:u w:val="none"/>
                <w:vertAlign w:val="baseline"/>
                <w:lang w:val="zh-CN"/>
              </w:rPr>
            </w:pPr>
          </w:p>
        </w:tc>
        <w:tc>
          <w:tcPr>
            <w:tcW w:w="986" w:type="dxa"/>
            <w:vAlign w:val="center"/>
          </w:tcPr>
          <w:p w14:paraId="7E5FEF86">
            <w:pPr>
              <w:jc w:val="center"/>
              <w:rPr>
                <w:rFonts w:hint="eastAsia"/>
                <w:b w:val="0"/>
                <w:bCs/>
                <w:color w:val="auto"/>
                <w:szCs w:val="21"/>
                <w:highlight w:val="none"/>
                <w:u w:val="none"/>
                <w:vertAlign w:val="baseline"/>
                <w:lang w:val="zh-CN"/>
              </w:rPr>
            </w:pPr>
          </w:p>
        </w:tc>
        <w:tc>
          <w:tcPr>
            <w:tcW w:w="1040" w:type="dxa"/>
            <w:vAlign w:val="center"/>
          </w:tcPr>
          <w:p w14:paraId="0DB29551">
            <w:pPr>
              <w:jc w:val="center"/>
              <w:rPr>
                <w:rFonts w:hint="eastAsia"/>
                <w:b w:val="0"/>
                <w:bCs/>
                <w:color w:val="auto"/>
                <w:szCs w:val="21"/>
                <w:highlight w:val="none"/>
                <w:u w:val="none"/>
                <w:vertAlign w:val="baseline"/>
                <w:lang w:val="zh-CN"/>
              </w:rPr>
            </w:pPr>
          </w:p>
        </w:tc>
        <w:tc>
          <w:tcPr>
            <w:tcW w:w="1383" w:type="dxa"/>
            <w:vAlign w:val="center"/>
          </w:tcPr>
          <w:p w14:paraId="060CA4CC">
            <w:pPr>
              <w:jc w:val="center"/>
              <w:rPr>
                <w:rFonts w:hint="eastAsia"/>
                <w:b w:val="0"/>
                <w:bCs/>
                <w:color w:val="auto"/>
                <w:szCs w:val="21"/>
                <w:highlight w:val="none"/>
                <w:u w:val="none"/>
                <w:vertAlign w:val="baseline"/>
                <w:lang w:val="zh-CN"/>
              </w:rPr>
            </w:pPr>
          </w:p>
        </w:tc>
        <w:tc>
          <w:tcPr>
            <w:tcW w:w="1012" w:type="dxa"/>
            <w:vAlign w:val="center"/>
          </w:tcPr>
          <w:p w14:paraId="17C67F72">
            <w:pPr>
              <w:jc w:val="center"/>
              <w:rPr>
                <w:rFonts w:hint="eastAsia"/>
                <w:b w:val="0"/>
                <w:bCs/>
                <w:color w:val="auto"/>
                <w:szCs w:val="21"/>
                <w:highlight w:val="none"/>
                <w:u w:val="none"/>
                <w:vertAlign w:val="baseline"/>
                <w:lang w:val="zh-CN"/>
              </w:rPr>
            </w:pPr>
          </w:p>
        </w:tc>
        <w:tc>
          <w:tcPr>
            <w:tcW w:w="1500" w:type="dxa"/>
            <w:vAlign w:val="center"/>
          </w:tcPr>
          <w:p w14:paraId="71B216EF">
            <w:pPr>
              <w:jc w:val="center"/>
              <w:rPr>
                <w:rFonts w:hint="eastAsia"/>
                <w:b w:val="0"/>
                <w:bCs/>
                <w:color w:val="auto"/>
                <w:szCs w:val="21"/>
                <w:highlight w:val="none"/>
                <w:u w:val="none"/>
                <w:vertAlign w:val="baseline"/>
                <w:lang w:val="zh-CN"/>
              </w:rPr>
            </w:pPr>
          </w:p>
        </w:tc>
        <w:tc>
          <w:tcPr>
            <w:tcW w:w="985" w:type="dxa"/>
            <w:vAlign w:val="center"/>
          </w:tcPr>
          <w:p w14:paraId="3AD98D47">
            <w:pPr>
              <w:jc w:val="center"/>
              <w:rPr>
                <w:rFonts w:hint="eastAsia"/>
                <w:b w:val="0"/>
                <w:bCs/>
                <w:color w:val="auto"/>
                <w:szCs w:val="21"/>
                <w:highlight w:val="none"/>
                <w:u w:val="none"/>
                <w:vertAlign w:val="baseline"/>
                <w:lang w:val="zh-CN"/>
              </w:rPr>
            </w:pPr>
          </w:p>
        </w:tc>
        <w:tc>
          <w:tcPr>
            <w:tcW w:w="863" w:type="dxa"/>
            <w:vAlign w:val="center"/>
          </w:tcPr>
          <w:p w14:paraId="1B25BEDC">
            <w:pPr>
              <w:jc w:val="center"/>
              <w:rPr>
                <w:rFonts w:hint="eastAsia"/>
                <w:b w:val="0"/>
                <w:bCs/>
                <w:color w:val="auto"/>
                <w:szCs w:val="21"/>
                <w:highlight w:val="none"/>
                <w:u w:val="none"/>
                <w:vertAlign w:val="baseline"/>
                <w:lang w:val="zh-CN"/>
              </w:rPr>
            </w:pPr>
          </w:p>
        </w:tc>
        <w:tc>
          <w:tcPr>
            <w:tcW w:w="1324" w:type="dxa"/>
            <w:vAlign w:val="center"/>
          </w:tcPr>
          <w:p w14:paraId="2C65F4A3">
            <w:pPr>
              <w:jc w:val="center"/>
              <w:rPr>
                <w:rFonts w:hint="eastAsia"/>
                <w:b w:val="0"/>
                <w:bCs/>
                <w:color w:val="auto"/>
                <w:szCs w:val="21"/>
                <w:highlight w:val="none"/>
                <w:u w:val="none"/>
                <w:vertAlign w:val="baseline"/>
                <w:lang w:val="zh-CN"/>
              </w:rPr>
            </w:pPr>
          </w:p>
        </w:tc>
        <w:tc>
          <w:tcPr>
            <w:tcW w:w="1026" w:type="dxa"/>
            <w:vAlign w:val="center"/>
          </w:tcPr>
          <w:p w14:paraId="26EF7EA0">
            <w:pPr>
              <w:jc w:val="center"/>
              <w:rPr>
                <w:rFonts w:hint="eastAsia"/>
                <w:b w:val="0"/>
                <w:bCs/>
                <w:color w:val="auto"/>
                <w:szCs w:val="21"/>
                <w:highlight w:val="none"/>
                <w:u w:val="none"/>
                <w:vertAlign w:val="baseline"/>
                <w:lang w:val="zh-CN"/>
              </w:rPr>
            </w:pPr>
          </w:p>
        </w:tc>
        <w:tc>
          <w:tcPr>
            <w:tcW w:w="923" w:type="dxa"/>
            <w:vAlign w:val="center"/>
          </w:tcPr>
          <w:p w14:paraId="00B89591">
            <w:pPr>
              <w:jc w:val="center"/>
              <w:rPr>
                <w:rFonts w:hint="eastAsia"/>
                <w:b w:val="0"/>
                <w:bCs/>
                <w:color w:val="auto"/>
                <w:szCs w:val="21"/>
                <w:highlight w:val="none"/>
                <w:u w:val="none"/>
                <w:vertAlign w:val="baseline"/>
                <w:lang w:val="zh-CN"/>
              </w:rPr>
            </w:pPr>
          </w:p>
        </w:tc>
        <w:tc>
          <w:tcPr>
            <w:tcW w:w="1091" w:type="dxa"/>
            <w:vAlign w:val="center"/>
          </w:tcPr>
          <w:p w14:paraId="54182B1F">
            <w:pPr>
              <w:jc w:val="center"/>
              <w:rPr>
                <w:rFonts w:hint="eastAsia"/>
                <w:b w:val="0"/>
                <w:bCs/>
                <w:color w:val="auto"/>
                <w:szCs w:val="21"/>
                <w:highlight w:val="none"/>
                <w:u w:val="none"/>
                <w:vertAlign w:val="baseline"/>
                <w:lang w:val="zh-CN"/>
              </w:rPr>
            </w:pPr>
          </w:p>
        </w:tc>
      </w:tr>
      <w:tr w14:paraId="301D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05" w:type="dxa"/>
            <w:vAlign w:val="center"/>
          </w:tcPr>
          <w:p w14:paraId="7EA94A2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6</w:t>
            </w:r>
          </w:p>
        </w:tc>
        <w:tc>
          <w:tcPr>
            <w:tcW w:w="1236" w:type="dxa"/>
            <w:vAlign w:val="center"/>
          </w:tcPr>
          <w:p w14:paraId="3B5CDE55">
            <w:pPr>
              <w:jc w:val="center"/>
              <w:rPr>
                <w:rFonts w:hint="eastAsia"/>
                <w:b w:val="0"/>
                <w:bCs/>
                <w:color w:val="auto"/>
                <w:szCs w:val="21"/>
                <w:highlight w:val="none"/>
                <w:u w:val="none"/>
                <w:vertAlign w:val="baseline"/>
                <w:lang w:val="zh-CN"/>
              </w:rPr>
            </w:pPr>
          </w:p>
        </w:tc>
        <w:tc>
          <w:tcPr>
            <w:tcW w:w="986" w:type="dxa"/>
            <w:vAlign w:val="center"/>
          </w:tcPr>
          <w:p w14:paraId="1AB0C36B">
            <w:pPr>
              <w:jc w:val="center"/>
              <w:rPr>
                <w:rFonts w:hint="eastAsia"/>
                <w:b w:val="0"/>
                <w:bCs/>
                <w:color w:val="auto"/>
                <w:szCs w:val="21"/>
                <w:highlight w:val="none"/>
                <w:u w:val="none"/>
                <w:vertAlign w:val="baseline"/>
                <w:lang w:val="zh-CN"/>
              </w:rPr>
            </w:pPr>
          </w:p>
        </w:tc>
        <w:tc>
          <w:tcPr>
            <w:tcW w:w="1040" w:type="dxa"/>
            <w:vAlign w:val="center"/>
          </w:tcPr>
          <w:p w14:paraId="2F301FFC">
            <w:pPr>
              <w:jc w:val="center"/>
              <w:rPr>
                <w:rFonts w:hint="eastAsia"/>
                <w:b w:val="0"/>
                <w:bCs/>
                <w:color w:val="auto"/>
                <w:szCs w:val="21"/>
                <w:highlight w:val="none"/>
                <w:u w:val="none"/>
                <w:vertAlign w:val="baseline"/>
                <w:lang w:val="zh-CN"/>
              </w:rPr>
            </w:pPr>
          </w:p>
        </w:tc>
        <w:tc>
          <w:tcPr>
            <w:tcW w:w="1383" w:type="dxa"/>
            <w:vAlign w:val="center"/>
          </w:tcPr>
          <w:p w14:paraId="50F3BC75">
            <w:pPr>
              <w:jc w:val="center"/>
              <w:rPr>
                <w:rFonts w:hint="eastAsia"/>
                <w:b w:val="0"/>
                <w:bCs/>
                <w:color w:val="auto"/>
                <w:szCs w:val="21"/>
                <w:highlight w:val="none"/>
                <w:u w:val="none"/>
                <w:vertAlign w:val="baseline"/>
                <w:lang w:val="zh-CN"/>
              </w:rPr>
            </w:pPr>
          </w:p>
        </w:tc>
        <w:tc>
          <w:tcPr>
            <w:tcW w:w="1012" w:type="dxa"/>
            <w:vAlign w:val="center"/>
          </w:tcPr>
          <w:p w14:paraId="2B411435">
            <w:pPr>
              <w:jc w:val="center"/>
              <w:rPr>
                <w:rFonts w:hint="eastAsia"/>
                <w:b w:val="0"/>
                <w:bCs/>
                <w:color w:val="auto"/>
                <w:szCs w:val="21"/>
                <w:highlight w:val="none"/>
                <w:u w:val="none"/>
                <w:vertAlign w:val="baseline"/>
                <w:lang w:val="zh-CN"/>
              </w:rPr>
            </w:pPr>
          </w:p>
        </w:tc>
        <w:tc>
          <w:tcPr>
            <w:tcW w:w="1500" w:type="dxa"/>
            <w:vAlign w:val="center"/>
          </w:tcPr>
          <w:p w14:paraId="72CDC4A9">
            <w:pPr>
              <w:jc w:val="center"/>
              <w:rPr>
                <w:rFonts w:hint="eastAsia"/>
                <w:b w:val="0"/>
                <w:bCs/>
                <w:color w:val="auto"/>
                <w:szCs w:val="21"/>
                <w:highlight w:val="none"/>
                <w:u w:val="none"/>
                <w:vertAlign w:val="baseline"/>
                <w:lang w:val="zh-CN"/>
              </w:rPr>
            </w:pPr>
          </w:p>
        </w:tc>
        <w:tc>
          <w:tcPr>
            <w:tcW w:w="985" w:type="dxa"/>
            <w:vAlign w:val="center"/>
          </w:tcPr>
          <w:p w14:paraId="57B6F124">
            <w:pPr>
              <w:jc w:val="center"/>
              <w:rPr>
                <w:rFonts w:hint="eastAsia"/>
                <w:b w:val="0"/>
                <w:bCs/>
                <w:color w:val="auto"/>
                <w:szCs w:val="21"/>
                <w:highlight w:val="none"/>
                <w:u w:val="none"/>
                <w:vertAlign w:val="baseline"/>
                <w:lang w:val="zh-CN"/>
              </w:rPr>
            </w:pPr>
          </w:p>
        </w:tc>
        <w:tc>
          <w:tcPr>
            <w:tcW w:w="863" w:type="dxa"/>
            <w:vAlign w:val="center"/>
          </w:tcPr>
          <w:p w14:paraId="38450E2E">
            <w:pPr>
              <w:jc w:val="center"/>
              <w:rPr>
                <w:rFonts w:hint="eastAsia"/>
                <w:b w:val="0"/>
                <w:bCs/>
                <w:color w:val="auto"/>
                <w:szCs w:val="21"/>
                <w:highlight w:val="none"/>
                <w:u w:val="none"/>
                <w:vertAlign w:val="baseline"/>
                <w:lang w:val="zh-CN"/>
              </w:rPr>
            </w:pPr>
          </w:p>
        </w:tc>
        <w:tc>
          <w:tcPr>
            <w:tcW w:w="1324" w:type="dxa"/>
            <w:vAlign w:val="center"/>
          </w:tcPr>
          <w:p w14:paraId="0734D7CF">
            <w:pPr>
              <w:jc w:val="center"/>
              <w:rPr>
                <w:rFonts w:hint="eastAsia"/>
                <w:b w:val="0"/>
                <w:bCs/>
                <w:color w:val="auto"/>
                <w:szCs w:val="21"/>
                <w:highlight w:val="none"/>
                <w:u w:val="none"/>
                <w:vertAlign w:val="baseline"/>
                <w:lang w:val="zh-CN"/>
              </w:rPr>
            </w:pPr>
          </w:p>
        </w:tc>
        <w:tc>
          <w:tcPr>
            <w:tcW w:w="1026" w:type="dxa"/>
            <w:vAlign w:val="center"/>
          </w:tcPr>
          <w:p w14:paraId="6B88051D">
            <w:pPr>
              <w:jc w:val="center"/>
              <w:rPr>
                <w:rFonts w:hint="eastAsia"/>
                <w:b w:val="0"/>
                <w:bCs/>
                <w:color w:val="auto"/>
                <w:szCs w:val="21"/>
                <w:highlight w:val="none"/>
                <w:u w:val="none"/>
                <w:vertAlign w:val="baseline"/>
                <w:lang w:val="zh-CN"/>
              </w:rPr>
            </w:pPr>
          </w:p>
        </w:tc>
        <w:tc>
          <w:tcPr>
            <w:tcW w:w="923" w:type="dxa"/>
            <w:vAlign w:val="center"/>
          </w:tcPr>
          <w:p w14:paraId="4D587CF2">
            <w:pPr>
              <w:jc w:val="center"/>
              <w:rPr>
                <w:rFonts w:hint="eastAsia"/>
                <w:b w:val="0"/>
                <w:bCs/>
                <w:color w:val="auto"/>
                <w:szCs w:val="21"/>
                <w:highlight w:val="none"/>
                <w:u w:val="none"/>
                <w:vertAlign w:val="baseline"/>
                <w:lang w:val="zh-CN"/>
              </w:rPr>
            </w:pPr>
          </w:p>
        </w:tc>
        <w:tc>
          <w:tcPr>
            <w:tcW w:w="1091" w:type="dxa"/>
            <w:vAlign w:val="center"/>
          </w:tcPr>
          <w:p w14:paraId="3808F91F">
            <w:pPr>
              <w:jc w:val="center"/>
              <w:rPr>
                <w:rFonts w:hint="eastAsia"/>
                <w:b w:val="0"/>
                <w:bCs/>
                <w:color w:val="auto"/>
                <w:szCs w:val="21"/>
                <w:highlight w:val="none"/>
                <w:u w:val="none"/>
                <w:vertAlign w:val="baseline"/>
                <w:lang w:val="zh-CN"/>
              </w:rPr>
            </w:pPr>
          </w:p>
        </w:tc>
      </w:tr>
      <w:tr w14:paraId="24D4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A1058F">
            <w:pPr>
              <w:jc w:val="center"/>
              <w:rPr>
                <w:rFonts w:hint="eastAsia"/>
                <w:b w:val="0"/>
                <w:bCs/>
                <w:color w:val="auto"/>
                <w:szCs w:val="21"/>
                <w:highlight w:val="none"/>
                <w:u w:val="none"/>
                <w:vertAlign w:val="baseline"/>
                <w:lang w:val="zh-CN"/>
              </w:rPr>
            </w:pPr>
            <w:r>
              <w:rPr>
                <w:rFonts w:hint="default" w:ascii="Arial" w:hAnsi="Arial" w:cs="Arial"/>
                <w:b w:val="0"/>
                <w:bCs/>
                <w:color w:val="auto"/>
                <w:szCs w:val="21"/>
                <w:highlight w:val="none"/>
                <w:u w:val="none"/>
                <w:vertAlign w:val="baseline"/>
                <w:lang w:val="zh-CN"/>
              </w:rPr>
              <w:t>…</w:t>
            </w:r>
          </w:p>
        </w:tc>
        <w:tc>
          <w:tcPr>
            <w:tcW w:w="1236" w:type="dxa"/>
            <w:vAlign w:val="center"/>
          </w:tcPr>
          <w:p w14:paraId="07D6C3C7">
            <w:pPr>
              <w:jc w:val="center"/>
              <w:rPr>
                <w:rFonts w:hint="eastAsia"/>
                <w:b w:val="0"/>
                <w:bCs/>
                <w:color w:val="auto"/>
                <w:szCs w:val="21"/>
                <w:highlight w:val="none"/>
                <w:u w:val="none"/>
                <w:vertAlign w:val="baseline"/>
                <w:lang w:val="zh-CN"/>
              </w:rPr>
            </w:pPr>
          </w:p>
        </w:tc>
        <w:tc>
          <w:tcPr>
            <w:tcW w:w="986" w:type="dxa"/>
            <w:vAlign w:val="center"/>
          </w:tcPr>
          <w:p w14:paraId="54762713">
            <w:pPr>
              <w:jc w:val="center"/>
              <w:rPr>
                <w:rFonts w:hint="eastAsia"/>
                <w:b w:val="0"/>
                <w:bCs/>
                <w:color w:val="auto"/>
                <w:szCs w:val="21"/>
                <w:highlight w:val="none"/>
                <w:u w:val="none"/>
                <w:vertAlign w:val="baseline"/>
                <w:lang w:val="zh-CN"/>
              </w:rPr>
            </w:pPr>
          </w:p>
        </w:tc>
        <w:tc>
          <w:tcPr>
            <w:tcW w:w="1040" w:type="dxa"/>
            <w:vAlign w:val="center"/>
          </w:tcPr>
          <w:p w14:paraId="6008D212">
            <w:pPr>
              <w:jc w:val="center"/>
              <w:rPr>
                <w:rFonts w:hint="eastAsia"/>
                <w:b w:val="0"/>
                <w:bCs/>
                <w:color w:val="auto"/>
                <w:szCs w:val="21"/>
                <w:highlight w:val="none"/>
                <w:u w:val="none"/>
                <w:vertAlign w:val="baseline"/>
                <w:lang w:val="zh-CN"/>
              </w:rPr>
            </w:pPr>
          </w:p>
        </w:tc>
        <w:tc>
          <w:tcPr>
            <w:tcW w:w="1383" w:type="dxa"/>
            <w:vAlign w:val="center"/>
          </w:tcPr>
          <w:p w14:paraId="7BB3E714">
            <w:pPr>
              <w:jc w:val="center"/>
              <w:rPr>
                <w:rFonts w:hint="eastAsia"/>
                <w:b w:val="0"/>
                <w:bCs/>
                <w:color w:val="auto"/>
                <w:szCs w:val="21"/>
                <w:highlight w:val="none"/>
                <w:u w:val="none"/>
                <w:vertAlign w:val="baseline"/>
                <w:lang w:val="zh-CN"/>
              </w:rPr>
            </w:pPr>
          </w:p>
        </w:tc>
        <w:tc>
          <w:tcPr>
            <w:tcW w:w="1012" w:type="dxa"/>
            <w:vAlign w:val="center"/>
          </w:tcPr>
          <w:p w14:paraId="4B0014E9">
            <w:pPr>
              <w:jc w:val="center"/>
              <w:rPr>
                <w:rFonts w:hint="eastAsia"/>
                <w:b w:val="0"/>
                <w:bCs/>
                <w:color w:val="auto"/>
                <w:szCs w:val="21"/>
                <w:highlight w:val="none"/>
                <w:u w:val="none"/>
                <w:vertAlign w:val="baseline"/>
                <w:lang w:val="zh-CN"/>
              </w:rPr>
            </w:pPr>
          </w:p>
        </w:tc>
        <w:tc>
          <w:tcPr>
            <w:tcW w:w="1500" w:type="dxa"/>
            <w:vAlign w:val="center"/>
          </w:tcPr>
          <w:p w14:paraId="53F16430">
            <w:pPr>
              <w:jc w:val="center"/>
              <w:rPr>
                <w:rFonts w:hint="eastAsia"/>
                <w:b w:val="0"/>
                <w:bCs/>
                <w:color w:val="auto"/>
                <w:szCs w:val="21"/>
                <w:highlight w:val="none"/>
                <w:u w:val="none"/>
                <w:vertAlign w:val="baseline"/>
                <w:lang w:val="zh-CN"/>
              </w:rPr>
            </w:pPr>
          </w:p>
        </w:tc>
        <w:tc>
          <w:tcPr>
            <w:tcW w:w="985" w:type="dxa"/>
            <w:vAlign w:val="center"/>
          </w:tcPr>
          <w:p w14:paraId="2BF5155B">
            <w:pPr>
              <w:jc w:val="center"/>
              <w:rPr>
                <w:rFonts w:hint="eastAsia"/>
                <w:b w:val="0"/>
                <w:bCs/>
                <w:color w:val="auto"/>
                <w:szCs w:val="21"/>
                <w:highlight w:val="none"/>
                <w:u w:val="none"/>
                <w:vertAlign w:val="baseline"/>
                <w:lang w:val="zh-CN"/>
              </w:rPr>
            </w:pPr>
          </w:p>
        </w:tc>
        <w:tc>
          <w:tcPr>
            <w:tcW w:w="863" w:type="dxa"/>
            <w:vAlign w:val="center"/>
          </w:tcPr>
          <w:p w14:paraId="30E0F0AA">
            <w:pPr>
              <w:jc w:val="center"/>
              <w:rPr>
                <w:rFonts w:hint="eastAsia"/>
                <w:b w:val="0"/>
                <w:bCs/>
                <w:color w:val="auto"/>
                <w:szCs w:val="21"/>
                <w:highlight w:val="none"/>
                <w:u w:val="none"/>
                <w:vertAlign w:val="baseline"/>
                <w:lang w:val="zh-CN"/>
              </w:rPr>
            </w:pPr>
          </w:p>
        </w:tc>
        <w:tc>
          <w:tcPr>
            <w:tcW w:w="1324" w:type="dxa"/>
            <w:vAlign w:val="center"/>
          </w:tcPr>
          <w:p w14:paraId="77514C69">
            <w:pPr>
              <w:jc w:val="center"/>
              <w:rPr>
                <w:rFonts w:hint="eastAsia"/>
                <w:b w:val="0"/>
                <w:bCs/>
                <w:color w:val="auto"/>
                <w:szCs w:val="21"/>
                <w:highlight w:val="none"/>
                <w:u w:val="none"/>
                <w:vertAlign w:val="baseline"/>
                <w:lang w:val="zh-CN"/>
              </w:rPr>
            </w:pPr>
          </w:p>
        </w:tc>
        <w:tc>
          <w:tcPr>
            <w:tcW w:w="1026" w:type="dxa"/>
            <w:vAlign w:val="center"/>
          </w:tcPr>
          <w:p w14:paraId="3C51E7DE">
            <w:pPr>
              <w:jc w:val="center"/>
              <w:rPr>
                <w:rFonts w:hint="eastAsia"/>
                <w:b w:val="0"/>
                <w:bCs/>
                <w:color w:val="auto"/>
                <w:szCs w:val="21"/>
                <w:highlight w:val="none"/>
                <w:u w:val="none"/>
                <w:vertAlign w:val="baseline"/>
                <w:lang w:val="zh-CN"/>
              </w:rPr>
            </w:pPr>
          </w:p>
        </w:tc>
        <w:tc>
          <w:tcPr>
            <w:tcW w:w="923" w:type="dxa"/>
            <w:vAlign w:val="center"/>
          </w:tcPr>
          <w:p w14:paraId="1C3D14DE">
            <w:pPr>
              <w:jc w:val="center"/>
              <w:rPr>
                <w:rFonts w:hint="eastAsia"/>
                <w:b w:val="0"/>
                <w:bCs/>
                <w:color w:val="auto"/>
                <w:szCs w:val="21"/>
                <w:highlight w:val="none"/>
                <w:u w:val="none"/>
                <w:vertAlign w:val="baseline"/>
                <w:lang w:val="zh-CN"/>
              </w:rPr>
            </w:pPr>
          </w:p>
        </w:tc>
        <w:tc>
          <w:tcPr>
            <w:tcW w:w="1091" w:type="dxa"/>
            <w:vAlign w:val="center"/>
          </w:tcPr>
          <w:p w14:paraId="7C3AA4BD">
            <w:pPr>
              <w:jc w:val="center"/>
              <w:rPr>
                <w:rFonts w:hint="eastAsia"/>
                <w:b w:val="0"/>
                <w:bCs/>
                <w:color w:val="auto"/>
                <w:szCs w:val="21"/>
                <w:highlight w:val="none"/>
                <w:u w:val="none"/>
                <w:vertAlign w:val="baseline"/>
                <w:lang w:val="zh-CN"/>
              </w:rPr>
            </w:pPr>
          </w:p>
        </w:tc>
      </w:tr>
      <w:tr w14:paraId="0C8A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83" w:type="dxa"/>
            <w:gridSpan w:val="12"/>
            <w:vAlign w:val="center"/>
          </w:tcPr>
          <w:p w14:paraId="66A2BE18">
            <w:pPr>
              <w:jc w:val="center"/>
              <w:rPr>
                <w:rFonts w:hint="default"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总价</w:t>
            </w:r>
            <w:r>
              <w:rPr>
                <w:rFonts w:hint="eastAsia" w:ascii="宋体" w:hAnsi="宋体" w:eastAsia="宋体" w:cs="宋体"/>
                <w:b w:val="0"/>
                <w:bCs/>
                <w:color w:val="auto"/>
                <w:sz w:val="24"/>
                <w:szCs w:val="24"/>
                <w:highlight w:val="none"/>
              </w:rPr>
              <w:t>（元）</w:t>
            </w:r>
          </w:p>
        </w:tc>
        <w:tc>
          <w:tcPr>
            <w:tcW w:w="1091" w:type="dxa"/>
            <w:vAlign w:val="center"/>
          </w:tcPr>
          <w:p w14:paraId="6386598F">
            <w:pPr>
              <w:jc w:val="center"/>
              <w:rPr>
                <w:rFonts w:hint="eastAsia"/>
                <w:b w:val="0"/>
                <w:bCs/>
                <w:color w:val="auto"/>
                <w:szCs w:val="21"/>
                <w:highlight w:val="none"/>
                <w:u w:val="none"/>
                <w:vertAlign w:val="baseline"/>
                <w:lang w:val="zh-CN"/>
              </w:rPr>
            </w:pPr>
          </w:p>
        </w:tc>
      </w:tr>
    </w:tbl>
    <w:p w14:paraId="111A8E1A">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27628D55">
      <w:pPr>
        <w:spacing w:line="240" w:lineRule="auto"/>
        <w:rPr>
          <w:rFonts w:hint="eastAsia" w:ascii="宋体" w:hAnsi="宋体" w:eastAsia="宋体" w:cs="宋体"/>
          <w:b/>
          <w:color w:val="auto"/>
          <w:sz w:val="24"/>
          <w:szCs w:val="24"/>
          <w:highlight w:val="none"/>
          <w:lang w:eastAsia="zh-CN"/>
        </w:rPr>
      </w:pPr>
    </w:p>
    <w:p w14:paraId="4681585F">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w:t>
      </w:r>
      <w:r>
        <w:rPr>
          <w:rFonts w:hint="eastAsia" w:cs="宋体"/>
          <w:color w:val="auto"/>
          <w:sz w:val="21"/>
          <w:szCs w:val="21"/>
          <w:highlight w:val="none"/>
          <w:lang w:val="en-US" w:eastAsia="zh-CN"/>
        </w:rPr>
        <w:t>总</w:t>
      </w:r>
      <w:r>
        <w:rPr>
          <w:rFonts w:hint="default" w:ascii="宋体" w:hAnsi="宋体" w:eastAsia="宋体" w:cs="宋体"/>
          <w:color w:val="auto"/>
          <w:sz w:val="21"/>
          <w:szCs w:val="21"/>
          <w:highlight w:val="none"/>
          <w:lang w:val="en-US" w:eastAsia="zh-CN"/>
        </w:rPr>
        <w:t>价填写到</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报价</w:t>
      </w:r>
      <w:r>
        <w:rPr>
          <w:rFonts w:hint="eastAsia" w:ascii="宋体" w:hAnsi="宋体" w:eastAsia="宋体" w:cs="宋体"/>
          <w:color w:val="auto"/>
          <w:sz w:val="21"/>
          <w:szCs w:val="21"/>
          <w:highlight w:val="none"/>
          <w:lang w:val="en-US" w:eastAsia="zh-CN"/>
        </w:rPr>
        <w:t>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“谈判报价”</w:t>
      </w:r>
      <w:r>
        <w:rPr>
          <w:rFonts w:hint="default" w:ascii="宋体" w:hAnsi="宋体" w:eastAsia="宋体" w:cs="宋体"/>
          <w:color w:val="auto"/>
          <w:sz w:val="21"/>
          <w:szCs w:val="21"/>
          <w:highlight w:val="none"/>
          <w:lang w:val="en-US" w:eastAsia="zh-CN"/>
        </w:rPr>
        <w:t>栏中。</w:t>
      </w:r>
    </w:p>
    <w:p w14:paraId="6B43AF2E">
      <w:pPr>
        <w:spacing w:line="360"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表中所列货物为对应本项目需求的全部货物及所需附件购置费、包装费、运输费、人工费、保险费、安装调试费、各种税费、资料费、售后服务费及完成项目应有的全部费用。如有漏项或缺项，供应商承担全部责任。</w:t>
      </w:r>
    </w:p>
    <w:p w14:paraId="06F95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.表中须明确列出所投产品的</w:t>
      </w:r>
      <w:r>
        <w:rPr>
          <w:rFonts w:hint="eastAsia" w:cs="宋体"/>
          <w:color w:val="auto"/>
          <w:sz w:val="21"/>
          <w:szCs w:val="21"/>
          <w:highlight w:val="none"/>
          <w:lang w:val="en-US" w:eastAsia="zh-CN"/>
        </w:rPr>
        <w:t>分项</w:t>
      </w:r>
      <w:r>
        <w:rPr>
          <w:rFonts w:hint="eastAsia" w:ascii="宋体" w:hAnsi="宋体" w:eastAsia="宋体" w:cs="宋体"/>
          <w:color w:val="auto"/>
          <w:sz w:val="21"/>
          <w:szCs w:val="21"/>
          <w:highlight w:val="none"/>
        </w:rPr>
        <w:t>名称、</w:t>
      </w:r>
      <w:r>
        <w:rPr>
          <w:rFonts w:hint="eastAsia" w:cs="宋体"/>
          <w:color w:val="auto"/>
          <w:sz w:val="21"/>
          <w:szCs w:val="21"/>
          <w:highlight w:val="none"/>
          <w:lang w:val="en-US" w:eastAsia="zh-CN"/>
        </w:rPr>
        <w:t>制造商、</w:t>
      </w:r>
      <w:r>
        <w:rPr>
          <w:rFonts w:hint="eastAsia" w:cs="宋体"/>
          <w:b w:val="0"/>
          <w:bCs/>
          <w:color w:val="auto"/>
          <w:sz w:val="21"/>
          <w:szCs w:val="21"/>
          <w:highlight w:val="none"/>
          <w:lang w:val="en-US" w:eastAsia="zh-CN"/>
        </w:rPr>
        <w:t>产地/国别、</w:t>
      </w:r>
      <w:r>
        <w:rPr>
          <w:rFonts w:hint="eastAsia" w:ascii="宋体" w:hAnsi="宋体" w:eastAsia="宋体" w:cs="宋体"/>
          <w:b w:val="0"/>
          <w:bCs/>
          <w:color w:val="auto"/>
          <w:sz w:val="21"/>
          <w:szCs w:val="21"/>
          <w:highlight w:val="none"/>
          <w:lang w:val="en-US" w:eastAsia="zh-CN"/>
        </w:rPr>
        <w:t>制造商统一社会信用代码</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制造商规模</w:t>
      </w:r>
      <w:r>
        <w:rPr>
          <w:rFonts w:hint="eastAsia" w:cs="宋体"/>
          <w:b w:val="0"/>
          <w:bCs/>
          <w:color w:val="auto"/>
          <w:sz w:val="21"/>
          <w:szCs w:val="21"/>
          <w:highlight w:val="none"/>
          <w:lang w:val="en-US" w:eastAsia="zh-CN"/>
        </w:rPr>
        <w:t>、制造商所属性别、外商投资类型、</w:t>
      </w:r>
      <w:r>
        <w:rPr>
          <w:rFonts w:hint="eastAsia" w:ascii="宋体" w:hAnsi="宋体" w:eastAsia="宋体" w:cs="宋体"/>
          <w:color w:val="auto"/>
          <w:sz w:val="21"/>
          <w:szCs w:val="21"/>
          <w:highlight w:val="none"/>
        </w:rPr>
        <w:t>品牌、</w:t>
      </w:r>
      <w:r>
        <w:rPr>
          <w:rFonts w:hint="eastAsia" w:cs="宋体"/>
          <w:color w:val="auto"/>
          <w:sz w:val="21"/>
          <w:szCs w:val="21"/>
          <w:highlight w:val="none"/>
          <w:lang w:eastAsia="zh-CN"/>
        </w:rPr>
        <w:t>规格、</w:t>
      </w:r>
      <w:r>
        <w:rPr>
          <w:rFonts w:hint="eastAsia" w:ascii="宋体" w:hAnsi="宋体" w:eastAsia="宋体" w:cs="宋体"/>
          <w:color w:val="auto"/>
          <w:sz w:val="21"/>
          <w:szCs w:val="21"/>
          <w:highlight w:val="none"/>
        </w:rPr>
        <w:t>型号、</w:t>
      </w:r>
      <w:r>
        <w:rPr>
          <w:rFonts w:hint="eastAsia" w:cs="宋体"/>
          <w:color w:val="auto"/>
          <w:sz w:val="21"/>
          <w:szCs w:val="21"/>
          <w:highlight w:val="none"/>
          <w:lang w:eastAsia="zh-CN"/>
        </w:rPr>
        <w:t>单价、数量、</w:t>
      </w:r>
      <w:r>
        <w:rPr>
          <w:rFonts w:hint="eastAsia" w:cs="宋体"/>
          <w:color w:val="auto"/>
          <w:sz w:val="21"/>
          <w:szCs w:val="21"/>
          <w:highlight w:val="none"/>
          <w:lang w:val="en-US" w:eastAsia="zh-CN"/>
        </w:rPr>
        <w:t>合价等</w:t>
      </w:r>
      <w:r>
        <w:rPr>
          <w:rFonts w:hint="eastAsia" w:ascii="宋体" w:hAnsi="宋体" w:eastAsia="宋体" w:cs="宋体"/>
          <w:color w:val="auto"/>
          <w:sz w:val="21"/>
          <w:szCs w:val="21"/>
          <w:highlight w:val="none"/>
        </w:rPr>
        <w:t>，否则可能导致</w:t>
      </w:r>
      <w:r>
        <w:rPr>
          <w:rFonts w:hint="eastAsia" w:ascii="宋体" w:hAnsi="宋体" w:eastAsia="宋体" w:cs="宋体"/>
          <w:b/>
          <w:bCs/>
          <w:color w:val="auto"/>
          <w:sz w:val="21"/>
          <w:szCs w:val="21"/>
          <w:highlight w:val="none"/>
        </w:rPr>
        <w:t>响应无效</w:t>
      </w:r>
      <w:r>
        <w:rPr>
          <w:rFonts w:hint="eastAsia" w:ascii="宋体" w:hAnsi="宋体" w:eastAsia="宋体" w:cs="宋体"/>
          <w:color w:val="auto"/>
          <w:sz w:val="21"/>
          <w:szCs w:val="21"/>
          <w:highlight w:val="none"/>
        </w:rPr>
        <w:t>。</w:t>
      </w:r>
    </w:p>
    <w:p w14:paraId="66C30DF1">
      <w:pPr>
        <w:keepNext w:val="0"/>
        <w:keepLines w:val="0"/>
        <w:widowControl/>
        <w:suppressLineNumbers w:val="0"/>
        <w:jc w:val="left"/>
        <w:rPr>
          <w:rFonts w:hint="eastAsia" w:ascii="宋体" w:hAnsi="宋体" w:eastAsia="宋体" w:cs="宋体"/>
          <w:b/>
          <w:bCs/>
          <w:i w:val="0"/>
          <w:iCs w:val="0"/>
          <w:color w:val="auto"/>
          <w:kern w:val="0"/>
          <w:sz w:val="21"/>
          <w:szCs w:val="21"/>
          <w:highlight w:val="none"/>
          <w:lang w:val="en-US" w:eastAsia="zh-CN" w:bidi="ar"/>
        </w:rPr>
      </w:pPr>
    </w:p>
    <w:p w14:paraId="25FACF75">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填写说明：</w:t>
      </w:r>
      <w:r>
        <w:rPr>
          <w:rFonts w:hint="eastAsia" w:ascii="宋体" w:hAnsi="宋体" w:eastAsia="宋体" w:cs="宋体"/>
          <w:b w:val="0"/>
          <w:bCs w:val="0"/>
          <w:i w:val="0"/>
          <w:iCs w:val="0"/>
          <w:color w:val="auto"/>
          <w:kern w:val="0"/>
          <w:sz w:val="21"/>
          <w:szCs w:val="21"/>
          <w:highlight w:val="none"/>
          <w:lang w:val="en-US" w:eastAsia="zh-CN" w:bidi="ar"/>
        </w:rPr>
        <w:t>1、</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制造商规模</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请填写“大型”、“中型”、“小型”、“微型”或“其他”，且不应与《中小企业声明函》或《拟分包情况说明》中内容矛盾。</w:t>
      </w:r>
    </w:p>
    <w:p w14:paraId="7811222F">
      <w:pPr>
        <w:keepNext w:val="0"/>
        <w:keepLines w:val="0"/>
        <w:widowControl/>
        <w:suppressLineNumbers w:val="0"/>
        <w:ind w:firstLine="1050" w:firstLineChars="500"/>
        <w:jc w:val="left"/>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2、</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按</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 xml:space="preserve">商实际控制人性别划分请填写“男”或“女”，指拥有制造商 51%以上绝对所有权的性别；绝对所有权拥有者可以是一个人，也可以是多人合计计算。 </w:t>
      </w:r>
    </w:p>
    <w:p w14:paraId="7F81D88F">
      <w:pPr>
        <w:spacing w:line="300" w:lineRule="auto"/>
        <w:ind w:firstLine="1050" w:firstLineChars="500"/>
        <w:rPr>
          <w:rFonts w:hint="eastAsia" w:ascii="宋体" w:hAnsi="宋体" w:eastAsia="宋体" w:cs="宋体"/>
          <w:color w:val="auto"/>
          <w:sz w:val="21"/>
          <w:szCs w:val="21"/>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numberInDash"/>
          <w:cols w:space="0" w:num="1"/>
          <w:rtlGutter w:val="0"/>
          <w:docGrid w:type="lines" w:linePitch="332" w:charSpace="0"/>
        </w:sectPr>
      </w:pPr>
      <w:r>
        <w:rPr>
          <w:rFonts w:hint="eastAsia" w:ascii="宋体" w:hAnsi="宋体" w:eastAsia="宋体" w:cs="宋体"/>
          <w:b w:val="0"/>
          <w:bCs w:val="0"/>
          <w:i w:val="0"/>
          <w:iCs w:val="0"/>
          <w:color w:val="auto"/>
          <w:kern w:val="0"/>
          <w:sz w:val="21"/>
          <w:szCs w:val="21"/>
          <w:highlight w:val="none"/>
          <w:lang w:val="en-US" w:eastAsia="zh-CN" w:bidi="ar"/>
        </w:rPr>
        <w:t>3、</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外商投资类型</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请填写“外商单独投资”、“外商部分投资”或“内资”。</w:t>
      </w:r>
    </w:p>
    <w:p w14:paraId="4A59D451">
      <w:pPr>
        <w:pStyle w:val="59"/>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64FB4B2">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EC829F4">
      <w:pPr>
        <w:autoSpaceDE w:val="0"/>
        <w:autoSpaceDN w:val="0"/>
        <w:adjustRightInd w:val="0"/>
        <w:rPr>
          <w:color w:val="auto"/>
          <w:sz w:val="21"/>
          <w:szCs w:val="24"/>
          <w:highlight w:val="none"/>
        </w:rPr>
      </w:pPr>
    </w:p>
    <w:p w14:paraId="0D39B890">
      <w:pPr>
        <w:autoSpaceDE w:val="0"/>
        <w:autoSpaceDN w:val="0"/>
        <w:adjustRightInd w:val="0"/>
        <w:rPr>
          <w:color w:val="auto"/>
          <w:sz w:val="21"/>
          <w:szCs w:val="24"/>
          <w:highlight w:val="none"/>
        </w:rPr>
      </w:pPr>
    </w:p>
    <w:p w14:paraId="2314362E">
      <w:pPr>
        <w:autoSpaceDE w:val="0"/>
        <w:autoSpaceDN w:val="0"/>
        <w:adjustRightInd w:val="0"/>
        <w:jc w:val="center"/>
        <w:rPr>
          <w:color w:val="auto"/>
          <w:sz w:val="21"/>
          <w:szCs w:val="24"/>
          <w:highlight w:val="none"/>
        </w:rPr>
      </w:pPr>
    </w:p>
    <w:p w14:paraId="6E0AECFB">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4AF2D630">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69CDC1D3">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52C730">
      <w:pPr>
        <w:pStyle w:val="3"/>
        <w:rPr>
          <w:color w:val="auto"/>
          <w:sz w:val="21"/>
          <w:szCs w:val="21"/>
          <w:highlight w:val="none"/>
        </w:rPr>
      </w:pPr>
    </w:p>
    <w:p w14:paraId="14C1B3A8">
      <w:pPr>
        <w:rPr>
          <w:color w:val="auto"/>
          <w:sz w:val="21"/>
          <w:szCs w:val="21"/>
          <w:highlight w:val="none"/>
        </w:rPr>
      </w:pPr>
    </w:p>
    <w:p w14:paraId="15227E06">
      <w:pPr>
        <w:rPr>
          <w:color w:val="auto"/>
          <w:highlight w:val="none"/>
        </w:rPr>
      </w:pPr>
    </w:p>
    <w:p w14:paraId="41D881B8">
      <w:pPr>
        <w:autoSpaceDE w:val="0"/>
        <w:autoSpaceDN w:val="0"/>
        <w:adjustRightInd w:val="0"/>
        <w:rPr>
          <w:color w:val="auto"/>
          <w:sz w:val="21"/>
          <w:szCs w:val="21"/>
          <w:highlight w:val="none"/>
        </w:rPr>
      </w:pPr>
    </w:p>
    <w:p w14:paraId="1C7F5439">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5C2AEB63">
      <w:pPr>
        <w:rPr>
          <w:color w:val="auto"/>
          <w:highlight w:val="none"/>
          <w:lang w:val="zh-CN"/>
        </w:rPr>
      </w:pPr>
      <w:r>
        <w:rPr>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68" w:name="_Toc109900327"/>
      <w:bookmarkStart w:id="569" w:name="_Toc109899489"/>
      <w:bookmarkStart w:id="570" w:name="_Toc4097"/>
      <w:bookmarkStart w:id="571" w:name="_Toc155185921"/>
      <w:bookmarkStart w:id="572" w:name="_Toc140132831"/>
      <w:bookmarkStart w:id="573" w:name="_Toc25402"/>
      <w:bookmarkStart w:id="574" w:name="_Toc3577"/>
      <w:bookmarkStart w:id="575" w:name="_Toc9526"/>
      <w:bookmarkStart w:id="576" w:name="_Toc109899908"/>
      <w:r>
        <w:rPr>
          <w:rFonts w:hint="eastAsia" w:eastAsia="宋体" w:asciiTheme="majorHAnsi" w:hAnsiTheme="majorHAnsi" w:cstheme="majorBidi"/>
          <w:b/>
          <w:bCs/>
          <w:color w:val="auto"/>
          <w:kern w:val="2"/>
          <w:sz w:val="32"/>
          <w:szCs w:val="32"/>
          <w:highlight w:val="none"/>
          <w:lang w:val="en-US" w:eastAsia="zh-CN" w:bidi="ar-SA"/>
        </w:rPr>
        <w:t>一、</w:t>
      </w:r>
      <w:r>
        <w:rPr>
          <w:rFonts w:hint="eastAsia" w:cstheme="majorBidi"/>
          <w:b/>
          <w:bCs/>
          <w:color w:val="auto"/>
          <w:kern w:val="2"/>
          <w:sz w:val="32"/>
          <w:szCs w:val="32"/>
          <w:highlight w:val="none"/>
          <w:lang w:val="en-US" w:eastAsia="zh-CN" w:bidi="ar-SA"/>
        </w:rPr>
        <w:t>响应</w:t>
      </w:r>
      <w:r>
        <w:rPr>
          <w:rFonts w:hint="eastAsia" w:eastAsia="宋体" w:asciiTheme="majorHAnsi" w:hAnsiTheme="majorHAnsi" w:cstheme="majorBidi"/>
          <w:b/>
          <w:bCs/>
          <w:color w:val="auto"/>
          <w:kern w:val="2"/>
          <w:sz w:val="32"/>
          <w:szCs w:val="32"/>
          <w:highlight w:val="none"/>
          <w:lang w:val="en-US" w:eastAsia="zh-CN" w:bidi="ar-SA"/>
        </w:rPr>
        <w:t>函</w:t>
      </w:r>
      <w:bookmarkEnd w:id="568"/>
      <w:bookmarkEnd w:id="569"/>
      <w:bookmarkEnd w:id="570"/>
      <w:bookmarkEnd w:id="571"/>
      <w:bookmarkEnd w:id="572"/>
      <w:bookmarkEnd w:id="573"/>
      <w:bookmarkEnd w:id="574"/>
      <w:bookmarkEnd w:id="575"/>
      <w:bookmarkEnd w:id="576"/>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竞争性谈判公告</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w:t>
      </w:r>
      <w:r>
        <w:rPr>
          <w:rFonts w:hint="eastAsia" w:cs="仿宋_GB2312"/>
          <w:color w:val="auto"/>
          <w:szCs w:val="24"/>
          <w:highlight w:val="none"/>
          <w:lang w:val="en-US" w:eastAsia="zh-CN"/>
        </w:rPr>
        <w:t>供应商</w:t>
      </w:r>
      <w:r>
        <w:rPr>
          <w:rFonts w:hint="eastAsia" w:cs="仿宋_GB2312"/>
          <w:color w:val="auto"/>
          <w:szCs w:val="24"/>
          <w:highlight w:val="none"/>
          <w:u w:val="single"/>
        </w:rPr>
        <w:t>（</w:t>
      </w:r>
      <w:r>
        <w:rPr>
          <w:rFonts w:hint="eastAsia" w:cs="仿宋_GB2312"/>
          <w:color w:val="auto"/>
          <w:szCs w:val="24"/>
          <w:highlight w:val="none"/>
          <w:u w:val="single"/>
          <w:lang w:val="en-US" w:eastAsia="zh-CN"/>
        </w:rPr>
        <w:t>供应商</w:t>
      </w:r>
      <w:r>
        <w:rPr>
          <w:rFonts w:hint="eastAsia" w:cs="仿宋_GB2312"/>
          <w:color w:val="auto"/>
          <w:szCs w:val="24"/>
          <w:highlight w:val="none"/>
          <w:u w:val="single"/>
        </w:rPr>
        <w:t>名称、地址）</w:t>
      </w:r>
      <w:r>
        <w:rPr>
          <w:rFonts w:hint="eastAsia" w:cs="仿宋_GB2312"/>
          <w:color w:val="auto"/>
          <w:szCs w:val="24"/>
          <w:highlight w:val="none"/>
        </w:rPr>
        <w:t>提交下述文件</w:t>
      </w:r>
      <w:r>
        <w:rPr>
          <w:rFonts w:hint="eastAsia" w:cs="仿宋_GB2312"/>
          <w:b/>
          <w:bCs/>
          <w:color w:val="auto"/>
          <w:szCs w:val="24"/>
          <w:highlight w:val="none"/>
        </w:rPr>
        <w:t>：</w:t>
      </w:r>
    </w:p>
    <w:p w14:paraId="31DE4B23">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1.资格证明文件；</w:t>
      </w:r>
    </w:p>
    <w:p w14:paraId="7E086E9D">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2.报价文件；</w:t>
      </w:r>
    </w:p>
    <w:p w14:paraId="260B7A8D">
      <w:pPr>
        <w:spacing w:line="324" w:lineRule="auto"/>
        <w:ind w:firstLine="480" w:firstLineChars="200"/>
        <w:rPr>
          <w:rFonts w:hint="default" w:cs="Arial"/>
          <w:color w:val="auto"/>
          <w:szCs w:val="24"/>
          <w:highlight w:val="none"/>
          <w:lang w:val="en-US" w:eastAsia="zh-CN"/>
        </w:rPr>
      </w:pPr>
      <w:r>
        <w:rPr>
          <w:rFonts w:hint="eastAsia" w:cs="Arial"/>
          <w:color w:val="auto"/>
          <w:szCs w:val="24"/>
          <w:highlight w:val="none"/>
          <w:lang w:val="en-US" w:eastAsia="zh-CN"/>
        </w:rPr>
        <w:t>3.商务技术文件。</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w:t>
      </w:r>
      <w:r>
        <w:rPr>
          <w:rFonts w:hint="eastAsia" w:cs="Arial"/>
          <w:color w:val="auto"/>
          <w:szCs w:val="24"/>
          <w:highlight w:val="none"/>
          <w:lang w:val="en-US" w:eastAsia="zh-CN"/>
        </w:rPr>
        <w:t>报价一览</w:t>
      </w:r>
      <w:r>
        <w:rPr>
          <w:rFonts w:cs="Arial"/>
          <w:color w:val="auto"/>
          <w:szCs w:val="24"/>
          <w:highlight w:val="none"/>
        </w:rPr>
        <w:t>表中规定的应提交和交付的</w:t>
      </w:r>
      <w:r>
        <w:rPr>
          <w:rFonts w:hint="eastAsia" w:cs="Arial"/>
          <w:color w:val="auto"/>
          <w:szCs w:val="24"/>
          <w:highlight w:val="none"/>
        </w:rPr>
        <w:t>货物</w:t>
      </w:r>
      <w:r>
        <w:rPr>
          <w:rFonts w:cs="Arial"/>
          <w:color w:val="auto"/>
          <w:szCs w:val="24"/>
          <w:highlight w:val="none"/>
        </w:rPr>
        <w:t>和</w:t>
      </w:r>
      <w:r>
        <w:rPr>
          <w:rFonts w:hint="eastAsia" w:cs="Arial"/>
          <w:color w:val="auto"/>
          <w:szCs w:val="24"/>
          <w:highlight w:val="none"/>
          <w:lang w:val="en-US" w:eastAsia="zh-CN"/>
        </w:rPr>
        <w:t>相关</w:t>
      </w:r>
      <w:r>
        <w:rPr>
          <w:rFonts w:cs="Arial"/>
          <w:color w:val="auto"/>
          <w:szCs w:val="24"/>
          <w:highlight w:val="none"/>
        </w:rPr>
        <w:t>服务</w:t>
      </w:r>
      <w:r>
        <w:rPr>
          <w:rFonts w:hint="eastAsia" w:cs="Arial"/>
          <w:color w:val="auto"/>
          <w:szCs w:val="24"/>
          <w:highlight w:val="none"/>
        </w:rPr>
        <w:t>（如有）</w:t>
      </w:r>
      <w:r>
        <w:rPr>
          <w:rFonts w:cs="Arial"/>
          <w:color w:val="auto"/>
          <w:szCs w:val="24"/>
          <w:highlight w:val="none"/>
        </w:rPr>
        <w:t>的</w:t>
      </w:r>
      <w:r>
        <w:rPr>
          <w:rFonts w:hint="eastAsia" w:cs="Arial"/>
          <w:color w:val="auto"/>
          <w:szCs w:val="24"/>
          <w:highlight w:val="none"/>
        </w:rPr>
        <w:t>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w:t>
      </w:r>
      <w:r>
        <w:rPr>
          <w:rFonts w:hint="eastAsia" w:cs="仿宋_GB2312"/>
          <w:color w:val="auto"/>
          <w:szCs w:val="24"/>
          <w:highlight w:val="none"/>
          <w:lang w:val="en-US" w:eastAsia="zh-CN"/>
        </w:rPr>
        <w:t>竞争性谈判</w:t>
      </w:r>
      <w:r>
        <w:rPr>
          <w:rFonts w:cs="Arial"/>
          <w:color w:val="auto"/>
          <w:szCs w:val="24"/>
          <w:highlight w:val="none"/>
        </w:rPr>
        <w:t>文件的规定履行合同责任和义务。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w:t>
      </w:r>
      <w:r>
        <w:rPr>
          <w:rFonts w:hint="eastAsia" w:cs="仿宋_GB2312"/>
          <w:color w:val="auto"/>
          <w:szCs w:val="24"/>
          <w:highlight w:val="none"/>
          <w:lang w:val="en-US" w:eastAsia="zh-CN"/>
        </w:rPr>
        <w:t>竞争性谈判</w:t>
      </w:r>
      <w:r>
        <w:rPr>
          <w:rFonts w:cs="Arial"/>
          <w:color w:val="auto"/>
          <w:szCs w:val="24"/>
          <w:highlight w:val="none"/>
        </w:rPr>
        <w:t>文件</w:t>
      </w:r>
      <w:r>
        <w:rPr>
          <w:rFonts w:cs="Arial"/>
          <w:i w:val="0"/>
          <w:iCs w:val="0"/>
          <w:color w:val="auto"/>
          <w:szCs w:val="24"/>
          <w:highlight w:val="none"/>
        </w:rPr>
        <w:t>，包括第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竞争性谈判</w:t>
      </w:r>
      <w:r>
        <w:rPr>
          <w:rFonts w:hint="eastAsia" w:cs="Arial"/>
          <w:i w:val="0"/>
          <w:iCs w:val="0"/>
          <w:color w:val="auto"/>
          <w:szCs w:val="24"/>
          <w:highlight w:val="none"/>
        </w:rPr>
        <w:t>文件</w:t>
      </w:r>
      <w:r>
        <w:rPr>
          <w:rFonts w:cs="Arial"/>
          <w:i w:val="0"/>
          <w:iCs w:val="0"/>
          <w:color w:val="auto"/>
          <w:szCs w:val="24"/>
          <w:highlight w:val="none"/>
        </w:rPr>
        <w:t>要求的与</w:t>
      </w:r>
      <w:r>
        <w:rPr>
          <w:rFonts w:hint="eastAsia" w:cs="Arial"/>
          <w:i w:val="0"/>
          <w:iCs w:val="0"/>
          <w:color w:val="auto"/>
          <w:szCs w:val="24"/>
          <w:highlight w:val="none"/>
          <w:lang w:val="en-US" w:eastAsia="zh-CN"/>
        </w:rPr>
        <w:t>谈判响应</w:t>
      </w:r>
      <w:r>
        <w:rPr>
          <w:rFonts w:cs="Arial"/>
          <w:i w:val="0"/>
          <w:iCs w:val="0"/>
          <w:color w:val="auto"/>
          <w:szCs w:val="24"/>
          <w:highlight w:val="none"/>
        </w:rPr>
        <w:t>有关的一切数据或资料。</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w:t>
      </w:r>
      <w:r>
        <w:rPr>
          <w:rFonts w:hint="eastAsia"/>
          <w:color w:val="auto"/>
          <w:szCs w:val="24"/>
          <w:highlight w:val="none"/>
        </w:rPr>
        <w:t>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w:t>
      </w:r>
      <w:r>
        <w:rPr>
          <w:rFonts w:hint="eastAsia"/>
          <w:color w:val="auto"/>
          <w:szCs w:val="24"/>
          <w:highlight w:val="none"/>
          <w:lang w:val="en-US" w:eastAsia="zh-CN"/>
        </w:rPr>
        <w:t>响应</w:t>
      </w:r>
      <w:r>
        <w:rPr>
          <w:rFonts w:hint="eastAsia"/>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5）我方承诺本《</w:t>
      </w:r>
      <w:r>
        <w:rPr>
          <w:rFonts w:hint="eastAsia"/>
          <w:color w:val="auto"/>
          <w:szCs w:val="24"/>
          <w:highlight w:val="none"/>
          <w:lang w:val="en-US" w:eastAsia="zh-CN"/>
        </w:rPr>
        <w:t>响应</w:t>
      </w:r>
      <w:r>
        <w:rPr>
          <w:rFonts w:hint="eastAsia"/>
          <w:color w:val="auto"/>
          <w:szCs w:val="24"/>
          <w:highlight w:val="none"/>
        </w:rPr>
        <w:t>函》的签章对本</w:t>
      </w:r>
      <w:r>
        <w:rPr>
          <w:rFonts w:hint="eastAsia"/>
          <w:color w:val="auto"/>
          <w:szCs w:val="24"/>
          <w:highlight w:val="none"/>
          <w:lang w:val="en-US" w:eastAsia="zh-CN"/>
        </w:rPr>
        <w:t>响应</w:t>
      </w:r>
      <w:r>
        <w:rPr>
          <w:rFonts w:hint="eastAsia"/>
          <w:color w:val="auto"/>
          <w:szCs w:val="24"/>
          <w:highlight w:val="none"/>
        </w:rPr>
        <w:t>文件全部内容具有约束力并承担法律责任。</w:t>
      </w:r>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2DB608AC">
      <w:pPr>
        <w:autoSpaceDE w:val="0"/>
        <w:autoSpaceDN w:val="0"/>
        <w:adjustRightInd w:val="0"/>
        <w:snapToGrid w:val="0"/>
        <w:ind w:firstLine="480" w:firstLineChars="200"/>
        <w:rPr>
          <w:rFonts w:cs="宋体"/>
          <w:color w:val="auto"/>
          <w:highlight w:val="none"/>
        </w:rPr>
      </w:pPr>
      <w:r>
        <w:rPr>
          <w:rFonts w:hint="eastAsia" w:cs="宋体"/>
          <w:color w:val="auto"/>
          <w:highlight w:val="none"/>
          <w:lang w:val="en-US" w:eastAsia="zh-CN"/>
        </w:rPr>
        <w:t>供应商名称</w:t>
      </w:r>
      <w:r>
        <w:rPr>
          <w:rFonts w:hint="eastAsia" w:cs="宋体"/>
          <w:color w:val="auto"/>
          <w:highlight w:val="none"/>
        </w:rPr>
        <w:t>（公章）：</w:t>
      </w:r>
    </w:p>
    <w:p w14:paraId="1186FA25">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77" w:name="_Toc28572"/>
      <w:bookmarkStart w:id="578" w:name="_Toc155185924"/>
      <w:bookmarkStart w:id="579" w:name="_Toc13659"/>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577"/>
      <w:bookmarkEnd w:id="578"/>
      <w:bookmarkEnd w:id="579"/>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0" w:name="_Toc155185925"/>
      <w:bookmarkStart w:id="581" w:name="_Toc16728"/>
      <w:bookmarkStart w:id="582" w:name="_Toc9460"/>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580"/>
      <w:bookmarkEnd w:id="581"/>
      <w:bookmarkEnd w:id="582"/>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w:t>
      </w:r>
      <w:r>
        <w:rPr>
          <w:rFonts w:hint="eastAsia" w:cs="仿宋_GB2312"/>
          <w:color w:val="auto"/>
          <w:szCs w:val="24"/>
          <w:highlight w:val="none"/>
          <w:u w:val="none"/>
          <w:lang w:val="en-US" w:eastAsia="zh-CN"/>
        </w:rPr>
        <w:t>供应商</w:t>
      </w:r>
      <w:r>
        <w:rPr>
          <w:rFonts w:hint="eastAsia" w:cs="仿宋_GB2312"/>
          <w:color w:val="auto"/>
          <w:szCs w:val="24"/>
          <w:highlight w:val="none"/>
          <w:u w:val="none"/>
        </w:rPr>
        <w:t>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w:t>
      </w:r>
      <w:r>
        <w:rPr>
          <w:rFonts w:hint="eastAsia" w:cs="仿宋_GB2312"/>
          <w:color w:val="auto"/>
          <w:szCs w:val="24"/>
          <w:highlight w:val="none"/>
          <w:lang w:val="en-US" w:eastAsia="zh-CN"/>
        </w:rPr>
        <w:t>响应</w:t>
      </w:r>
      <w:r>
        <w:rPr>
          <w:rFonts w:hint="eastAsia" w:cs="仿宋_GB2312"/>
          <w:color w:val="auto"/>
          <w:szCs w:val="24"/>
          <w:highlight w:val="none"/>
        </w:rPr>
        <w:t>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自本授权委托书签署之日起至响应文件有效期届满之日止。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color w:val="auto"/>
          <w:highlight w:val="none"/>
          <w:u w:val="single"/>
          <w:lang w:val="en-US"/>
        </w:rPr>
      </w:pPr>
      <w:r>
        <w:rPr>
          <w:rFonts w:hint="eastAsia" w:ascii="宋体" w:hAnsi="宋体" w:eastAsia="宋体" w:cs="宋体"/>
          <w:color w:val="auto"/>
          <w:kern w:val="0"/>
          <w:sz w:val="24"/>
          <w:szCs w:val="24"/>
          <w:highlight w:val="none"/>
          <w:lang w:val="en-US" w:eastAsia="zh-CN" w:bidi="ar"/>
        </w:rPr>
        <w:t>委托代理人（签字或签章）：</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eastAsia" w:ascii="DejaVuSans" w:hAnsi="DejaVuSans" w:eastAsia="DejaVuSans" w:cs="DejaVuSans"/>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7"/>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3" w:name="_Toc155185934"/>
      <w:bookmarkStart w:id="584" w:name="_Toc163492928"/>
      <w:bookmarkStart w:id="585" w:name="_Toc18804"/>
      <w:bookmarkStart w:id="586" w:name="_Toc26494"/>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583"/>
      <w:bookmarkEnd w:id="584"/>
      <w:r>
        <w:rPr>
          <w:rFonts w:hint="eastAsia" w:eastAsia="宋体" w:asciiTheme="majorHAnsi" w:hAnsiTheme="majorHAnsi" w:cstheme="majorBidi"/>
          <w:b/>
          <w:bCs/>
          <w:color w:val="auto"/>
          <w:kern w:val="2"/>
          <w:sz w:val="32"/>
          <w:szCs w:val="32"/>
          <w:highlight w:val="none"/>
          <w:lang w:val="zh-CN" w:eastAsia="zh-CN" w:bidi="ar-SA"/>
        </w:rPr>
        <w:t>政府采购供应商廉洁自律承诺书</w:t>
      </w:r>
      <w:bookmarkEnd w:id="585"/>
      <w:bookmarkEnd w:id="586"/>
    </w:p>
    <w:p w14:paraId="2AB445CF">
      <w:pPr>
        <w:pStyle w:val="11"/>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w:t>
      </w:r>
      <w:r>
        <w:rPr>
          <w:rFonts w:hint="eastAsia" w:cs="宋体"/>
          <w:color w:val="auto"/>
          <w:kern w:val="0"/>
          <w:sz w:val="24"/>
          <w:szCs w:val="24"/>
          <w:highlight w:val="none"/>
          <w:lang w:val="en-US" w:eastAsia="zh-CN"/>
        </w:rPr>
        <w:t>竞争性谈判</w:t>
      </w:r>
      <w:r>
        <w:rPr>
          <w:rFonts w:hint="eastAsia" w:cs="宋体"/>
          <w:color w:val="auto"/>
          <w:kern w:val="0"/>
          <w:sz w:val="24"/>
          <w:szCs w:val="24"/>
          <w:highlight w:val="none"/>
          <w:lang w:val="en-US" w:eastAsia="zh-CN"/>
        </w:rPr>
        <w:t>文件</w:t>
      </w:r>
      <w:r>
        <w:rPr>
          <w:rFonts w:hint="eastAsia" w:ascii="宋体" w:hAnsi="宋体" w:cs="宋体"/>
          <w:color w:val="auto"/>
          <w:kern w:val="0"/>
          <w:sz w:val="24"/>
          <w:szCs w:val="24"/>
          <w:highlight w:val="none"/>
          <w:lang w:val="zh-CN"/>
        </w:rPr>
        <w:t>要求参加</w:t>
      </w:r>
      <w:r>
        <w:rPr>
          <w:rFonts w:hint="eastAsia" w:cs="宋体"/>
          <w:color w:val="auto"/>
          <w:kern w:val="0"/>
          <w:sz w:val="24"/>
          <w:szCs w:val="24"/>
          <w:highlight w:val="none"/>
          <w:lang w:val="en-US" w:eastAsia="zh-CN"/>
        </w:rPr>
        <w:t>谈判响应</w:t>
      </w:r>
      <w:r>
        <w:rPr>
          <w:rFonts w:hint="eastAsia" w:ascii="宋体" w:hAnsi="宋体" w:cs="宋体"/>
          <w:color w:val="auto"/>
          <w:kern w:val="0"/>
          <w:sz w:val="24"/>
          <w:szCs w:val="24"/>
          <w:highlight w:val="none"/>
          <w:lang w:val="zh-CN"/>
        </w:rPr>
        <w:t>。在这次</w:t>
      </w:r>
      <w:r>
        <w:rPr>
          <w:rFonts w:hint="eastAsia" w:cs="宋体"/>
          <w:color w:val="auto"/>
          <w:kern w:val="0"/>
          <w:sz w:val="24"/>
          <w:szCs w:val="24"/>
          <w:highlight w:val="none"/>
          <w:lang w:val="en-US" w:eastAsia="zh-CN"/>
        </w:rPr>
        <w:t>谈判响应</w:t>
      </w:r>
      <w:r>
        <w:rPr>
          <w:rFonts w:hint="eastAsia" w:ascii="宋体" w:hAnsi="宋体" w:cs="宋体"/>
          <w:color w:val="auto"/>
          <w:kern w:val="0"/>
          <w:sz w:val="24"/>
          <w:szCs w:val="24"/>
          <w:highlight w:val="none"/>
          <w:lang w:val="zh-CN"/>
        </w:rPr>
        <w:t>过程中和</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六、严格遵守《中华人民共和国政府采购法》《中华人民共和国政府采购法</w:t>
      </w:r>
      <w:r>
        <w:rPr>
          <w:rFonts w:hint="eastAsia" w:cs="宋体"/>
          <w:color w:val="auto"/>
          <w:kern w:val="0"/>
          <w:sz w:val="24"/>
          <w:szCs w:val="24"/>
          <w:highlight w:val="none"/>
          <w:lang w:val="en-US" w:eastAsia="zh-CN"/>
        </w:rPr>
        <w:t>实施条例</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w:t>
      </w:r>
      <w:r>
        <w:rPr>
          <w:rFonts w:hint="eastAsia" w:cs="宋体"/>
          <w:color w:val="auto"/>
          <w:kern w:val="0"/>
          <w:sz w:val="24"/>
          <w:szCs w:val="24"/>
          <w:highlight w:val="none"/>
          <w:lang w:val="en-US" w:eastAsia="zh-CN"/>
        </w:rPr>
        <w:t>谈判响应</w:t>
      </w:r>
      <w:r>
        <w:rPr>
          <w:rFonts w:hint="eastAsia" w:ascii="宋体" w:hAnsi="宋体" w:cs="宋体"/>
          <w:color w:val="auto"/>
          <w:kern w:val="0"/>
          <w:sz w:val="24"/>
          <w:szCs w:val="24"/>
          <w:highlight w:val="none"/>
          <w:lang w:val="zh-CN"/>
        </w:rPr>
        <w:t>、</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11"/>
        <w:rPr>
          <w:rFonts w:hint="eastAsia" w:eastAsia="宋体" w:asciiTheme="majorHAnsi" w:hAnsiTheme="majorHAnsi" w:cstheme="majorBidi"/>
          <w:b/>
          <w:bCs/>
          <w:color w:val="auto"/>
          <w:kern w:val="2"/>
          <w:sz w:val="24"/>
          <w:szCs w:val="24"/>
          <w:highlight w:val="none"/>
          <w:lang w:val="en-US" w:eastAsia="zh-CN" w:bidi="ar-SA"/>
        </w:rPr>
      </w:pPr>
    </w:p>
    <w:p w14:paraId="2CC927CA">
      <w:pPr>
        <w:pStyle w:val="11"/>
        <w:rPr>
          <w:rFonts w:hint="eastAsia" w:eastAsia="宋体" w:asciiTheme="majorHAnsi" w:hAnsiTheme="majorHAnsi" w:cstheme="majorBidi"/>
          <w:b/>
          <w:bCs/>
          <w:color w:val="auto"/>
          <w:kern w:val="2"/>
          <w:sz w:val="24"/>
          <w:szCs w:val="24"/>
          <w:highlight w:val="none"/>
          <w:lang w:val="en-US" w:eastAsia="zh-CN" w:bidi="ar-SA"/>
        </w:rPr>
      </w:pPr>
    </w:p>
    <w:p w14:paraId="18FDCDE0">
      <w:pPr>
        <w:pStyle w:val="11"/>
        <w:rPr>
          <w:rFonts w:hint="eastAsia" w:eastAsia="宋体" w:asciiTheme="majorHAnsi" w:hAnsiTheme="majorHAnsi" w:cstheme="majorBidi"/>
          <w:b/>
          <w:bCs/>
          <w:color w:val="auto"/>
          <w:kern w:val="2"/>
          <w:sz w:val="24"/>
          <w:szCs w:val="24"/>
          <w:highlight w:val="none"/>
          <w:lang w:val="en-US" w:eastAsia="zh-CN" w:bidi="ar-SA"/>
        </w:rPr>
      </w:pPr>
    </w:p>
    <w:p w14:paraId="0D5FD33D">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72869DE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597D85C2">
      <w:pPr>
        <w:pStyle w:val="21"/>
        <w:rPr>
          <w:rFonts w:hint="eastAsia" w:ascii="宋体" w:hAnsi="宋体" w:cs="宋体"/>
          <w:color w:val="auto"/>
          <w:highlight w:val="none"/>
        </w:rPr>
      </w:pPr>
    </w:p>
    <w:tbl>
      <w:tblPr>
        <w:tblStyle w:val="27"/>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rPr>
              <w:t>文件要求的实质性响应内容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文件具体</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谈判</w:t>
            </w:r>
            <w:r>
              <w:rPr>
                <w:rFonts w:hint="eastAsia" w:ascii="宋体" w:hAnsi="宋体" w:eastAsia="宋体" w:cs="宋体"/>
                <w:color w:val="auto"/>
                <w:sz w:val="24"/>
                <w:szCs w:val="24"/>
                <w:highlight w:val="none"/>
                <w:lang w:val="en-US" w:eastAsia="zh-CN"/>
              </w:rPr>
              <w:t>文件中的规定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62EC5B93">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09" w:type="pct"/>
            <w:noWrap w:val="0"/>
            <w:vAlign w:val="center"/>
          </w:tcPr>
          <w:p w14:paraId="6450B6FD">
            <w:pPr>
              <w:pStyle w:val="61"/>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309" w:type="pct"/>
            <w:shd w:val="clear" w:color="auto" w:fill="auto"/>
            <w:noWrap w:val="0"/>
            <w:vAlign w:val="center"/>
          </w:tcPr>
          <w:p w14:paraId="4892F810">
            <w:pPr>
              <w:pStyle w:val="44"/>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4758525D">
      <w:pPr>
        <w:rPr>
          <w:rFonts w:hint="eastAsia" w:cstheme="majorBidi"/>
          <w:b/>
          <w:bCs/>
          <w:color w:val="auto"/>
          <w:kern w:val="2"/>
          <w:sz w:val="32"/>
          <w:szCs w:val="32"/>
          <w:highlight w:val="none"/>
          <w:lang w:val="en-US" w:eastAsia="zh-CN" w:bidi="ar-SA"/>
        </w:rPr>
      </w:pPr>
    </w:p>
    <w:p w14:paraId="75D4FE8C">
      <w:pPr>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br w:type="page"/>
      </w: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7" w:name="_Toc3163"/>
      <w:bookmarkStart w:id="588" w:name="_Toc22430"/>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587"/>
      <w:bookmarkEnd w:id="588"/>
    </w:p>
    <w:p w14:paraId="21AF32D6">
      <w:pPr>
        <w:rPr>
          <w:rFonts w:cs="仿宋_GB2312"/>
          <w:color w:val="auto"/>
          <w:szCs w:val="24"/>
          <w:highlight w:val="none"/>
        </w:rPr>
      </w:pPr>
      <w:r>
        <w:rPr>
          <w:rFonts w:hint="eastAsia" w:cs="仿宋_GB2312"/>
          <w:color w:val="auto"/>
          <w:szCs w:val="24"/>
          <w:highlight w:val="none"/>
        </w:rPr>
        <w:t xml:space="preserve">项目名称：                                         </w:t>
      </w:r>
    </w:p>
    <w:p w14:paraId="0424C095">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7"/>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4"/>
              <w:jc w:val="center"/>
              <w:rPr>
                <w:color w:val="auto"/>
                <w:highlight w:val="none"/>
              </w:rPr>
            </w:pPr>
            <w:r>
              <w:rPr>
                <w:rFonts w:hint="eastAsia"/>
                <w:color w:val="auto"/>
                <w:highlight w:val="none"/>
              </w:rPr>
              <w:t>序号</w:t>
            </w:r>
          </w:p>
        </w:tc>
        <w:tc>
          <w:tcPr>
            <w:tcW w:w="1395" w:type="pct"/>
            <w:vAlign w:val="center"/>
          </w:tcPr>
          <w:p w14:paraId="7CB83CD6">
            <w:pPr>
              <w:pStyle w:val="44"/>
              <w:jc w:val="center"/>
              <w:rPr>
                <w:color w:val="auto"/>
                <w:highlight w:val="none"/>
              </w:rPr>
            </w:pPr>
            <w:r>
              <w:rPr>
                <w:rFonts w:hint="eastAsia"/>
                <w:color w:val="auto"/>
                <w:highlight w:val="none"/>
                <w:lang w:val="en-US" w:eastAsia="zh-CN"/>
              </w:rPr>
              <w:t>竞争性谈判</w:t>
            </w:r>
            <w:r>
              <w:rPr>
                <w:rFonts w:hint="eastAsia"/>
                <w:color w:val="auto"/>
                <w:highlight w:val="none"/>
              </w:rPr>
              <w:t>文件的商务条款</w:t>
            </w:r>
          </w:p>
        </w:tc>
        <w:tc>
          <w:tcPr>
            <w:tcW w:w="1002" w:type="pct"/>
            <w:vAlign w:val="center"/>
          </w:tcPr>
          <w:p w14:paraId="55A47B57">
            <w:pPr>
              <w:pStyle w:val="44"/>
              <w:jc w:val="center"/>
              <w:rPr>
                <w:color w:val="auto"/>
                <w:highlight w:val="none"/>
              </w:rPr>
            </w:pPr>
            <w:r>
              <w:rPr>
                <w:rFonts w:hint="eastAsia"/>
                <w:color w:val="auto"/>
                <w:highlight w:val="none"/>
                <w:lang w:val="en-US" w:eastAsia="zh-CN"/>
              </w:rPr>
              <w:t>响应</w:t>
            </w:r>
            <w:r>
              <w:rPr>
                <w:rFonts w:hint="eastAsia"/>
                <w:color w:val="auto"/>
                <w:highlight w:val="none"/>
              </w:rPr>
              <w:t>文件的响应内容</w:t>
            </w:r>
          </w:p>
        </w:tc>
        <w:tc>
          <w:tcPr>
            <w:tcW w:w="1090" w:type="pct"/>
            <w:vAlign w:val="center"/>
          </w:tcPr>
          <w:p w14:paraId="2572E859">
            <w:pPr>
              <w:pStyle w:val="44"/>
              <w:jc w:val="center"/>
              <w:rPr>
                <w:color w:val="auto"/>
                <w:highlight w:val="none"/>
              </w:rPr>
            </w:pPr>
            <w:r>
              <w:rPr>
                <w:rFonts w:hint="eastAsia"/>
                <w:color w:val="auto"/>
                <w:highlight w:val="none"/>
              </w:rPr>
              <w:t>响应情况</w:t>
            </w:r>
          </w:p>
        </w:tc>
        <w:tc>
          <w:tcPr>
            <w:tcW w:w="1090" w:type="pct"/>
            <w:vAlign w:val="center"/>
          </w:tcPr>
          <w:p w14:paraId="7884F206">
            <w:pPr>
              <w:pStyle w:val="44"/>
              <w:jc w:val="center"/>
              <w:rPr>
                <w:color w:val="auto"/>
                <w:highlight w:val="none"/>
              </w:rPr>
            </w:pPr>
            <w:r>
              <w:rPr>
                <w:rFonts w:hint="eastAsia"/>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4"/>
              <w:jc w:val="center"/>
              <w:rPr>
                <w:color w:val="auto"/>
                <w:highlight w:val="none"/>
              </w:rPr>
            </w:pPr>
            <w:r>
              <w:rPr>
                <w:rFonts w:hint="eastAsia"/>
                <w:color w:val="auto"/>
                <w:highlight w:val="none"/>
              </w:rPr>
              <w:t>1</w:t>
            </w:r>
          </w:p>
        </w:tc>
        <w:tc>
          <w:tcPr>
            <w:tcW w:w="1395" w:type="pct"/>
            <w:vAlign w:val="center"/>
          </w:tcPr>
          <w:p w14:paraId="34566CA0">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1C6482B4">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1BBD0417">
            <w:pPr>
              <w:pStyle w:val="44"/>
              <w:jc w:val="center"/>
              <w:rPr>
                <w:color w:val="auto"/>
                <w:highlight w:val="none"/>
              </w:rPr>
            </w:pPr>
            <w:r>
              <w:rPr>
                <w:rFonts w:hint="eastAsia"/>
                <w:color w:val="auto"/>
                <w:highlight w:val="none"/>
              </w:rPr>
              <w:t>响应</w:t>
            </w:r>
            <w:r>
              <w:rPr>
                <w:color w:val="auto"/>
                <w:highlight w:val="none"/>
              </w:rPr>
              <w:t>/偏离</w:t>
            </w:r>
          </w:p>
        </w:tc>
        <w:tc>
          <w:tcPr>
            <w:tcW w:w="1090" w:type="pct"/>
            <w:vAlign w:val="center"/>
          </w:tcPr>
          <w:p w14:paraId="1A90E39C">
            <w:pPr>
              <w:pStyle w:val="44"/>
              <w:jc w:val="center"/>
              <w:rPr>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4"/>
              <w:jc w:val="center"/>
              <w:rPr>
                <w:color w:val="auto"/>
                <w:highlight w:val="none"/>
              </w:rPr>
            </w:pPr>
            <w:r>
              <w:rPr>
                <w:rFonts w:hint="eastAsia"/>
                <w:color w:val="auto"/>
                <w:highlight w:val="none"/>
              </w:rPr>
              <w:t>2</w:t>
            </w:r>
          </w:p>
        </w:tc>
        <w:tc>
          <w:tcPr>
            <w:tcW w:w="1395" w:type="pct"/>
            <w:vAlign w:val="center"/>
          </w:tcPr>
          <w:p w14:paraId="2A717A55">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20EC7575">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5923E58D">
            <w:pPr>
              <w:pStyle w:val="44"/>
              <w:jc w:val="center"/>
              <w:rPr>
                <w:color w:val="auto"/>
                <w:highlight w:val="none"/>
              </w:rPr>
            </w:pPr>
          </w:p>
        </w:tc>
        <w:tc>
          <w:tcPr>
            <w:tcW w:w="1090" w:type="pct"/>
            <w:vAlign w:val="center"/>
          </w:tcPr>
          <w:p w14:paraId="59C2C317">
            <w:pPr>
              <w:pStyle w:val="44"/>
              <w:jc w:val="center"/>
              <w:rPr>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4"/>
              <w:jc w:val="center"/>
              <w:rPr>
                <w:color w:val="auto"/>
                <w:highlight w:val="none"/>
              </w:rPr>
            </w:pPr>
            <w:r>
              <w:rPr>
                <w:rFonts w:hint="eastAsia"/>
                <w:color w:val="auto"/>
                <w:highlight w:val="none"/>
              </w:rPr>
              <w:t>3</w:t>
            </w:r>
          </w:p>
        </w:tc>
        <w:tc>
          <w:tcPr>
            <w:tcW w:w="1395" w:type="pct"/>
            <w:vAlign w:val="center"/>
          </w:tcPr>
          <w:p w14:paraId="595245DB">
            <w:pPr>
              <w:pStyle w:val="44"/>
              <w:jc w:val="center"/>
              <w:rPr>
                <w:color w:val="auto"/>
                <w:highlight w:val="none"/>
              </w:rPr>
            </w:pPr>
            <w:r>
              <w:rPr>
                <w:rFonts w:hint="eastAsia"/>
                <w:color w:val="auto"/>
                <w:highlight w:val="none"/>
              </w:rPr>
              <w:t>*</w:t>
            </w:r>
            <w:r>
              <w:rPr>
                <w:color w:val="auto"/>
                <w:highlight w:val="none"/>
              </w:rPr>
              <w:t>******</w:t>
            </w:r>
          </w:p>
        </w:tc>
        <w:tc>
          <w:tcPr>
            <w:tcW w:w="1002" w:type="pct"/>
            <w:vAlign w:val="center"/>
          </w:tcPr>
          <w:p w14:paraId="0A16B4B6">
            <w:pPr>
              <w:pStyle w:val="44"/>
              <w:jc w:val="center"/>
              <w:rPr>
                <w:color w:val="auto"/>
                <w:highlight w:val="none"/>
              </w:rPr>
            </w:pPr>
            <w:r>
              <w:rPr>
                <w:rFonts w:hint="eastAsia"/>
                <w:color w:val="auto"/>
                <w:highlight w:val="none"/>
              </w:rPr>
              <w:t>*</w:t>
            </w:r>
            <w:r>
              <w:rPr>
                <w:color w:val="auto"/>
                <w:highlight w:val="none"/>
              </w:rPr>
              <w:t>******</w:t>
            </w:r>
          </w:p>
        </w:tc>
        <w:tc>
          <w:tcPr>
            <w:tcW w:w="1090" w:type="pct"/>
            <w:vAlign w:val="center"/>
          </w:tcPr>
          <w:p w14:paraId="58535F72">
            <w:pPr>
              <w:pStyle w:val="44"/>
              <w:jc w:val="center"/>
              <w:rPr>
                <w:color w:val="auto"/>
                <w:highlight w:val="none"/>
              </w:rPr>
            </w:pPr>
          </w:p>
        </w:tc>
        <w:tc>
          <w:tcPr>
            <w:tcW w:w="1090" w:type="pct"/>
            <w:vAlign w:val="center"/>
          </w:tcPr>
          <w:p w14:paraId="50AB520B">
            <w:pPr>
              <w:pStyle w:val="44"/>
              <w:jc w:val="center"/>
              <w:rPr>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4"/>
              <w:jc w:val="center"/>
              <w:rPr>
                <w:color w:val="auto"/>
                <w:highlight w:val="none"/>
              </w:rPr>
            </w:pPr>
          </w:p>
        </w:tc>
        <w:tc>
          <w:tcPr>
            <w:tcW w:w="1395" w:type="pct"/>
            <w:vAlign w:val="center"/>
          </w:tcPr>
          <w:p w14:paraId="14968038">
            <w:pPr>
              <w:pStyle w:val="44"/>
              <w:jc w:val="center"/>
              <w:rPr>
                <w:color w:val="auto"/>
                <w:highlight w:val="none"/>
              </w:rPr>
            </w:pPr>
          </w:p>
        </w:tc>
        <w:tc>
          <w:tcPr>
            <w:tcW w:w="1002" w:type="pct"/>
            <w:vAlign w:val="center"/>
          </w:tcPr>
          <w:p w14:paraId="10A6B59E">
            <w:pPr>
              <w:pStyle w:val="44"/>
              <w:jc w:val="center"/>
              <w:rPr>
                <w:color w:val="auto"/>
                <w:highlight w:val="none"/>
              </w:rPr>
            </w:pPr>
          </w:p>
        </w:tc>
        <w:tc>
          <w:tcPr>
            <w:tcW w:w="1090" w:type="pct"/>
            <w:vAlign w:val="center"/>
          </w:tcPr>
          <w:p w14:paraId="61702DF6">
            <w:pPr>
              <w:pStyle w:val="44"/>
              <w:jc w:val="center"/>
              <w:rPr>
                <w:color w:val="auto"/>
                <w:highlight w:val="none"/>
              </w:rPr>
            </w:pPr>
          </w:p>
        </w:tc>
        <w:tc>
          <w:tcPr>
            <w:tcW w:w="1090" w:type="pct"/>
            <w:vAlign w:val="center"/>
          </w:tcPr>
          <w:p w14:paraId="0CC18FC2">
            <w:pPr>
              <w:pStyle w:val="44"/>
              <w:jc w:val="center"/>
              <w:rPr>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4"/>
              <w:jc w:val="center"/>
              <w:rPr>
                <w:color w:val="auto"/>
                <w:highlight w:val="none"/>
              </w:rPr>
            </w:pPr>
          </w:p>
        </w:tc>
        <w:tc>
          <w:tcPr>
            <w:tcW w:w="1395" w:type="pct"/>
            <w:vAlign w:val="center"/>
          </w:tcPr>
          <w:p w14:paraId="5DDD9937">
            <w:pPr>
              <w:pStyle w:val="44"/>
              <w:jc w:val="center"/>
              <w:rPr>
                <w:color w:val="auto"/>
                <w:highlight w:val="none"/>
              </w:rPr>
            </w:pPr>
          </w:p>
        </w:tc>
        <w:tc>
          <w:tcPr>
            <w:tcW w:w="1002" w:type="pct"/>
            <w:vAlign w:val="center"/>
          </w:tcPr>
          <w:p w14:paraId="0B29A018">
            <w:pPr>
              <w:pStyle w:val="44"/>
              <w:jc w:val="center"/>
              <w:rPr>
                <w:color w:val="auto"/>
                <w:highlight w:val="none"/>
              </w:rPr>
            </w:pPr>
          </w:p>
        </w:tc>
        <w:tc>
          <w:tcPr>
            <w:tcW w:w="1090" w:type="pct"/>
            <w:vAlign w:val="center"/>
          </w:tcPr>
          <w:p w14:paraId="1FA693DE">
            <w:pPr>
              <w:pStyle w:val="44"/>
              <w:jc w:val="center"/>
              <w:rPr>
                <w:color w:val="auto"/>
                <w:highlight w:val="none"/>
              </w:rPr>
            </w:pPr>
          </w:p>
        </w:tc>
        <w:tc>
          <w:tcPr>
            <w:tcW w:w="1090" w:type="pct"/>
            <w:vAlign w:val="center"/>
          </w:tcPr>
          <w:p w14:paraId="3D633AB6">
            <w:pPr>
              <w:pStyle w:val="44"/>
              <w:jc w:val="center"/>
              <w:rPr>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4"/>
              <w:jc w:val="center"/>
              <w:rPr>
                <w:color w:val="auto"/>
                <w:highlight w:val="none"/>
              </w:rPr>
            </w:pPr>
          </w:p>
        </w:tc>
        <w:tc>
          <w:tcPr>
            <w:tcW w:w="1395" w:type="pct"/>
            <w:vAlign w:val="center"/>
          </w:tcPr>
          <w:p w14:paraId="014A297F">
            <w:pPr>
              <w:pStyle w:val="44"/>
              <w:jc w:val="center"/>
              <w:rPr>
                <w:color w:val="auto"/>
                <w:highlight w:val="none"/>
              </w:rPr>
            </w:pPr>
          </w:p>
        </w:tc>
        <w:tc>
          <w:tcPr>
            <w:tcW w:w="1002" w:type="pct"/>
            <w:vAlign w:val="center"/>
          </w:tcPr>
          <w:p w14:paraId="51467013">
            <w:pPr>
              <w:pStyle w:val="44"/>
              <w:jc w:val="center"/>
              <w:rPr>
                <w:color w:val="auto"/>
                <w:highlight w:val="none"/>
              </w:rPr>
            </w:pPr>
          </w:p>
        </w:tc>
        <w:tc>
          <w:tcPr>
            <w:tcW w:w="1090" w:type="pct"/>
            <w:vAlign w:val="center"/>
          </w:tcPr>
          <w:p w14:paraId="011E40CA">
            <w:pPr>
              <w:pStyle w:val="44"/>
              <w:jc w:val="center"/>
              <w:rPr>
                <w:color w:val="auto"/>
                <w:highlight w:val="none"/>
              </w:rPr>
            </w:pPr>
          </w:p>
        </w:tc>
        <w:tc>
          <w:tcPr>
            <w:tcW w:w="1090" w:type="pct"/>
            <w:vAlign w:val="center"/>
          </w:tcPr>
          <w:p w14:paraId="7062C313">
            <w:pPr>
              <w:pStyle w:val="44"/>
              <w:jc w:val="center"/>
              <w:rPr>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4"/>
              <w:jc w:val="center"/>
              <w:rPr>
                <w:color w:val="auto"/>
                <w:highlight w:val="none"/>
              </w:rPr>
            </w:pPr>
          </w:p>
        </w:tc>
        <w:tc>
          <w:tcPr>
            <w:tcW w:w="1395" w:type="pct"/>
            <w:vAlign w:val="center"/>
          </w:tcPr>
          <w:p w14:paraId="010A1BB0">
            <w:pPr>
              <w:pStyle w:val="44"/>
              <w:jc w:val="center"/>
              <w:rPr>
                <w:color w:val="auto"/>
                <w:highlight w:val="none"/>
              </w:rPr>
            </w:pPr>
          </w:p>
        </w:tc>
        <w:tc>
          <w:tcPr>
            <w:tcW w:w="1002" w:type="pct"/>
            <w:vAlign w:val="center"/>
          </w:tcPr>
          <w:p w14:paraId="1EE22C75">
            <w:pPr>
              <w:pStyle w:val="44"/>
              <w:jc w:val="center"/>
              <w:rPr>
                <w:color w:val="auto"/>
                <w:highlight w:val="none"/>
              </w:rPr>
            </w:pPr>
          </w:p>
        </w:tc>
        <w:tc>
          <w:tcPr>
            <w:tcW w:w="1090" w:type="pct"/>
            <w:vAlign w:val="center"/>
          </w:tcPr>
          <w:p w14:paraId="3C86F2CC">
            <w:pPr>
              <w:pStyle w:val="44"/>
              <w:jc w:val="center"/>
              <w:rPr>
                <w:color w:val="auto"/>
                <w:highlight w:val="none"/>
              </w:rPr>
            </w:pPr>
          </w:p>
        </w:tc>
        <w:tc>
          <w:tcPr>
            <w:tcW w:w="1090" w:type="pct"/>
            <w:vAlign w:val="center"/>
          </w:tcPr>
          <w:p w14:paraId="515EA04E">
            <w:pPr>
              <w:pStyle w:val="44"/>
              <w:jc w:val="center"/>
              <w:rPr>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4"/>
              <w:jc w:val="center"/>
              <w:rPr>
                <w:color w:val="auto"/>
                <w:highlight w:val="none"/>
              </w:rPr>
            </w:pPr>
          </w:p>
        </w:tc>
        <w:tc>
          <w:tcPr>
            <w:tcW w:w="1395" w:type="pct"/>
            <w:vAlign w:val="center"/>
          </w:tcPr>
          <w:p w14:paraId="1C7A6406">
            <w:pPr>
              <w:pStyle w:val="44"/>
              <w:jc w:val="center"/>
              <w:rPr>
                <w:color w:val="auto"/>
                <w:highlight w:val="none"/>
              </w:rPr>
            </w:pPr>
          </w:p>
        </w:tc>
        <w:tc>
          <w:tcPr>
            <w:tcW w:w="1002" w:type="pct"/>
            <w:vAlign w:val="center"/>
          </w:tcPr>
          <w:p w14:paraId="7F774DAF">
            <w:pPr>
              <w:pStyle w:val="44"/>
              <w:jc w:val="center"/>
              <w:rPr>
                <w:color w:val="auto"/>
                <w:highlight w:val="none"/>
              </w:rPr>
            </w:pPr>
          </w:p>
        </w:tc>
        <w:tc>
          <w:tcPr>
            <w:tcW w:w="1090" w:type="pct"/>
            <w:vAlign w:val="center"/>
          </w:tcPr>
          <w:p w14:paraId="66A55C54">
            <w:pPr>
              <w:pStyle w:val="44"/>
              <w:jc w:val="center"/>
              <w:rPr>
                <w:color w:val="auto"/>
                <w:highlight w:val="none"/>
              </w:rPr>
            </w:pPr>
          </w:p>
        </w:tc>
        <w:tc>
          <w:tcPr>
            <w:tcW w:w="1090" w:type="pct"/>
            <w:vAlign w:val="center"/>
          </w:tcPr>
          <w:p w14:paraId="6FC3A7DB">
            <w:pPr>
              <w:pStyle w:val="44"/>
              <w:jc w:val="center"/>
              <w:rPr>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4"/>
              <w:jc w:val="center"/>
              <w:rPr>
                <w:color w:val="auto"/>
                <w:highlight w:val="none"/>
              </w:rPr>
            </w:pPr>
          </w:p>
        </w:tc>
        <w:tc>
          <w:tcPr>
            <w:tcW w:w="1395" w:type="pct"/>
            <w:vAlign w:val="center"/>
          </w:tcPr>
          <w:p w14:paraId="5A1690B5">
            <w:pPr>
              <w:pStyle w:val="44"/>
              <w:jc w:val="center"/>
              <w:rPr>
                <w:color w:val="auto"/>
                <w:highlight w:val="none"/>
              </w:rPr>
            </w:pPr>
          </w:p>
        </w:tc>
        <w:tc>
          <w:tcPr>
            <w:tcW w:w="1002" w:type="pct"/>
            <w:vAlign w:val="center"/>
          </w:tcPr>
          <w:p w14:paraId="735418C2">
            <w:pPr>
              <w:pStyle w:val="44"/>
              <w:jc w:val="center"/>
              <w:rPr>
                <w:color w:val="auto"/>
                <w:highlight w:val="none"/>
              </w:rPr>
            </w:pPr>
          </w:p>
        </w:tc>
        <w:tc>
          <w:tcPr>
            <w:tcW w:w="1090" w:type="pct"/>
            <w:vAlign w:val="center"/>
          </w:tcPr>
          <w:p w14:paraId="13F6671D">
            <w:pPr>
              <w:pStyle w:val="44"/>
              <w:jc w:val="center"/>
              <w:rPr>
                <w:color w:val="auto"/>
                <w:highlight w:val="none"/>
              </w:rPr>
            </w:pPr>
          </w:p>
        </w:tc>
        <w:tc>
          <w:tcPr>
            <w:tcW w:w="1090" w:type="pct"/>
            <w:vAlign w:val="center"/>
          </w:tcPr>
          <w:p w14:paraId="3DC0B3BB">
            <w:pPr>
              <w:pStyle w:val="44"/>
              <w:jc w:val="center"/>
              <w:rPr>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4"/>
              <w:jc w:val="center"/>
              <w:rPr>
                <w:color w:val="auto"/>
                <w:highlight w:val="none"/>
              </w:rPr>
            </w:pPr>
            <w:r>
              <w:rPr>
                <w:rFonts w:hint="eastAsia"/>
                <w:color w:val="auto"/>
                <w:highlight w:val="none"/>
              </w:rPr>
              <w:t>……</w:t>
            </w:r>
          </w:p>
        </w:tc>
        <w:tc>
          <w:tcPr>
            <w:tcW w:w="1395" w:type="pct"/>
            <w:vAlign w:val="center"/>
          </w:tcPr>
          <w:p w14:paraId="6324A49D">
            <w:pPr>
              <w:pStyle w:val="44"/>
              <w:jc w:val="center"/>
              <w:rPr>
                <w:color w:val="auto"/>
                <w:highlight w:val="none"/>
              </w:rPr>
            </w:pPr>
            <w:r>
              <w:rPr>
                <w:rFonts w:hint="eastAsia"/>
                <w:color w:val="auto"/>
                <w:highlight w:val="none"/>
              </w:rPr>
              <w:t>…………</w:t>
            </w:r>
          </w:p>
        </w:tc>
        <w:tc>
          <w:tcPr>
            <w:tcW w:w="1002" w:type="pct"/>
            <w:vAlign w:val="center"/>
          </w:tcPr>
          <w:p w14:paraId="0EE83785">
            <w:pPr>
              <w:pStyle w:val="44"/>
              <w:jc w:val="center"/>
              <w:rPr>
                <w:color w:val="auto"/>
                <w:highlight w:val="none"/>
              </w:rPr>
            </w:pPr>
            <w:r>
              <w:rPr>
                <w:rFonts w:hint="eastAsia"/>
                <w:color w:val="auto"/>
                <w:highlight w:val="none"/>
              </w:rPr>
              <w:t>…………</w:t>
            </w:r>
          </w:p>
        </w:tc>
        <w:tc>
          <w:tcPr>
            <w:tcW w:w="1090" w:type="pct"/>
            <w:vAlign w:val="center"/>
          </w:tcPr>
          <w:p w14:paraId="7A24BB2D">
            <w:pPr>
              <w:pStyle w:val="44"/>
              <w:jc w:val="center"/>
              <w:rPr>
                <w:color w:val="auto"/>
                <w:highlight w:val="none"/>
              </w:rPr>
            </w:pPr>
            <w:r>
              <w:rPr>
                <w:rFonts w:hint="eastAsia"/>
                <w:color w:val="auto"/>
                <w:highlight w:val="none"/>
              </w:rPr>
              <w:t>……</w:t>
            </w:r>
          </w:p>
        </w:tc>
        <w:tc>
          <w:tcPr>
            <w:tcW w:w="1090" w:type="pct"/>
            <w:vAlign w:val="center"/>
          </w:tcPr>
          <w:p w14:paraId="7CC08218">
            <w:pPr>
              <w:pStyle w:val="44"/>
              <w:jc w:val="center"/>
              <w:rPr>
                <w:color w:val="auto"/>
                <w:highlight w:val="none"/>
              </w:rPr>
            </w:pPr>
          </w:p>
        </w:tc>
      </w:tr>
    </w:tbl>
    <w:p w14:paraId="5CB06622">
      <w:pPr>
        <w:ind w:firstLine="480" w:firstLineChars="200"/>
        <w:rPr>
          <w:rFonts w:cs="仿宋_GB2312"/>
          <w:color w:val="auto"/>
          <w:szCs w:val="24"/>
          <w:highlight w:val="none"/>
        </w:rPr>
      </w:pPr>
    </w:p>
    <w:p w14:paraId="72A459D6">
      <w:pPr>
        <w:ind w:firstLine="480" w:firstLineChars="200"/>
        <w:rPr>
          <w:rFonts w:cs="仿宋_GB2312"/>
          <w:color w:val="auto"/>
          <w:szCs w:val="24"/>
          <w:highlight w:val="none"/>
        </w:rPr>
      </w:pPr>
    </w:p>
    <w:p w14:paraId="01107FC6">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E042A5">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61F9C707">
      <w:pPr>
        <w:ind w:firstLine="420" w:firstLineChars="200"/>
        <w:rPr>
          <w:rFonts w:hint="eastAsia" w:cs="仿宋_GB2312"/>
          <w:color w:val="auto"/>
          <w:sz w:val="21"/>
          <w:szCs w:val="21"/>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1.“竞争性谈判文件的商务条款”栏应详细列明竞争性谈判文件中的商务要求。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2.“响应文件的响应内容”栏填写供应商对竞争性谈判文件提出的商务条款作出的明确响应，并列明具体响应数值或内容，只注明符合、满足等无具体内容表述的，将视为未实质性满足竞争性谈判文件要求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color w:val="auto"/>
          <w:szCs w:val="24"/>
          <w:highlight w:val="none"/>
        </w:rPr>
      </w:pPr>
      <w:r>
        <w:rPr>
          <w:rFonts w:hint="eastAsia" w:cs="仿宋_GB2312"/>
          <w:color w:val="auto"/>
          <w:sz w:val="21"/>
          <w:szCs w:val="21"/>
          <w:highlight w:val="none"/>
          <w:lang w:val="en-US" w:eastAsia="zh-CN"/>
        </w:rPr>
        <w:t>5.对竞争性谈判文件中的所有商务要求，除本表所列明的所有偏离外，均视作供应商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89" w:name="_Toc440"/>
      <w:bookmarkStart w:id="590" w:name="_Toc21407"/>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589"/>
      <w:bookmarkEnd w:id="590"/>
    </w:p>
    <w:p w14:paraId="4541380C">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159B24BA">
      <w:pPr>
        <w:rPr>
          <w:rFonts w:cs="Arial"/>
          <w:bCs/>
          <w:color w:val="auto"/>
          <w:szCs w:val="21"/>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7"/>
        <w:tblW w:w="9237" w:type="dxa"/>
        <w:tblInd w:w="-3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1381"/>
        <w:gridCol w:w="1381"/>
        <w:gridCol w:w="1381"/>
        <w:gridCol w:w="1522"/>
        <w:gridCol w:w="1568"/>
        <w:gridCol w:w="1169"/>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4E9572F9">
            <w:pPr>
              <w:jc w:val="center"/>
              <w:rPr>
                <w:rFonts w:cs="仿宋_GB2312"/>
                <w:color w:val="auto"/>
                <w:sz w:val="24"/>
                <w:szCs w:val="24"/>
                <w:highlight w:val="none"/>
              </w:rPr>
            </w:pPr>
            <w:bookmarkStart w:id="591" w:name="_Hlk46779239"/>
            <w:r>
              <w:rPr>
                <w:rFonts w:hint="eastAsia" w:cs="仿宋_GB2312"/>
                <w:color w:val="auto"/>
                <w:sz w:val="24"/>
                <w:szCs w:val="24"/>
                <w:highlight w:val="none"/>
              </w:rPr>
              <w:t>序号</w:t>
            </w:r>
          </w:p>
        </w:tc>
        <w:tc>
          <w:tcPr>
            <w:tcW w:w="1381"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381"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381"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522"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568" w:type="dxa"/>
            <w:shd w:val="clear" w:color="auto" w:fill="auto"/>
            <w:vAlign w:val="center"/>
          </w:tcPr>
          <w:p w14:paraId="63FA3FA5">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169"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27508E81">
            <w:pPr>
              <w:jc w:val="center"/>
              <w:rPr>
                <w:rFonts w:cs="仿宋_GB2312"/>
                <w:color w:val="auto"/>
                <w:sz w:val="24"/>
                <w:szCs w:val="24"/>
                <w:highlight w:val="none"/>
              </w:rPr>
            </w:pPr>
            <w:r>
              <w:rPr>
                <w:rFonts w:hint="eastAsia" w:cs="仿宋_GB2312"/>
                <w:color w:val="auto"/>
                <w:sz w:val="24"/>
                <w:szCs w:val="24"/>
                <w:highlight w:val="none"/>
              </w:rPr>
              <w:t>1</w:t>
            </w:r>
          </w:p>
        </w:tc>
        <w:tc>
          <w:tcPr>
            <w:tcW w:w="1381" w:type="dxa"/>
            <w:vAlign w:val="center"/>
          </w:tcPr>
          <w:p w14:paraId="27562AF7">
            <w:pPr>
              <w:rPr>
                <w:rFonts w:cs="仿宋_GB2312"/>
                <w:color w:val="auto"/>
                <w:sz w:val="24"/>
                <w:szCs w:val="24"/>
                <w:highlight w:val="none"/>
              </w:rPr>
            </w:pPr>
          </w:p>
        </w:tc>
        <w:tc>
          <w:tcPr>
            <w:tcW w:w="1381" w:type="dxa"/>
            <w:vAlign w:val="center"/>
          </w:tcPr>
          <w:p w14:paraId="02799269">
            <w:pPr>
              <w:rPr>
                <w:rFonts w:cs="仿宋_GB2312"/>
                <w:color w:val="auto"/>
                <w:sz w:val="24"/>
                <w:szCs w:val="24"/>
                <w:highlight w:val="none"/>
              </w:rPr>
            </w:pPr>
          </w:p>
        </w:tc>
        <w:tc>
          <w:tcPr>
            <w:tcW w:w="1381" w:type="dxa"/>
            <w:vAlign w:val="center"/>
          </w:tcPr>
          <w:p w14:paraId="6449ADDF">
            <w:pPr>
              <w:rPr>
                <w:rFonts w:cs="仿宋_GB2312"/>
                <w:color w:val="auto"/>
                <w:sz w:val="24"/>
                <w:szCs w:val="24"/>
                <w:highlight w:val="none"/>
              </w:rPr>
            </w:pPr>
          </w:p>
        </w:tc>
        <w:tc>
          <w:tcPr>
            <w:tcW w:w="1522" w:type="dxa"/>
            <w:vAlign w:val="center"/>
          </w:tcPr>
          <w:p w14:paraId="183C0714">
            <w:pPr>
              <w:rPr>
                <w:rFonts w:cs="仿宋_GB2312"/>
                <w:color w:val="auto"/>
                <w:sz w:val="24"/>
                <w:szCs w:val="24"/>
                <w:highlight w:val="none"/>
              </w:rPr>
            </w:pPr>
          </w:p>
        </w:tc>
        <w:tc>
          <w:tcPr>
            <w:tcW w:w="1568" w:type="dxa"/>
            <w:vAlign w:val="center"/>
          </w:tcPr>
          <w:p w14:paraId="4F169081">
            <w:pPr>
              <w:rPr>
                <w:rFonts w:cs="仿宋_GB2312"/>
                <w:color w:val="auto"/>
                <w:sz w:val="24"/>
                <w:szCs w:val="24"/>
                <w:highlight w:val="none"/>
              </w:rPr>
            </w:pPr>
          </w:p>
        </w:tc>
        <w:tc>
          <w:tcPr>
            <w:tcW w:w="1169" w:type="dxa"/>
            <w:vAlign w:val="center"/>
          </w:tcPr>
          <w:p w14:paraId="64A9DF2C">
            <w:pPr>
              <w:rPr>
                <w:rFonts w:cs="仿宋_GB2312"/>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4A21BB39">
            <w:pPr>
              <w:jc w:val="center"/>
              <w:rPr>
                <w:rFonts w:cs="仿宋_GB2312"/>
                <w:color w:val="auto"/>
                <w:sz w:val="24"/>
                <w:szCs w:val="24"/>
                <w:highlight w:val="none"/>
              </w:rPr>
            </w:pPr>
            <w:r>
              <w:rPr>
                <w:rFonts w:hint="eastAsia" w:cs="仿宋_GB2312"/>
                <w:color w:val="auto"/>
                <w:sz w:val="24"/>
                <w:szCs w:val="24"/>
                <w:highlight w:val="none"/>
              </w:rPr>
              <w:t>2</w:t>
            </w:r>
          </w:p>
        </w:tc>
        <w:tc>
          <w:tcPr>
            <w:tcW w:w="1381" w:type="dxa"/>
            <w:vAlign w:val="center"/>
          </w:tcPr>
          <w:p w14:paraId="7CA4B3F3">
            <w:pPr>
              <w:rPr>
                <w:rFonts w:cs="仿宋_GB2312"/>
                <w:color w:val="auto"/>
                <w:sz w:val="24"/>
                <w:szCs w:val="24"/>
                <w:highlight w:val="none"/>
              </w:rPr>
            </w:pPr>
          </w:p>
        </w:tc>
        <w:tc>
          <w:tcPr>
            <w:tcW w:w="1381" w:type="dxa"/>
            <w:vAlign w:val="center"/>
          </w:tcPr>
          <w:p w14:paraId="59CCECB1">
            <w:pPr>
              <w:rPr>
                <w:rFonts w:cs="仿宋_GB2312"/>
                <w:color w:val="auto"/>
                <w:sz w:val="24"/>
                <w:szCs w:val="24"/>
                <w:highlight w:val="none"/>
              </w:rPr>
            </w:pPr>
          </w:p>
        </w:tc>
        <w:tc>
          <w:tcPr>
            <w:tcW w:w="1381" w:type="dxa"/>
            <w:vAlign w:val="center"/>
          </w:tcPr>
          <w:p w14:paraId="4E8043C4">
            <w:pPr>
              <w:rPr>
                <w:rFonts w:cs="仿宋_GB2312"/>
                <w:color w:val="auto"/>
                <w:sz w:val="24"/>
                <w:szCs w:val="24"/>
                <w:highlight w:val="none"/>
              </w:rPr>
            </w:pPr>
          </w:p>
        </w:tc>
        <w:tc>
          <w:tcPr>
            <w:tcW w:w="1522" w:type="dxa"/>
            <w:vAlign w:val="center"/>
          </w:tcPr>
          <w:p w14:paraId="2E195778">
            <w:pPr>
              <w:rPr>
                <w:rFonts w:cs="仿宋_GB2312"/>
                <w:color w:val="auto"/>
                <w:sz w:val="24"/>
                <w:szCs w:val="24"/>
                <w:highlight w:val="none"/>
              </w:rPr>
            </w:pPr>
          </w:p>
        </w:tc>
        <w:tc>
          <w:tcPr>
            <w:tcW w:w="1568" w:type="dxa"/>
            <w:vAlign w:val="center"/>
          </w:tcPr>
          <w:p w14:paraId="49A8CC13">
            <w:pPr>
              <w:rPr>
                <w:rFonts w:cs="仿宋_GB2312"/>
                <w:color w:val="auto"/>
                <w:sz w:val="24"/>
                <w:szCs w:val="24"/>
                <w:highlight w:val="none"/>
              </w:rPr>
            </w:pPr>
          </w:p>
        </w:tc>
        <w:tc>
          <w:tcPr>
            <w:tcW w:w="1169" w:type="dxa"/>
            <w:vAlign w:val="center"/>
          </w:tcPr>
          <w:p w14:paraId="60A21668">
            <w:pPr>
              <w:rPr>
                <w:rFonts w:cs="仿宋_GB2312"/>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4428D324">
            <w:pPr>
              <w:jc w:val="center"/>
              <w:rPr>
                <w:rFonts w:cs="仿宋_GB2312"/>
                <w:color w:val="auto"/>
                <w:sz w:val="24"/>
                <w:szCs w:val="24"/>
                <w:highlight w:val="none"/>
              </w:rPr>
            </w:pPr>
            <w:r>
              <w:rPr>
                <w:rFonts w:hint="eastAsia" w:cs="仿宋_GB2312"/>
                <w:color w:val="auto"/>
                <w:sz w:val="24"/>
                <w:szCs w:val="24"/>
                <w:highlight w:val="none"/>
              </w:rPr>
              <w:t>3</w:t>
            </w:r>
          </w:p>
        </w:tc>
        <w:tc>
          <w:tcPr>
            <w:tcW w:w="1381" w:type="dxa"/>
            <w:vAlign w:val="center"/>
          </w:tcPr>
          <w:p w14:paraId="46AEF6AC">
            <w:pPr>
              <w:rPr>
                <w:rFonts w:cs="仿宋_GB2312"/>
                <w:color w:val="auto"/>
                <w:sz w:val="24"/>
                <w:szCs w:val="24"/>
                <w:highlight w:val="none"/>
              </w:rPr>
            </w:pPr>
          </w:p>
        </w:tc>
        <w:tc>
          <w:tcPr>
            <w:tcW w:w="1381" w:type="dxa"/>
            <w:vAlign w:val="center"/>
          </w:tcPr>
          <w:p w14:paraId="601B0208">
            <w:pPr>
              <w:rPr>
                <w:rFonts w:cs="仿宋_GB2312"/>
                <w:color w:val="auto"/>
                <w:sz w:val="24"/>
                <w:szCs w:val="24"/>
                <w:highlight w:val="none"/>
              </w:rPr>
            </w:pPr>
          </w:p>
        </w:tc>
        <w:tc>
          <w:tcPr>
            <w:tcW w:w="1381" w:type="dxa"/>
            <w:vAlign w:val="center"/>
          </w:tcPr>
          <w:p w14:paraId="56885EE6">
            <w:pPr>
              <w:rPr>
                <w:rFonts w:cs="仿宋_GB2312"/>
                <w:color w:val="auto"/>
                <w:sz w:val="24"/>
                <w:szCs w:val="24"/>
                <w:highlight w:val="none"/>
              </w:rPr>
            </w:pPr>
          </w:p>
        </w:tc>
        <w:tc>
          <w:tcPr>
            <w:tcW w:w="1522" w:type="dxa"/>
            <w:vAlign w:val="center"/>
          </w:tcPr>
          <w:p w14:paraId="00552B19">
            <w:pPr>
              <w:rPr>
                <w:rFonts w:cs="仿宋_GB2312"/>
                <w:color w:val="auto"/>
                <w:sz w:val="24"/>
                <w:szCs w:val="24"/>
                <w:highlight w:val="none"/>
              </w:rPr>
            </w:pPr>
          </w:p>
        </w:tc>
        <w:tc>
          <w:tcPr>
            <w:tcW w:w="1568" w:type="dxa"/>
            <w:vAlign w:val="center"/>
          </w:tcPr>
          <w:p w14:paraId="77BC6128">
            <w:pPr>
              <w:rPr>
                <w:rFonts w:cs="仿宋_GB2312"/>
                <w:color w:val="auto"/>
                <w:sz w:val="24"/>
                <w:szCs w:val="24"/>
                <w:highlight w:val="none"/>
              </w:rPr>
            </w:pPr>
          </w:p>
        </w:tc>
        <w:tc>
          <w:tcPr>
            <w:tcW w:w="1169" w:type="dxa"/>
            <w:vAlign w:val="center"/>
          </w:tcPr>
          <w:p w14:paraId="26162792">
            <w:pPr>
              <w:rPr>
                <w:rFonts w:cs="仿宋_GB2312"/>
                <w:color w:val="auto"/>
                <w:sz w:val="24"/>
                <w:szCs w:val="24"/>
                <w:highlight w:val="none"/>
              </w:rPr>
            </w:pPr>
          </w:p>
        </w:tc>
      </w:tr>
      <w:tr w14:paraId="30484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514F8ED6">
            <w:pPr>
              <w:jc w:val="center"/>
              <w:rPr>
                <w:rFonts w:hint="eastAsia" w:eastAsia="宋体" w:cs="仿宋_GB2312"/>
                <w:color w:val="auto"/>
                <w:sz w:val="24"/>
                <w:szCs w:val="24"/>
                <w:highlight w:val="none"/>
                <w:lang w:val="en-US" w:eastAsia="zh-CN"/>
              </w:rPr>
            </w:pPr>
            <w:r>
              <w:rPr>
                <w:rFonts w:hint="eastAsia" w:cs="仿宋_GB2312"/>
                <w:color w:val="auto"/>
                <w:sz w:val="24"/>
                <w:szCs w:val="24"/>
                <w:highlight w:val="none"/>
                <w:lang w:val="en-US" w:eastAsia="zh-CN"/>
              </w:rPr>
              <w:t>4</w:t>
            </w:r>
          </w:p>
        </w:tc>
        <w:tc>
          <w:tcPr>
            <w:tcW w:w="1381" w:type="dxa"/>
            <w:vAlign w:val="center"/>
          </w:tcPr>
          <w:p w14:paraId="467454B8">
            <w:pPr>
              <w:rPr>
                <w:rFonts w:cs="仿宋_GB2312"/>
                <w:color w:val="auto"/>
                <w:sz w:val="24"/>
                <w:szCs w:val="24"/>
                <w:highlight w:val="none"/>
              </w:rPr>
            </w:pPr>
          </w:p>
        </w:tc>
        <w:tc>
          <w:tcPr>
            <w:tcW w:w="1381" w:type="dxa"/>
            <w:vAlign w:val="center"/>
          </w:tcPr>
          <w:p w14:paraId="7679D2E2">
            <w:pPr>
              <w:rPr>
                <w:rFonts w:cs="仿宋_GB2312"/>
                <w:color w:val="auto"/>
                <w:sz w:val="24"/>
                <w:szCs w:val="24"/>
                <w:highlight w:val="none"/>
              </w:rPr>
            </w:pPr>
          </w:p>
        </w:tc>
        <w:tc>
          <w:tcPr>
            <w:tcW w:w="1381" w:type="dxa"/>
            <w:vAlign w:val="center"/>
          </w:tcPr>
          <w:p w14:paraId="3BDF674D">
            <w:pPr>
              <w:rPr>
                <w:rFonts w:cs="仿宋_GB2312"/>
                <w:color w:val="auto"/>
                <w:sz w:val="24"/>
                <w:szCs w:val="24"/>
                <w:highlight w:val="none"/>
              </w:rPr>
            </w:pPr>
          </w:p>
        </w:tc>
        <w:tc>
          <w:tcPr>
            <w:tcW w:w="1522" w:type="dxa"/>
            <w:vAlign w:val="center"/>
          </w:tcPr>
          <w:p w14:paraId="4065B09A">
            <w:pPr>
              <w:rPr>
                <w:rFonts w:cs="仿宋_GB2312"/>
                <w:color w:val="auto"/>
                <w:sz w:val="24"/>
                <w:szCs w:val="24"/>
                <w:highlight w:val="none"/>
              </w:rPr>
            </w:pPr>
          </w:p>
        </w:tc>
        <w:tc>
          <w:tcPr>
            <w:tcW w:w="1568" w:type="dxa"/>
            <w:vAlign w:val="center"/>
          </w:tcPr>
          <w:p w14:paraId="62D4892D">
            <w:pPr>
              <w:rPr>
                <w:rFonts w:cs="仿宋_GB2312"/>
                <w:color w:val="auto"/>
                <w:sz w:val="24"/>
                <w:szCs w:val="24"/>
                <w:highlight w:val="none"/>
              </w:rPr>
            </w:pPr>
          </w:p>
        </w:tc>
        <w:tc>
          <w:tcPr>
            <w:tcW w:w="1169" w:type="dxa"/>
            <w:vAlign w:val="center"/>
          </w:tcPr>
          <w:p w14:paraId="1DBBFBF7">
            <w:pPr>
              <w:rPr>
                <w:rFonts w:cs="仿宋_GB2312"/>
                <w:color w:val="auto"/>
                <w:sz w:val="24"/>
                <w:szCs w:val="24"/>
                <w:highlight w:val="none"/>
              </w:rPr>
            </w:pPr>
          </w:p>
        </w:tc>
      </w:tr>
      <w:tr w14:paraId="74CC4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trPr>
        <w:tc>
          <w:tcPr>
            <w:tcW w:w="835" w:type="dxa"/>
            <w:vAlign w:val="center"/>
          </w:tcPr>
          <w:p w14:paraId="64C5CB72">
            <w:pPr>
              <w:jc w:val="center"/>
              <w:rPr>
                <w:rFonts w:hint="default" w:cs="仿宋_GB2312"/>
                <w:color w:val="auto"/>
                <w:sz w:val="24"/>
                <w:szCs w:val="24"/>
                <w:highlight w:val="none"/>
                <w:lang w:val="en-US" w:eastAsia="zh-CN"/>
              </w:rPr>
            </w:pPr>
            <w:r>
              <w:rPr>
                <w:rFonts w:hint="eastAsia" w:cs="仿宋_GB2312"/>
                <w:color w:val="auto"/>
                <w:sz w:val="24"/>
                <w:szCs w:val="24"/>
                <w:highlight w:val="none"/>
                <w:lang w:val="en-US" w:eastAsia="zh-CN"/>
              </w:rPr>
              <w:t>5</w:t>
            </w:r>
          </w:p>
        </w:tc>
        <w:tc>
          <w:tcPr>
            <w:tcW w:w="1381" w:type="dxa"/>
            <w:vAlign w:val="center"/>
          </w:tcPr>
          <w:p w14:paraId="50735F91">
            <w:pPr>
              <w:rPr>
                <w:rFonts w:cs="仿宋_GB2312"/>
                <w:color w:val="auto"/>
                <w:sz w:val="24"/>
                <w:szCs w:val="24"/>
                <w:highlight w:val="none"/>
              </w:rPr>
            </w:pPr>
          </w:p>
        </w:tc>
        <w:tc>
          <w:tcPr>
            <w:tcW w:w="1381" w:type="dxa"/>
            <w:vAlign w:val="center"/>
          </w:tcPr>
          <w:p w14:paraId="35131693">
            <w:pPr>
              <w:rPr>
                <w:rFonts w:cs="仿宋_GB2312"/>
                <w:color w:val="auto"/>
                <w:sz w:val="24"/>
                <w:szCs w:val="24"/>
                <w:highlight w:val="none"/>
              </w:rPr>
            </w:pPr>
          </w:p>
        </w:tc>
        <w:tc>
          <w:tcPr>
            <w:tcW w:w="1381" w:type="dxa"/>
            <w:vAlign w:val="center"/>
          </w:tcPr>
          <w:p w14:paraId="3EE07B6C">
            <w:pPr>
              <w:rPr>
                <w:rFonts w:cs="仿宋_GB2312"/>
                <w:color w:val="auto"/>
                <w:sz w:val="24"/>
                <w:szCs w:val="24"/>
                <w:highlight w:val="none"/>
              </w:rPr>
            </w:pPr>
          </w:p>
        </w:tc>
        <w:tc>
          <w:tcPr>
            <w:tcW w:w="1522" w:type="dxa"/>
            <w:vAlign w:val="center"/>
          </w:tcPr>
          <w:p w14:paraId="315D7F2C">
            <w:pPr>
              <w:rPr>
                <w:rFonts w:cs="仿宋_GB2312"/>
                <w:color w:val="auto"/>
                <w:sz w:val="24"/>
                <w:szCs w:val="24"/>
                <w:highlight w:val="none"/>
              </w:rPr>
            </w:pPr>
          </w:p>
        </w:tc>
        <w:tc>
          <w:tcPr>
            <w:tcW w:w="1568" w:type="dxa"/>
            <w:vAlign w:val="center"/>
          </w:tcPr>
          <w:p w14:paraId="7172B17C">
            <w:pPr>
              <w:rPr>
                <w:rFonts w:cs="仿宋_GB2312"/>
                <w:color w:val="auto"/>
                <w:sz w:val="24"/>
                <w:szCs w:val="24"/>
                <w:highlight w:val="none"/>
              </w:rPr>
            </w:pPr>
          </w:p>
        </w:tc>
        <w:tc>
          <w:tcPr>
            <w:tcW w:w="1169" w:type="dxa"/>
            <w:vAlign w:val="center"/>
          </w:tcPr>
          <w:p w14:paraId="6B39C336">
            <w:pPr>
              <w:rPr>
                <w:rFonts w:cs="仿宋_GB2312"/>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835" w:type="dxa"/>
            <w:vAlign w:val="center"/>
          </w:tcPr>
          <w:p w14:paraId="433A34E7">
            <w:pPr>
              <w:jc w:val="center"/>
              <w:rPr>
                <w:rFonts w:cs="仿宋_GB2312"/>
                <w:color w:val="auto"/>
                <w:sz w:val="24"/>
                <w:szCs w:val="24"/>
                <w:highlight w:val="none"/>
              </w:rPr>
            </w:pPr>
            <w:r>
              <w:rPr>
                <w:rFonts w:hint="eastAsia" w:cs="仿宋_GB2312"/>
                <w:color w:val="auto"/>
                <w:sz w:val="24"/>
                <w:szCs w:val="24"/>
                <w:highlight w:val="none"/>
              </w:rPr>
              <w:t>…</w:t>
            </w:r>
          </w:p>
        </w:tc>
        <w:tc>
          <w:tcPr>
            <w:tcW w:w="1381" w:type="dxa"/>
            <w:vAlign w:val="center"/>
          </w:tcPr>
          <w:p w14:paraId="5D94CAA1">
            <w:pPr>
              <w:rPr>
                <w:rFonts w:cs="仿宋_GB2312"/>
                <w:color w:val="auto"/>
                <w:sz w:val="24"/>
                <w:szCs w:val="24"/>
                <w:highlight w:val="none"/>
              </w:rPr>
            </w:pPr>
          </w:p>
        </w:tc>
        <w:tc>
          <w:tcPr>
            <w:tcW w:w="1381" w:type="dxa"/>
            <w:vAlign w:val="center"/>
          </w:tcPr>
          <w:p w14:paraId="48AC7386">
            <w:pPr>
              <w:rPr>
                <w:rFonts w:cs="仿宋_GB2312"/>
                <w:color w:val="auto"/>
                <w:sz w:val="24"/>
                <w:szCs w:val="24"/>
                <w:highlight w:val="none"/>
              </w:rPr>
            </w:pPr>
          </w:p>
        </w:tc>
        <w:tc>
          <w:tcPr>
            <w:tcW w:w="1381" w:type="dxa"/>
            <w:vAlign w:val="center"/>
          </w:tcPr>
          <w:p w14:paraId="20172F35">
            <w:pPr>
              <w:rPr>
                <w:rFonts w:cs="仿宋_GB2312"/>
                <w:color w:val="auto"/>
                <w:sz w:val="24"/>
                <w:szCs w:val="24"/>
                <w:highlight w:val="none"/>
              </w:rPr>
            </w:pPr>
          </w:p>
        </w:tc>
        <w:tc>
          <w:tcPr>
            <w:tcW w:w="1522" w:type="dxa"/>
            <w:vAlign w:val="center"/>
          </w:tcPr>
          <w:p w14:paraId="75CF74D1">
            <w:pPr>
              <w:rPr>
                <w:rFonts w:cs="仿宋_GB2312"/>
                <w:color w:val="auto"/>
                <w:sz w:val="24"/>
                <w:szCs w:val="24"/>
                <w:highlight w:val="none"/>
              </w:rPr>
            </w:pPr>
          </w:p>
        </w:tc>
        <w:tc>
          <w:tcPr>
            <w:tcW w:w="1568" w:type="dxa"/>
            <w:vAlign w:val="center"/>
          </w:tcPr>
          <w:p w14:paraId="52CF4BF0">
            <w:pPr>
              <w:rPr>
                <w:rFonts w:cs="仿宋_GB2312"/>
                <w:color w:val="auto"/>
                <w:sz w:val="24"/>
                <w:szCs w:val="24"/>
                <w:highlight w:val="none"/>
              </w:rPr>
            </w:pPr>
          </w:p>
        </w:tc>
        <w:tc>
          <w:tcPr>
            <w:tcW w:w="1169" w:type="dxa"/>
            <w:vAlign w:val="center"/>
          </w:tcPr>
          <w:p w14:paraId="77C9A88B">
            <w:pPr>
              <w:rPr>
                <w:rFonts w:cs="仿宋_GB2312"/>
                <w:color w:val="auto"/>
                <w:sz w:val="24"/>
                <w:szCs w:val="24"/>
                <w:highlight w:val="none"/>
              </w:rPr>
            </w:pPr>
          </w:p>
        </w:tc>
      </w:tr>
      <w:bookmarkEnd w:id="591"/>
    </w:tbl>
    <w:p w14:paraId="40AB8FFA">
      <w:pPr>
        <w:rPr>
          <w:rFonts w:hint="eastAsia" w:cs="仿宋_GB2312"/>
          <w:color w:val="auto"/>
          <w:szCs w:val="24"/>
          <w:highlight w:val="none"/>
        </w:rPr>
      </w:pPr>
    </w:p>
    <w:p w14:paraId="58FF379C">
      <w:pPr>
        <w:rPr>
          <w:rFonts w:cs="仿宋_GB2312"/>
          <w:color w:val="auto"/>
          <w:sz w:val="21"/>
          <w:szCs w:val="21"/>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须按上表提供相应的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DB99613">
      <w:pPr>
        <w:widowControl/>
        <w:spacing w:before="100" w:beforeAutospacing="1" w:after="100" w:afterAutospacing="1"/>
        <w:rPr>
          <w:rFonts w:cs="Arial"/>
          <w:color w:val="auto"/>
          <w:szCs w:val="21"/>
          <w:highlight w:val="none"/>
        </w:rPr>
      </w:pPr>
    </w:p>
    <w:p w14:paraId="24086818">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2B017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592" w:name="_Toc10454"/>
      <w:bookmarkStart w:id="593" w:name="_Toc28396"/>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592"/>
      <w:bookmarkEnd w:id="593"/>
    </w:p>
    <w:tbl>
      <w:tblPr>
        <w:tblStyle w:val="27"/>
        <w:tblW w:w="9162" w:type="dxa"/>
        <w:tblInd w:w="-3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3"/>
        <w:gridCol w:w="1143"/>
        <w:gridCol w:w="1203"/>
        <w:gridCol w:w="1224"/>
        <w:gridCol w:w="876"/>
        <w:gridCol w:w="1850"/>
        <w:gridCol w:w="1277"/>
        <w:gridCol w:w="816"/>
      </w:tblGrid>
      <w:tr w14:paraId="044E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773" w:type="dxa"/>
            <w:vAlign w:val="center"/>
          </w:tcPr>
          <w:p w14:paraId="27A52654">
            <w:pPr>
              <w:pStyle w:val="44"/>
              <w:jc w:val="center"/>
              <w:rPr>
                <w:color w:val="auto"/>
                <w:highlight w:val="none"/>
              </w:rPr>
            </w:pPr>
            <w:r>
              <w:rPr>
                <w:rFonts w:hint="eastAsia"/>
                <w:color w:val="auto"/>
                <w:highlight w:val="none"/>
              </w:rPr>
              <w:t>序号</w:t>
            </w:r>
          </w:p>
        </w:tc>
        <w:tc>
          <w:tcPr>
            <w:tcW w:w="1143" w:type="dxa"/>
            <w:vAlign w:val="center"/>
          </w:tcPr>
          <w:p w14:paraId="06896F70">
            <w:pPr>
              <w:pStyle w:val="44"/>
              <w:jc w:val="center"/>
              <w:rPr>
                <w:color w:val="auto"/>
                <w:highlight w:val="none"/>
              </w:rPr>
            </w:pPr>
            <w:r>
              <w:rPr>
                <w:rFonts w:hint="eastAsia"/>
                <w:color w:val="auto"/>
                <w:highlight w:val="none"/>
                <w:lang w:val="en-US" w:eastAsia="zh-CN"/>
              </w:rPr>
              <w:t>团队成员</w:t>
            </w:r>
          </w:p>
          <w:p w14:paraId="4131E775">
            <w:pPr>
              <w:pStyle w:val="44"/>
              <w:jc w:val="center"/>
              <w:rPr>
                <w:color w:val="auto"/>
                <w:highlight w:val="none"/>
              </w:rPr>
            </w:pPr>
            <w:r>
              <w:rPr>
                <w:rFonts w:hint="eastAsia"/>
                <w:color w:val="auto"/>
                <w:highlight w:val="none"/>
              </w:rPr>
              <w:t>姓名</w:t>
            </w:r>
          </w:p>
        </w:tc>
        <w:tc>
          <w:tcPr>
            <w:tcW w:w="1203" w:type="dxa"/>
            <w:tcBorders>
              <w:right w:val="single" w:color="auto" w:sz="4" w:space="0"/>
            </w:tcBorders>
            <w:vAlign w:val="center"/>
          </w:tcPr>
          <w:p w14:paraId="5B1E627A">
            <w:pPr>
              <w:pStyle w:val="44"/>
              <w:jc w:val="center"/>
              <w:rPr>
                <w:color w:val="auto"/>
                <w:highlight w:val="none"/>
              </w:rPr>
            </w:pPr>
            <w:r>
              <w:rPr>
                <w:rFonts w:hint="eastAsia"/>
                <w:color w:val="auto"/>
                <w:highlight w:val="none"/>
              </w:rPr>
              <w:t>工作单位</w:t>
            </w:r>
          </w:p>
        </w:tc>
        <w:tc>
          <w:tcPr>
            <w:tcW w:w="1224" w:type="dxa"/>
            <w:tcBorders>
              <w:left w:val="single" w:color="auto" w:sz="4" w:space="0"/>
            </w:tcBorders>
            <w:vAlign w:val="center"/>
          </w:tcPr>
          <w:p w14:paraId="566C9824">
            <w:pPr>
              <w:pStyle w:val="44"/>
              <w:jc w:val="center"/>
              <w:rPr>
                <w:color w:val="auto"/>
                <w:highlight w:val="none"/>
              </w:rPr>
            </w:pPr>
            <w:r>
              <w:rPr>
                <w:rFonts w:hint="eastAsia"/>
                <w:color w:val="auto"/>
                <w:highlight w:val="none"/>
              </w:rPr>
              <w:t>身份证号</w:t>
            </w:r>
          </w:p>
        </w:tc>
        <w:tc>
          <w:tcPr>
            <w:tcW w:w="876" w:type="dxa"/>
            <w:tcBorders>
              <w:left w:val="single" w:color="auto" w:sz="4" w:space="0"/>
            </w:tcBorders>
            <w:vAlign w:val="center"/>
          </w:tcPr>
          <w:p w14:paraId="3241822A">
            <w:pPr>
              <w:pStyle w:val="44"/>
              <w:jc w:val="center"/>
              <w:rPr>
                <w:color w:val="auto"/>
                <w:highlight w:val="none"/>
              </w:rPr>
            </w:pPr>
            <w:r>
              <w:rPr>
                <w:rFonts w:hint="eastAsia"/>
                <w:color w:val="auto"/>
                <w:highlight w:val="none"/>
              </w:rPr>
              <w:t>职称</w:t>
            </w:r>
          </w:p>
        </w:tc>
        <w:tc>
          <w:tcPr>
            <w:tcW w:w="1850" w:type="dxa"/>
            <w:vAlign w:val="center"/>
          </w:tcPr>
          <w:p w14:paraId="57503923">
            <w:pPr>
              <w:pStyle w:val="44"/>
              <w:jc w:val="center"/>
              <w:rPr>
                <w:rFonts w:hint="default" w:eastAsia="宋体"/>
                <w:color w:val="auto"/>
                <w:highlight w:val="none"/>
                <w:lang w:val="en-US" w:eastAsia="zh-CN"/>
              </w:rPr>
            </w:pPr>
            <w:r>
              <w:rPr>
                <w:rFonts w:hint="eastAsia"/>
                <w:color w:val="auto"/>
                <w:highlight w:val="none"/>
                <w:lang w:val="en-US" w:eastAsia="zh-CN"/>
              </w:rPr>
              <w:t>注册证书（岗位证书）名称及编号</w:t>
            </w:r>
          </w:p>
        </w:tc>
        <w:tc>
          <w:tcPr>
            <w:tcW w:w="1277" w:type="dxa"/>
            <w:vAlign w:val="center"/>
          </w:tcPr>
          <w:p w14:paraId="726B2B6A">
            <w:pPr>
              <w:pStyle w:val="44"/>
              <w:jc w:val="center"/>
              <w:rPr>
                <w:color w:val="auto"/>
                <w:highlight w:val="none"/>
              </w:rPr>
            </w:pPr>
            <w:r>
              <w:rPr>
                <w:rFonts w:hint="eastAsia" w:eastAsia="宋体"/>
                <w:color w:val="auto"/>
                <w:highlight w:val="none"/>
                <w:lang w:val="en-US" w:eastAsia="zh-CN"/>
              </w:rPr>
              <w:t>在团队中职务（岗位）</w:t>
            </w:r>
          </w:p>
        </w:tc>
        <w:tc>
          <w:tcPr>
            <w:tcW w:w="816" w:type="dxa"/>
            <w:vAlign w:val="center"/>
          </w:tcPr>
          <w:p w14:paraId="3D92204D">
            <w:pPr>
              <w:pStyle w:val="44"/>
              <w:jc w:val="center"/>
              <w:rPr>
                <w:color w:val="auto"/>
                <w:highlight w:val="none"/>
              </w:rPr>
            </w:pPr>
            <w:r>
              <w:rPr>
                <w:rFonts w:hint="eastAsia"/>
                <w:color w:val="auto"/>
                <w:highlight w:val="none"/>
              </w:rPr>
              <w:t>自有</w:t>
            </w:r>
            <w:r>
              <w:rPr>
                <w:color w:val="auto"/>
                <w:highlight w:val="none"/>
              </w:rPr>
              <w:t>/外聘</w:t>
            </w:r>
          </w:p>
        </w:tc>
      </w:tr>
      <w:tr w14:paraId="31719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96F11C3">
            <w:pPr>
              <w:pStyle w:val="44"/>
              <w:jc w:val="center"/>
              <w:rPr>
                <w:color w:val="auto"/>
                <w:highlight w:val="none"/>
              </w:rPr>
            </w:pPr>
            <w:bookmarkStart w:id="594" w:name="_Toc100090784"/>
            <w:bookmarkStart w:id="595" w:name="_Toc99533292"/>
            <w:r>
              <w:rPr>
                <w:rFonts w:hint="eastAsia"/>
                <w:color w:val="auto"/>
                <w:highlight w:val="none"/>
              </w:rPr>
              <w:t>1</w:t>
            </w:r>
            <w:bookmarkEnd w:id="594"/>
            <w:bookmarkEnd w:id="595"/>
          </w:p>
        </w:tc>
        <w:tc>
          <w:tcPr>
            <w:tcW w:w="1143" w:type="dxa"/>
            <w:vAlign w:val="center"/>
          </w:tcPr>
          <w:p w14:paraId="17E08D36">
            <w:pPr>
              <w:pStyle w:val="44"/>
              <w:jc w:val="center"/>
              <w:rPr>
                <w:color w:val="auto"/>
                <w:highlight w:val="none"/>
              </w:rPr>
            </w:pPr>
          </w:p>
        </w:tc>
        <w:tc>
          <w:tcPr>
            <w:tcW w:w="1203" w:type="dxa"/>
            <w:tcBorders>
              <w:right w:val="single" w:color="auto" w:sz="4" w:space="0"/>
            </w:tcBorders>
            <w:vAlign w:val="center"/>
          </w:tcPr>
          <w:p w14:paraId="210B6FB1">
            <w:pPr>
              <w:pStyle w:val="44"/>
              <w:jc w:val="center"/>
              <w:rPr>
                <w:color w:val="auto"/>
                <w:highlight w:val="none"/>
              </w:rPr>
            </w:pPr>
          </w:p>
        </w:tc>
        <w:tc>
          <w:tcPr>
            <w:tcW w:w="1224" w:type="dxa"/>
            <w:tcBorders>
              <w:left w:val="single" w:color="auto" w:sz="4" w:space="0"/>
            </w:tcBorders>
            <w:vAlign w:val="center"/>
          </w:tcPr>
          <w:p w14:paraId="3462C04F">
            <w:pPr>
              <w:pStyle w:val="44"/>
              <w:jc w:val="center"/>
              <w:rPr>
                <w:color w:val="auto"/>
                <w:highlight w:val="none"/>
              </w:rPr>
            </w:pPr>
          </w:p>
        </w:tc>
        <w:tc>
          <w:tcPr>
            <w:tcW w:w="876" w:type="dxa"/>
            <w:tcBorders>
              <w:left w:val="single" w:color="auto" w:sz="4" w:space="0"/>
            </w:tcBorders>
            <w:vAlign w:val="center"/>
          </w:tcPr>
          <w:p w14:paraId="1BA89E69">
            <w:pPr>
              <w:pStyle w:val="44"/>
              <w:jc w:val="center"/>
              <w:rPr>
                <w:color w:val="auto"/>
                <w:highlight w:val="none"/>
              </w:rPr>
            </w:pPr>
          </w:p>
        </w:tc>
        <w:tc>
          <w:tcPr>
            <w:tcW w:w="1850" w:type="dxa"/>
            <w:vAlign w:val="center"/>
          </w:tcPr>
          <w:p w14:paraId="033DBB1F">
            <w:pPr>
              <w:pStyle w:val="44"/>
              <w:jc w:val="center"/>
              <w:rPr>
                <w:color w:val="auto"/>
                <w:highlight w:val="none"/>
              </w:rPr>
            </w:pPr>
          </w:p>
        </w:tc>
        <w:tc>
          <w:tcPr>
            <w:tcW w:w="1277" w:type="dxa"/>
            <w:vAlign w:val="center"/>
          </w:tcPr>
          <w:p w14:paraId="2148FD62">
            <w:pPr>
              <w:pStyle w:val="44"/>
              <w:jc w:val="center"/>
              <w:rPr>
                <w:color w:val="auto"/>
                <w:highlight w:val="none"/>
              </w:rPr>
            </w:pPr>
          </w:p>
        </w:tc>
        <w:tc>
          <w:tcPr>
            <w:tcW w:w="816" w:type="dxa"/>
            <w:vAlign w:val="center"/>
          </w:tcPr>
          <w:p w14:paraId="73D8F053">
            <w:pPr>
              <w:pStyle w:val="44"/>
              <w:jc w:val="center"/>
              <w:rPr>
                <w:color w:val="auto"/>
                <w:highlight w:val="none"/>
              </w:rPr>
            </w:pPr>
          </w:p>
        </w:tc>
      </w:tr>
      <w:tr w14:paraId="43844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046A6AD6">
            <w:pPr>
              <w:pStyle w:val="44"/>
              <w:jc w:val="center"/>
              <w:rPr>
                <w:color w:val="auto"/>
                <w:highlight w:val="none"/>
              </w:rPr>
            </w:pPr>
            <w:bookmarkStart w:id="596" w:name="_Toc100090785"/>
            <w:bookmarkStart w:id="597" w:name="_Toc99533293"/>
            <w:r>
              <w:rPr>
                <w:rFonts w:hint="eastAsia"/>
                <w:color w:val="auto"/>
                <w:highlight w:val="none"/>
              </w:rPr>
              <w:t>2</w:t>
            </w:r>
            <w:bookmarkEnd w:id="596"/>
            <w:bookmarkEnd w:id="597"/>
          </w:p>
        </w:tc>
        <w:tc>
          <w:tcPr>
            <w:tcW w:w="1143" w:type="dxa"/>
            <w:vAlign w:val="center"/>
          </w:tcPr>
          <w:p w14:paraId="3D8D2A32">
            <w:pPr>
              <w:pStyle w:val="44"/>
              <w:jc w:val="center"/>
              <w:rPr>
                <w:color w:val="auto"/>
                <w:highlight w:val="none"/>
              </w:rPr>
            </w:pPr>
          </w:p>
        </w:tc>
        <w:tc>
          <w:tcPr>
            <w:tcW w:w="1203" w:type="dxa"/>
            <w:tcBorders>
              <w:right w:val="single" w:color="auto" w:sz="4" w:space="0"/>
            </w:tcBorders>
            <w:vAlign w:val="center"/>
          </w:tcPr>
          <w:p w14:paraId="2762151A">
            <w:pPr>
              <w:pStyle w:val="44"/>
              <w:jc w:val="center"/>
              <w:rPr>
                <w:color w:val="auto"/>
                <w:highlight w:val="none"/>
              </w:rPr>
            </w:pPr>
          </w:p>
        </w:tc>
        <w:tc>
          <w:tcPr>
            <w:tcW w:w="1224" w:type="dxa"/>
            <w:tcBorders>
              <w:left w:val="single" w:color="auto" w:sz="4" w:space="0"/>
            </w:tcBorders>
            <w:vAlign w:val="center"/>
          </w:tcPr>
          <w:p w14:paraId="372D6CF0">
            <w:pPr>
              <w:pStyle w:val="44"/>
              <w:jc w:val="center"/>
              <w:rPr>
                <w:color w:val="auto"/>
                <w:highlight w:val="none"/>
              </w:rPr>
            </w:pPr>
          </w:p>
        </w:tc>
        <w:tc>
          <w:tcPr>
            <w:tcW w:w="876" w:type="dxa"/>
            <w:tcBorders>
              <w:left w:val="single" w:color="auto" w:sz="4" w:space="0"/>
            </w:tcBorders>
            <w:vAlign w:val="center"/>
          </w:tcPr>
          <w:p w14:paraId="2BCE8297">
            <w:pPr>
              <w:pStyle w:val="44"/>
              <w:jc w:val="center"/>
              <w:rPr>
                <w:color w:val="auto"/>
                <w:highlight w:val="none"/>
              </w:rPr>
            </w:pPr>
          </w:p>
        </w:tc>
        <w:tc>
          <w:tcPr>
            <w:tcW w:w="1850" w:type="dxa"/>
            <w:vAlign w:val="center"/>
          </w:tcPr>
          <w:p w14:paraId="0DB83334">
            <w:pPr>
              <w:pStyle w:val="44"/>
              <w:jc w:val="center"/>
              <w:rPr>
                <w:color w:val="auto"/>
                <w:highlight w:val="none"/>
              </w:rPr>
            </w:pPr>
          </w:p>
        </w:tc>
        <w:tc>
          <w:tcPr>
            <w:tcW w:w="1277" w:type="dxa"/>
            <w:vAlign w:val="center"/>
          </w:tcPr>
          <w:p w14:paraId="77E48E09">
            <w:pPr>
              <w:pStyle w:val="44"/>
              <w:jc w:val="center"/>
              <w:rPr>
                <w:color w:val="auto"/>
                <w:highlight w:val="none"/>
              </w:rPr>
            </w:pPr>
          </w:p>
        </w:tc>
        <w:tc>
          <w:tcPr>
            <w:tcW w:w="816" w:type="dxa"/>
            <w:vAlign w:val="center"/>
          </w:tcPr>
          <w:p w14:paraId="32CE3B63">
            <w:pPr>
              <w:pStyle w:val="44"/>
              <w:jc w:val="center"/>
              <w:rPr>
                <w:color w:val="auto"/>
                <w:highlight w:val="none"/>
              </w:rPr>
            </w:pPr>
          </w:p>
        </w:tc>
      </w:tr>
      <w:tr w14:paraId="5E7F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6E23E322">
            <w:pPr>
              <w:pStyle w:val="44"/>
              <w:jc w:val="center"/>
              <w:rPr>
                <w:color w:val="auto"/>
                <w:highlight w:val="none"/>
              </w:rPr>
            </w:pPr>
            <w:bookmarkStart w:id="598" w:name="_Toc99533294"/>
            <w:bookmarkStart w:id="599" w:name="_Toc100090786"/>
            <w:r>
              <w:rPr>
                <w:rFonts w:hint="eastAsia"/>
                <w:color w:val="auto"/>
                <w:highlight w:val="none"/>
              </w:rPr>
              <w:t>3</w:t>
            </w:r>
            <w:bookmarkEnd w:id="598"/>
            <w:bookmarkEnd w:id="599"/>
          </w:p>
        </w:tc>
        <w:tc>
          <w:tcPr>
            <w:tcW w:w="1143" w:type="dxa"/>
            <w:vAlign w:val="center"/>
          </w:tcPr>
          <w:p w14:paraId="5622553E">
            <w:pPr>
              <w:pStyle w:val="44"/>
              <w:jc w:val="center"/>
              <w:rPr>
                <w:color w:val="auto"/>
                <w:highlight w:val="none"/>
              </w:rPr>
            </w:pPr>
          </w:p>
        </w:tc>
        <w:tc>
          <w:tcPr>
            <w:tcW w:w="1203" w:type="dxa"/>
            <w:tcBorders>
              <w:right w:val="single" w:color="auto" w:sz="4" w:space="0"/>
            </w:tcBorders>
            <w:vAlign w:val="center"/>
          </w:tcPr>
          <w:p w14:paraId="145347C3">
            <w:pPr>
              <w:pStyle w:val="44"/>
              <w:jc w:val="center"/>
              <w:rPr>
                <w:color w:val="auto"/>
                <w:highlight w:val="none"/>
              </w:rPr>
            </w:pPr>
          </w:p>
        </w:tc>
        <w:tc>
          <w:tcPr>
            <w:tcW w:w="1224" w:type="dxa"/>
            <w:tcBorders>
              <w:left w:val="single" w:color="auto" w:sz="4" w:space="0"/>
            </w:tcBorders>
            <w:vAlign w:val="center"/>
          </w:tcPr>
          <w:p w14:paraId="78C911C0">
            <w:pPr>
              <w:pStyle w:val="44"/>
              <w:jc w:val="center"/>
              <w:rPr>
                <w:color w:val="auto"/>
                <w:highlight w:val="none"/>
              </w:rPr>
            </w:pPr>
          </w:p>
        </w:tc>
        <w:tc>
          <w:tcPr>
            <w:tcW w:w="876" w:type="dxa"/>
            <w:tcBorders>
              <w:left w:val="single" w:color="auto" w:sz="4" w:space="0"/>
            </w:tcBorders>
            <w:vAlign w:val="center"/>
          </w:tcPr>
          <w:p w14:paraId="1632F2FA">
            <w:pPr>
              <w:pStyle w:val="44"/>
              <w:jc w:val="center"/>
              <w:rPr>
                <w:color w:val="auto"/>
                <w:highlight w:val="none"/>
              </w:rPr>
            </w:pPr>
          </w:p>
        </w:tc>
        <w:tc>
          <w:tcPr>
            <w:tcW w:w="1850" w:type="dxa"/>
            <w:vAlign w:val="center"/>
          </w:tcPr>
          <w:p w14:paraId="4AE50BE4">
            <w:pPr>
              <w:pStyle w:val="44"/>
              <w:jc w:val="center"/>
              <w:rPr>
                <w:color w:val="auto"/>
                <w:highlight w:val="none"/>
              </w:rPr>
            </w:pPr>
          </w:p>
        </w:tc>
        <w:tc>
          <w:tcPr>
            <w:tcW w:w="1277" w:type="dxa"/>
            <w:vAlign w:val="center"/>
          </w:tcPr>
          <w:p w14:paraId="107FDE9E">
            <w:pPr>
              <w:pStyle w:val="44"/>
              <w:jc w:val="center"/>
              <w:rPr>
                <w:color w:val="auto"/>
                <w:highlight w:val="none"/>
              </w:rPr>
            </w:pPr>
          </w:p>
        </w:tc>
        <w:tc>
          <w:tcPr>
            <w:tcW w:w="816" w:type="dxa"/>
            <w:vAlign w:val="center"/>
          </w:tcPr>
          <w:p w14:paraId="0FCF0246">
            <w:pPr>
              <w:pStyle w:val="44"/>
              <w:jc w:val="center"/>
              <w:rPr>
                <w:color w:val="auto"/>
                <w:highlight w:val="none"/>
              </w:rPr>
            </w:pPr>
          </w:p>
        </w:tc>
      </w:tr>
      <w:tr w14:paraId="076A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85BF670">
            <w:pPr>
              <w:pStyle w:val="44"/>
              <w:jc w:val="center"/>
              <w:rPr>
                <w:color w:val="auto"/>
                <w:highlight w:val="none"/>
              </w:rPr>
            </w:pPr>
            <w:bookmarkStart w:id="600" w:name="_Toc100090787"/>
            <w:bookmarkStart w:id="601" w:name="_Toc99533295"/>
            <w:r>
              <w:rPr>
                <w:rFonts w:hint="eastAsia"/>
                <w:color w:val="auto"/>
                <w:highlight w:val="none"/>
              </w:rPr>
              <w:t>4</w:t>
            </w:r>
            <w:bookmarkEnd w:id="600"/>
            <w:bookmarkEnd w:id="601"/>
          </w:p>
        </w:tc>
        <w:tc>
          <w:tcPr>
            <w:tcW w:w="1143" w:type="dxa"/>
            <w:vAlign w:val="center"/>
          </w:tcPr>
          <w:p w14:paraId="06A33E5B">
            <w:pPr>
              <w:pStyle w:val="44"/>
              <w:jc w:val="center"/>
              <w:rPr>
                <w:color w:val="auto"/>
                <w:highlight w:val="none"/>
              </w:rPr>
            </w:pPr>
          </w:p>
        </w:tc>
        <w:tc>
          <w:tcPr>
            <w:tcW w:w="1203" w:type="dxa"/>
            <w:tcBorders>
              <w:right w:val="single" w:color="auto" w:sz="4" w:space="0"/>
            </w:tcBorders>
            <w:vAlign w:val="center"/>
          </w:tcPr>
          <w:p w14:paraId="7BBB4E02">
            <w:pPr>
              <w:pStyle w:val="44"/>
              <w:jc w:val="center"/>
              <w:rPr>
                <w:color w:val="auto"/>
                <w:highlight w:val="none"/>
              </w:rPr>
            </w:pPr>
          </w:p>
        </w:tc>
        <w:tc>
          <w:tcPr>
            <w:tcW w:w="1224" w:type="dxa"/>
            <w:tcBorders>
              <w:left w:val="single" w:color="auto" w:sz="4" w:space="0"/>
            </w:tcBorders>
            <w:vAlign w:val="center"/>
          </w:tcPr>
          <w:p w14:paraId="260605CA">
            <w:pPr>
              <w:pStyle w:val="44"/>
              <w:jc w:val="center"/>
              <w:rPr>
                <w:color w:val="auto"/>
                <w:highlight w:val="none"/>
              </w:rPr>
            </w:pPr>
          </w:p>
        </w:tc>
        <w:tc>
          <w:tcPr>
            <w:tcW w:w="876" w:type="dxa"/>
            <w:tcBorders>
              <w:left w:val="single" w:color="auto" w:sz="4" w:space="0"/>
            </w:tcBorders>
            <w:vAlign w:val="center"/>
          </w:tcPr>
          <w:p w14:paraId="55F61FA3">
            <w:pPr>
              <w:pStyle w:val="44"/>
              <w:jc w:val="center"/>
              <w:rPr>
                <w:color w:val="auto"/>
                <w:highlight w:val="none"/>
              </w:rPr>
            </w:pPr>
          </w:p>
        </w:tc>
        <w:tc>
          <w:tcPr>
            <w:tcW w:w="1850" w:type="dxa"/>
            <w:vAlign w:val="center"/>
          </w:tcPr>
          <w:p w14:paraId="05E14483">
            <w:pPr>
              <w:pStyle w:val="44"/>
              <w:jc w:val="center"/>
              <w:rPr>
                <w:color w:val="auto"/>
                <w:highlight w:val="none"/>
              </w:rPr>
            </w:pPr>
          </w:p>
        </w:tc>
        <w:tc>
          <w:tcPr>
            <w:tcW w:w="1277" w:type="dxa"/>
            <w:vAlign w:val="center"/>
          </w:tcPr>
          <w:p w14:paraId="7A6D63FA">
            <w:pPr>
              <w:pStyle w:val="44"/>
              <w:jc w:val="center"/>
              <w:rPr>
                <w:color w:val="auto"/>
                <w:highlight w:val="none"/>
              </w:rPr>
            </w:pPr>
          </w:p>
        </w:tc>
        <w:tc>
          <w:tcPr>
            <w:tcW w:w="816" w:type="dxa"/>
            <w:vAlign w:val="center"/>
          </w:tcPr>
          <w:p w14:paraId="20DFABE1">
            <w:pPr>
              <w:pStyle w:val="44"/>
              <w:jc w:val="center"/>
              <w:rPr>
                <w:color w:val="auto"/>
                <w:highlight w:val="none"/>
              </w:rPr>
            </w:pPr>
          </w:p>
        </w:tc>
      </w:tr>
      <w:tr w14:paraId="5F3F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77" w:hRule="atLeast"/>
        </w:trPr>
        <w:tc>
          <w:tcPr>
            <w:tcW w:w="773" w:type="dxa"/>
            <w:vAlign w:val="center"/>
          </w:tcPr>
          <w:p w14:paraId="6043CD23">
            <w:pPr>
              <w:pStyle w:val="44"/>
              <w:jc w:val="center"/>
              <w:rPr>
                <w:color w:val="auto"/>
                <w:highlight w:val="none"/>
              </w:rPr>
            </w:pPr>
            <w:bookmarkStart w:id="602" w:name="_Toc99533296"/>
            <w:bookmarkStart w:id="603" w:name="_Toc100090788"/>
            <w:r>
              <w:rPr>
                <w:rFonts w:hint="eastAsia"/>
                <w:color w:val="auto"/>
                <w:highlight w:val="none"/>
              </w:rPr>
              <w:t>5</w:t>
            </w:r>
            <w:bookmarkEnd w:id="602"/>
            <w:bookmarkEnd w:id="603"/>
          </w:p>
        </w:tc>
        <w:tc>
          <w:tcPr>
            <w:tcW w:w="1143" w:type="dxa"/>
            <w:vAlign w:val="center"/>
          </w:tcPr>
          <w:p w14:paraId="1A0773CB">
            <w:pPr>
              <w:pStyle w:val="44"/>
              <w:jc w:val="center"/>
              <w:rPr>
                <w:color w:val="auto"/>
                <w:highlight w:val="none"/>
              </w:rPr>
            </w:pPr>
          </w:p>
        </w:tc>
        <w:tc>
          <w:tcPr>
            <w:tcW w:w="1203" w:type="dxa"/>
            <w:tcBorders>
              <w:right w:val="single" w:color="auto" w:sz="4" w:space="0"/>
            </w:tcBorders>
            <w:vAlign w:val="center"/>
          </w:tcPr>
          <w:p w14:paraId="61787A67">
            <w:pPr>
              <w:pStyle w:val="44"/>
              <w:jc w:val="center"/>
              <w:rPr>
                <w:color w:val="auto"/>
                <w:highlight w:val="none"/>
              </w:rPr>
            </w:pPr>
          </w:p>
        </w:tc>
        <w:tc>
          <w:tcPr>
            <w:tcW w:w="1224" w:type="dxa"/>
            <w:tcBorders>
              <w:left w:val="single" w:color="auto" w:sz="4" w:space="0"/>
            </w:tcBorders>
            <w:vAlign w:val="center"/>
          </w:tcPr>
          <w:p w14:paraId="15BBA932">
            <w:pPr>
              <w:pStyle w:val="44"/>
              <w:jc w:val="center"/>
              <w:rPr>
                <w:color w:val="auto"/>
                <w:highlight w:val="none"/>
              </w:rPr>
            </w:pPr>
          </w:p>
        </w:tc>
        <w:tc>
          <w:tcPr>
            <w:tcW w:w="876" w:type="dxa"/>
            <w:tcBorders>
              <w:left w:val="single" w:color="auto" w:sz="4" w:space="0"/>
            </w:tcBorders>
            <w:vAlign w:val="center"/>
          </w:tcPr>
          <w:p w14:paraId="48AABD5E">
            <w:pPr>
              <w:pStyle w:val="44"/>
              <w:jc w:val="center"/>
              <w:rPr>
                <w:color w:val="auto"/>
                <w:highlight w:val="none"/>
              </w:rPr>
            </w:pPr>
          </w:p>
        </w:tc>
        <w:tc>
          <w:tcPr>
            <w:tcW w:w="1850" w:type="dxa"/>
            <w:vAlign w:val="center"/>
          </w:tcPr>
          <w:p w14:paraId="2BC300D7">
            <w:pPr>
              <w:pStyle w:val="44"/>
              <w:jc w:val="center"/>
              <w:rPr>
                <w:color w:val="auto"/>
                <w:highlight w:val="none"/>
              </w:rPr>
            </w:pPr>
          </w:p>
        </w:tc>
        <w:tc>
          <w:tcPr>
            <w:tcW w:w="1277" w:type="dxa"/>
            <w:vAlign w:val="center"/>
          </w:tcPr>
          <w:p w14:paraId="3943C72A">
            <w:pPr>
              <w:pStyle w:val="44"/>
              <w:jc w:val="center"/>
              <w:rPr>
                <w:color w:val="auto"/>
                <w:highlight w:val="none"/>
              </w:rPr>
            </w:pPr>
          </w:p>
        </w:tc>
        <w:tc>
          <w:tcPr>
            <w:tcW w:w="816" w:type="dxa"/>
            <w:vAlign w:val="center"/>
          </w:tcPr>
          <w:p w14:paraId="04141556">
            <w:pPr>
              <w:pStyle w:val="44"/>
              <w:jc w:val="center"/>
              <w:rPr>
                <w:color w:val="auto"/>
                <w:highlight w:val="none"/>
              </w:rPr>
            </w:pPr>
          </w:p>
        </w:tc>
      </w:tr>
      <w:tr w14:paraId="0ED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E74CE0E">
            <w:pPr>
              <w:pStyle w:val="44"/>
              <w:jc w:val="center"/>
              <w:rPr>
                <w:color w:val="auto"/>
                <w:highlight w:val="none"/>
              </w:rPr>
            </w:pPr>
            <w:bookmarkStart w:id="604" w:name="_Toc99533297"/>
            <w:bookmarkStart w:id="605" w:name="_Toc100090789"/>
            <w:r>
              <w:rPr>
                <w:rFonts w:hint="eastAsia"/>
                <w:color w:val="auto"/>
                <w:highlight w:val="none"/>
              </w:rPr>
              <w:t>6</w:t>
            </w:r>
            <w:bookmarkEnd w:id="604"/>
            <w:bookmarkEnd w:id="605"/>
          </w:p>
        </w:tc>
        <w:tc>
          <w:tcPr>
            <w:tcW w:w="1143" w:type="dxa"/>
            <w:vAlign w:val="center"/>
          </w:tcPr>
          <w:p w14:paraId="629198B4">
            <w:pPr>
              <w:pStyle w:val="44"/>
              <w:jc w:val="center"/>
              <w:rPr>
                <w:color w:val="auto"/>
                <w:highlight w:val="none"/>
              </w:rPr>
            </w:pPr>
          </w:p>
        </w:tc>
        <w:tc>
          <w:tcPr>
            <w:tcW w:w="1203" w:type="dxa"/>
            <w:tcBorders>
              <w:right w:val="single" w:color="auto" w:sz="4" w:space="0"/>
            </w:tcBorders>
            <w:vAlign w:val="center"/>
          </w:tcPr>
          <w:p w14:paraId="612B4791">
            <w:pPr>
              <w:pStyle w:val="44"/>
              <w:jc w:val="center"/>
              <w:rPr>
                <w:color w:val="auto"/>
                <w:highlight w:val="none"/>
              </w:rPr>
            </w:pPr>
          </w:p>
        </w:tc>
        <w:tc>
          <w:tcPr>
            <w:tcW w:w="1224" w:type="dxa"/>
            <w:tcBorders>
              <w:left w:val="single" w:color="auto" w:sz="4" w:space="0"/>
            </w:tcBorders>
            <w:vAlign w:val="center"/>
          </w:tcPr>
          <w:p w14:paraId="13596CFC">
            <w:pPr>
              <w:pStyle w:val="44"/>
              <w:jc w:val="center"/>
              <w:rPr>
                <w:color w:val="auto"/>
                <w:highlight w:val="none"/>
              </w:rPr>
            </w:pPr>
          </w:p>
        </w:tc>
        <w:tc>
          <w:tcPr>
            <w:tcW w:w="876" w:type="dxa"/>
            <w:tcBorders>
              <w:left w:val="single" w:color="auto" w:sz="4" w:space="0"/>
            </w:tcBorders>
            <w:vAlign w:val="center"/>
          </w:tcPr>
          <w:p w14:paraId="26E67AC9">
            <w:pPr>
              <w:pStyle w:val="44"/>
              <w:jc w:val="center"/>
              <w:rPr>
                <w:color w:val="auto"/>
                <w:highlight w:val="none"/>
              </w:rPr>
            </w:pPr>
          </w:p>
        </w:tc>
        <w:tc>
          <w:tcPr>
            <w:tcW w:w="1850" w:type="dxa"/>
            <w:vAlign w:val="center"/>
          </w:tcPr>
          <w:p w14:paraId="0134580B">
            <w:pPr>
              <w:pStyle w:val="44"/>
              <w:jc w:val="center"/>
              <w:rPr>
                <w:color w:val="auto"/>
                <w:highlight w:val="none"/>
              </w:rPr>
            </w:pPr>
          </w:p>
        </w:tc>
        <w:tc>
          <w:tcPr>
            <w:tcW w:w="1277" w:type="dxa"/>
            <w:vAlign w:val="center"/>
          </w:tcPr>
          <w:p w14:paraId="6FF03D95">
            <w:pPr>
              <w:pStyle w:val="44"/>
              <w:jc w:val="center"/>
              <w:rPr>
                <w:color w:val="auto"/>
                <w:highlight w:val="none"/>
              </w:rPr>
            </w:pPr>
          </w:p>
        </w:tc>
        <w:tc>
          <w:tcPr>
            <w:tcW w:w="816" w:type="dxa"/>
            <w:vAlign w:val="center"/>
          </w:tcPr>
          <w:p w14:paraId="01F1AED7">
            <w:pPr>
              <w:pStyle w:val="44"/>
              <w:jc w:val="center"/>
              <w:rPr>
                <w:color w:val="auto"/>
                <w:highlight w:val="none"/>
              </w:rPr>
            </w:pPr>
          </w:p>
        </w:tc>
      </w:tr>
      <w:tr w14:paraId="4D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F34A3A2">
            <w:pPr>
              <w:pStyle w:val="44"/>
              <w:jc w:val="center"/>
              <w:rPr>
                <w:color w:val="auto"/>
                <w:highlight w:val="none"/>
              </w:rPr>
            </w:pPr>
            <w:bookmarkStart w:id="606" w:name="_Toc99533298"/>
            <w:bookmarkStart w:id="607" w:name="_Toc100090790"/>
            <w:r>
              <w:rPr>
                <w:rFonts w:hint="eastAsia"/>
                <w:color w:val="auto"/>
                <w:highlight w:val="none"/>
              </w:rPr>
              <w:t>7</w:t>
            </w:r>
            <w:bookmarkEnd w:id="606"/>
            <w:bookmarkEnd w:id="607"/>
          </w:p>
        </w:tc>
        <w:tc>
          <w:tcPr>
            <w:tcW w:w="1143" w:type="dxa"/>
            <w:vAlign w:val="center"/>
          </w:tcPr>
          <w:p w14:paraId="652A7D64">
            <w:pPr>
              <w:pStyle w:val="44"/>
              <w:jc w:val="center"/>
              <w:rPr>
                <w:color w:val="auto"/>
                <w:highlight w:val="none"/>
              </w:rPr>
            </w:pPr>
          </w:p>
        </w:tc>
        <w:tc>
          <w:tcPr>
            <w:tcW w:w="1203" w:type="dxa"/>
            <w:tcBorders>
              <w:right w:val="single" w:color="auto" w:sz="4" w:space="0"/>
            </w:tcBorders>
            <w:vAlign w:val="center"/>
          </w:tcPr>
          <w:p w14:paraId="05008CFD">
            <w:pPr>
              <w:pStyle w:val="44"/>
              <w:jc w:val="center"/>
              <w:rPr>
                <w:color w:val="auto"/>
                <w:highlight w:val="none"/>
              </w:rPr>
            </w:pPr>
          </w:p>
        </w:tc>
        <w:tc>
          <w:tcPr>
            <w:tcW w:w="1224" w:type="dxa"/>
            <w:tcBorders>
              <w:left w:val="single" w:color="auto" w:sz="4" w:space="0"/>
            </w:tcBorders>
            <w:vAlign w:val="center"/>
          </w:tcPr>
          <w:p w14:paraId="3050402F">
            <w:pPr>
              <w:pStyle w:val="44"/>
              <w:jc w:val="center"/>
              <w:rPr>
                <w:color w:val="auto"/>
                <w:highlight w:val="none"/>
              </w:rPr>
            </w:pPr>
          </w:p>
        </w:tc>
        <w:tc>
          <w:tcPr>
            <w:tcW w:w="876" w:type="dxa"/>
            <w:tcBorders>
              <w:left w:val="single" w:color="auto" w:sz="4" w:space="0"/>
            </w:tcBorders>
            <w:vAlign w:val="center"/>
          </w:tcPr>
          <w:p w14:paraId="358C0B3B">
            <w:pPr>
              <w:pStyle w:val="44"/>
              <w:jc w:val="center"/>
              <w:rPr>
                <w:color w:val="auto"/>
                <w:highlight w:val="none"/>
              </w:rPr>
            </w:pPr>
          </w:p>
        </w:tc>
        <w:tc>
          <w:tcPr>
            <w:tcW w:w="1850" w:type="dxa"/>
            <w:vAlign w:val="center"/>
          </w:tcPr>
          <w:p w14:paraId="706D8915">
            <w:pPr>
              <w:pStyle w:val="44"/>
              <w:jc w:val="center"/>
              <w:rPr>
                <w:color w:val="auto"/>
                <w:highlight w:val="none"/>
              </w:rPr>
            </w:pPr>
          </w:p>
        </w:tc>
        <w:tc>
          <w:tcPr>
            <w:tcW w:w="1277" w:type="dxa"/>
            <w:vAlign w:val="center"/>
          </w:tcPr>
          <w:p w14:paraId="5FBF328E">
            <w:pPr>
              <w:pStyle w:val="44"/>
              <w:jc w:val="center"/>
              <w:rPr>
                <w:color w:val="auto"/>
                <w:highlight w:val="none"/>
              </w:rPr>
            </w:pPr>
          </w:p>
        </w:tc>
        <w:tc>
          <w:tcPr>
            <w:tcW w:w="816" w:type="dxa"/>
            <w:vAlign w:val="center"/>
          </w:tcPr>
          <w:p w14:paraId="1DADAFB4">
            <w:pPr>
              <w:pStyle w:val="44"/>
              <w:jc w:val="center"/>
              <w:rPr>
                <w:color w:val="auto"/>
                <w:highlight w:val="none"/>
              </w:rPr>
            </w:pPr>
          </w:p>
        </w:tc>
      </w:tr>
      <w:tr w14:paraId="736D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20C2EDAD">
            <w:pPr>
              <w:pStyle w:val="44"/>
              <w:jc w:val="center"/>
              <w:rPr>
                <w:color w:val="auto"/>
                <w:highlight w:val="none"/>
              </w:rPr>
            </w:pPr>
            <w:bookmarkStart w:id="608" w:name="_Toc100090791"/>
            <w:bookmarkStart w:id="609" w:name="_Toc99533299"/>
            <w:r>
              <w:rPr>
                <w:rFonts w:hint="eastAsia"/>
                <w:color w:val="auto"/>
                <w:highlight w:val="none"/>
              </w:rPr>
              <w:t>8</w:t>
            </w:r>
            <w:bookmarkEnd w:id="608"/>
            <w:bookmarkEnd w:id="609"/>
          </w:p>
        </w:tc>
        <w:tc>
          <w:tcPr>
            <w:tcW w:w="1143" w:type="dxa"/>
            <w:vAlign w:val="center"/>
          </w:tcPr>
          <w:p w14:paraId="4937ABBF">
            <w:pPr>
              <w:pStyle w:val="44"/>
              <w:jc w:val="center"/>
              <w:rPr>
                <w:color w:val="auto"/>
                <w:highlight w:val="none"/>
              </w:rPr>
            </w:pPr>
          </w:p>
        </w:tc>
        <w:tc>
          <w:tcPr>
            <w:tcW w:w="1203" w:type="dxa"/>
            <w:tcBorders>
              <w:right w:val="single" w:color="auto" w:sz="4" w:space="0"/>
            </w:tcBorders>
            <w:vAlign w:val="center"/>
          </w:tcPr>
          <w:p w14:paraId="5907D5C6">
            <w:pPr>
              <w:pStyle w:val="44"/>
              <w:jc w:val="center"/>
              <w:rPr>
                <w:color w:val="auto"/>
                <w:highlight w:val="none"/>
              </w:rPr>
            </w:pPr>
          </w:p>
        </w:tc>
        <w:tc>
          <w:tcPr>
            <w:tcW w:w="1224" w:type="dxa"/>
            <w:tcBorders>
              <w:left w:val="single" w:color="auto" w:sz="4" w:space="0"/>
            </w:tcBorders>
            <w:vAlign w:val="center"/>
          </w:tcPr>
          <w:p w14:paraId="397DE284">
            <w:pPr>
              <w:pStyle w:val="44"/>
              <w:jc w:val="center"/>
              <w:rPr>
                <w:color w:val="auto"/>
                <w:highlight w:val="none"/>
              </w:rPr>
            </w:pPr>
          </w:p>
        </w:tc>
        <w:tc>
          <w:tcPr>
            <w:tcW w:w="876" w:type="dxa"/>
            <w:tcBorders>
              <w:left w:val="single" w:color="auto" w:sz="4" w:space="0"/>
            </w:tcBorders>
            <w:vAlign w:val="center"/>
          </w:tcPr>
          <w:p w14:paraId="2E8853F7">
            <w:pPr>
              <w:pStyle w:val="44"/>
              <w:jc w:val="center"/>
              <w:rPr>
                <w:color w:val="auto"/>
                <w:highlight w:val="none"/>
              </w:rPr>
            </w:pPr>
          </w:p>
        </w:tc>
        <w:tc>
          <w:tcPr>
            <w:tcW w:w="1850" w:type="dxa"/>
            <w:vAlign w:val="center"/>
          </w:tcPr>
          <w:p w14:paraId="32E60044">
            <w:pPr>
              <w:pStyle w:val="44"/>
              <w:jc w:val="center"/>
              <w:rPr>
                <w:color w:val="auto"/>
                <w:highlight w:val="none"/>
              </w:rPr>
            </w:pPr>
          </w:p>
        </w:tc>
        <w:tc>
          <w:tcPr>
            <w:tcW w:w="1277" w:type="dxa"/>
            <w:vAlign w:val="center"/>
          </w:tcPr>
          <w:p w14:paraId="7107F6B0">
            <w:pPr>
              <w:pStyle w:val="44"/>
              <w:jc w:val="center"/>
              <w:rPr>
                <w:color w:val="auto"/>
                <w:highlight w:val="none"/>
              </w:rPr>
            </w:pPr>
          </w:p>
        </w:tc>
        <w:tc>
          <w:tcPr>
            <w:tcW w:w="816" w:type="dxa"/>
            <w:vAlign w:val="center"/>
          </w:tcPr>
          <w:p w14:paraId="5E455759">
            <w:pPr>
              <w:pStyle w:val="44"/>
              <w:jc w:val="center"/>
              <w:rPr>
                <w:color w:val="auto"/>
                <w:highlight w:val="none"/>
              </w:rPr>
            </w:pPr>
          </w:p>
        </w:tc>
      </w:tr>
      <w:tr w14:paraId="71A5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773" w:type="dxa"/>
            <w:vAlign w:val="center"/>
          </w:tcPr>
          <w:p w14:paraId="4C0658B4">
            <w:pPr>
              <w:pStyle w:val="44"/>
              <w:jc w:val="center"/>
              <w:rPr>
                <w:color w:val="auto"/>
                <w:highlight w:val="none"/>
              </w:rPr>
            </w:pPr>
            <w:bookmarkStart w:id="610" w:name="_Toc100090792"/>
            <w:bookmarkStart w:id="611" w:name="_Toc99533300"/>
            <w:r>
              <w:rPr>
                <w:rFonts w:hint="eastAsia"/>
                <w:color w:val="auto"/>
                <w:highlight w:val="none"/>
              </w:rPr>
              <w:t>9</w:t>
            </w:r>
            <w:bookmarkEnd w:id="610"/>
            <w:bookmarkEnd w:id="611"/>
          </w:p>
        </w:tc>
        <w:tc>
          <w:tcPr>
            <w:tcW w:w="1143" w:type="dxa"/>
            <w:vAlign w:val="center"/>
          </w:tcPr>
          <w:p w14:paraId="6A62F423">
            <w:pPr>
              <w:pStyle w:val="44"/>
              <w:jc w:val="center"/>
              <w:rPr>
                <w:color w:val="auto"/>
                <w:highlight w:val="none"/>
              </w:rPr>
            </w:pPr>
          </w:p>
        </w:tc>
        <w:tc>
          <w:tcPr>
            <w:tcW w:w="1203" w:type="dxa"/>
            <w:tcBorders>
              <w:right w:val="single" w:color="auto" w:sz="4" w:space="0"/>
            </w:tcBorders>
            <w:vAlign w:val="center"/>
          </w:tcPr>
          <w:p w14:paraId="651A0213">
            <w:pPr>
              <w:pStyle w:val="44"/>
              <w:jc w:val="center"/>
              <w:rPr>
                <w:color w:val="auto"/>
                <w:highlight w:val="none"/>
              </w:rPr>
            </w:pPr>
          </w:p>
        </w:tc>
        <w:tc>
          <w:tcPr>
            <w:tcW w:w="1224" w:type="dxa"/>
            <w:tcBorders>
              <w:left w:val="single" w:color="auto" w:sz="4" w:space="0"/>
            </w:tcBorders>
            <w:vAlign w:val="center"/>
          </w:tcPr>
          <w:p w14:paraId="4A278517">
            <w:pPr>
              <w:pStyle w:val="44"/>
              <w:jc w:val="center"/>
              <w:rPr>
                <w:color w:val="auto"/>
                <w:highlight w:val="none"/>
              </w:rPr>
            </w:pPr>
          </w:p>
        </w:tc>
        <w:tc>
          <w:tcPr>
            <w:tcW w:w="876" w:type="dxa"/>
            <w:tcBorders>
              <w:left w:val="single" w:color="auto" w:sz="4" w:space="0"/>
            </w:tcBorders>
            <w:vAlign w:val="center"/>
          </w:tcPr>
          <w:p w14:paraId="3F670292">
            <w:pPr>
              <w:pStyle w:val="44"/>
              <w:jc w:val="center"/>
              <w:rPr>
                <w:color w:val="auto"/>
                <w:highlight w:val="none"/>
              </w:rPr>
            </w:pPr>
          </w:p>
        </w:tc>
        <w:tc>
          <w:tcPr>
            <w:tcW w:w="1850" w:type="dxa"/>
            <w:vAlign w:val="center"/>
          </w:tcPr>
          <w:p w14:paraId="00A3D20D">
            <w:pPr>
              <w:pStyle w:val="44"/>
              <w:jc w:val="center"/>
              <w:rPr>
                <w:color w:val="auto"/>
                <w:highlight w:val="none"/>
              </w:rPr>
            </w:pPr>
          </w:p>
        </w:tc>
        <w:tc>
          <w:tcPr>
            <w:tcW w:w="1277" w:type="dxa"/>
            <w:vAlign w:val="center"/>
          </w:tcPr>
          <w:p w14:paraId="6968EA5F">
            <w:pPr>
              <w:pStyle w:val="44"/>
              <w:jc w:val="center"/>
              <w:rPr>
                <w:color w:val="auto"/>
                <w:highlight w:val="none"/>
              </w:rPr>
            </w:pPr>
          </w:p>
        </w:tc>
        <w:tc>
          <w:tcPr>
            <w:tcW w:w="816" w:type="dxa"/>
            <w:vAlign w:val="center"/>
          </w:tcPr>
          <w:p w14:paraId="6E89C893">
            <w:pPr>
              <w:pStyle w:val="44"/>
              <w:jc w:val="center"/>
              <w:rPr>
                <w:color w:val="auto"/>
                <w:highlight w:val="none"/>
              </w:rPr>
            </w:pPr>
          </w:p>
        </w:tc>
      </w:tr>
      <w:tr w14:paraId="0636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89" w:hRule="atLeast"/>
        </w:trPr>
        <w:tc>
          <w:tcPr>
            <w:tcW w:w="773" w:type="dxa"/>
            <w:vAlign w:val="center"/>
          </w:tcPr>
          <w:p w14:paraId="07A94533">
            <w:pPr>
              <w:pStyle w:val="44"/>
              <w:jc w:val="center"/>
              <w:rPr>
                <w:color w:val="auto"/>
                <w:highlight w:val="none"/>
              </w:rPr>
            </w:pPr>
            <w:bookmarkStart w:id="612" w:name="_Toc99533301"/>
            <w:bookmarkStart w:id="613" w:name="_Toc100090793"/>
            <w:r>
              <w:rPr>
                <w:rFonts w:hint="eastAsia"/>
                <w:color w:val="auto"/>
                <w:highlight w:val="none"/>
              </w:rPr>
              <w:t>10</w:t>
            </w:r>
            <w:bookmarkEnd w:id="612"/>
            <w:bookmarkEnd w:id="613"/>
          </w:p>
        </w:tc>
        <w:tc>
          <w:tcPr>
            <w:tcW w:w="1143" w:type="dxa"/>
            <w:vAlign w:val="center"/>
          </w:tcPr>
          <w:p w14:paraId="3DA04C3D">
            <w:pPr>
              <w:pStyle w:val="44"/>
              <w:jc w:val="center"/>
              <w:rPr>
                <w:color w:val="auto"/>
                <w:highlight w:val="none"/>
              </w:rPr>
            </w:pPr>
          </w:p>
        </w:tc>
        <w:tc>
          <w:tcPr>
            <w:tcW w:w="1203" w:type="dxa"/>
            <w:tcBorders>
              <w:right w:val="single" w:color="auto" w:sz="4" w:space="0"/>
            </w:tcBorders>
            <w:vAlign w:val="center"/>
          </w:tcPr>
          <w:p w14:paraId="4BA13044">
            <w:pPr>
              <w:pStyle w:val="44"/>
              <w:jc w:val="center"/>
              <w:rPr>
                <w:color w:val="auto"/>
                <w:highlight w:val="none"/>
              </w:rPr>
            </w:pPr>
          </w:p>
        </w:tc>
        <w:tc>
          <w:tcPr>
            <w:tcW w:w="1224" w:type="dxa"/>
            <w:tcBorders>
              <w:left w:val="single" w:color="auto" w:sz="4" w:space="0"/>
            </w:tcBorders>
            <w:vAlign w:val="center"/>
          </w:tcPr>
          <w:p w14:paraId="16B84266">
            <w:pPr>
              <w:pStyle w:val="44"/>
              <w:jc w:val="center"/>
              <w:rPr>
                <w:color w:val="auto"/>
                <w:highlight w:val="none"/>
              </w:rPr>
            </w:pPr>
          </w:p>
        </w:tc>
        <w:tc>
          <w:tcPr>
            <w:tcW w:w="876" w:type="dxa"/>
            <w:tcBorders>
              <w:left w:val="single" w:color="auto" w:sz="4" w:space="0"/>
            </w:tcBorders>
            <w:vAlign w:val="center"/>
          </w:tcPr>
          <w:p w14:paraId="71FC8978">
            <w:pPr>
              <w:pStyle w:val="44"/>
              <w:jc w:val="center"/>
              <w:rPr>
                <w:color w:val="auto"/>
                <w:highlight w:val="none"/>
              </w:rPr>
            </w:pPr>
          </w:p>
        </w:tc>
        <w:tc>
          <w:tcPr>
            <w:tcW w:w="1850" w:type="dxa"/>
            <w:vAlign w:val="center"/>
          </w:tcPr>
          <w:p w14:paraId="737A59E9">
            <w:pPr>
              <w:pStyle w:val="44"/>
              <w:jc w:val="center"/>
              <w:rPr>
                <w:color w:val="auto"/>
                <w:highlight w:val="none"/>
              </w:rPr>
            </w:pPr>
          </w:p>
        </w:tc>
        <w:tc>
          <w:tcPr>
            <w:tcW w:w="1277" w:type="dxa"/>
            <w:vAlign w:val="center"/>
          </w:tcPr>
          <w:p w14:paraId="292E64B7">
            <w:pPr>
              <w:pStyle w:val="44"/>
              <w:jc w:val="center"/>
              <w:rPr>
                <w:color w:val="auto"/>
                <w:highlight w:val="none"/>
              </w:rPr>
            </w:pPr>
          </w:p>
        </w:tc>
        <w:tc>
          <w:tcPr>
            <w:tcW w:w="816" w:type="dxa"/>
            <w:vAlign w:val="center"/>
          </w:tcPr>
          <w:p w14:paraId="44A42518">
            <w:pPr>
              <w:pStyle w:val="44"/>
              <w:jc w:val="center"/>
              <w:rPr>
                <w:color w:val="auto"/>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注：按竞争性谈判文件要求在本表后附相关人员证书。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color w:val="auto"/>
          <w:highlight w:val="none"/>
        </w:rPr>
      </w:pPr>
      <w:r>
        <w:rPr>
          <w:rFonts w:hint="eastAsia" w:cs="仿宋_GB2312"/>
          <w:color w:val="auto"/>
          <w:sz w:val="21"/>
          <w:szCs w:val="21"/>
          <w:highlight w:val="none"/>
          <w:lang w:val="en-US" w:eastAsia="zh-CN"/>
        </w:rPr>
        <w:t>2.如供应商成交，须按本表项目组成人员操作，不得随意更换。</w:t>
      </w:r>
      <w:r>
        <w:rPr>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14" w:name="_Toc5114"/>
      <w:bookmarkStart w:id="615" w:name="_Toc22364"/>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614"/>
      <w:bookmarkEnd w:id="615"/>
    </w:p>
    <w:p w14:paraId="7EE50E6A">
      <w:pPr>
        <w:rPr>
          <w:rFonts w:cs="仿宋_GB2312"/>
          <w:color w:val="auto"/>
          <w:szCs w:val="24"/>
          <w:highlight w:val="none"/>
        </w:rPr>
      </w:pPr>
      <w:r>
        <w:rPr>
          <w:rFonts w:hint="eastAsia" w:cs="仿宋_GB2312"/>
          <w:color w:val="auto"/>
          <w:szCs w:val="24"/>
          <w:highlight w:val="none"/>
        </w:rPr>
        <w:t xml:space="preserve">项目名称：                                         </w:t>
      </w:r>
    </w:p>
    <w:p w14:paraId="10CF1BE4">
      <w:pPr>
        <w:rPr>
          <w:rFonts w:cs="仿宋_GB2312"/>
          <w:color w:val="auto"/>
          <w:szCs w:val="24"/>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p>
    <w:tbl>
      <w:tblPr>
        <w:tblStyle w:val="27"/>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4"/>
        <w:gridCol w:w="2177"/>
        <w:gridCol w:w="1556"/>
        <w:gridCol w:w="2190"/>
        <w:gridCol w:w="1902"/>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5F892E53">
            <w:pPr>
              <w:pStyle w:val="44"/>
              <w:jc w:val="center"/>
              <w:rPr>
                <w:color w:val="auto"/>
                <w:highlight w:val="none"/>
              </w:rPr>
            </w:pPr>
            <w:r>
              <w:rPr>
                <w:rFonts w:hint="eastAsia"/>
                <w:color w:val="auto"/>
                <w:highlight w:val="none"/>
              </w:rPr>
              <w:t>序号</w:t>
            </w:r>
          </w:p>
        </w:tc>
        <w:tc>
          <w:tcPr>
            <w:tcW w:w="1277" w:type="pct"/>
            <w:vAlign w:val="center"/>
          </w:tcPr>
          <w:p w14:paraId="0C5608DB">
            <w:pPr>
              <w:pStyle w:val="44"/>
              <w:jc w:val="center"/>
              <w:rPr>
                <w:color w:val="auto"/>
                <w:highlight w:val="none"/>
              </w:rPr>
            </w:pPr>
            <w:r>
              <w:rPr>
                <w:rFonts w:hint="eastAsia"/>
                <w:color w:val="auto"/>
                <w:highlight w:val="none"/>
                <w:lang w:val="en-US" w:eastAsia="zh-CN"/>
              </w:rPr>
              <w:t>竞争性谈判</w:t>
            </w:r>
            <w:r>
              <w:rPr>
                <w:rFonts w:hint="eastAsia"/>
                <w:color w:val="auto"/>
                <w:highlight w:val="none"/>
              </w:rPr>
              <w:t>文件技术要求条款</w:t>
            </w:r>
          </w:p>
        </w:tc>
        <w:tc>
          <w:tcPr>
            <w:tcW w:w="913" w:type="pct"/>
            <w:vAlign w:val="center"/>
          </w:tcPr>
          <w:p w14:paraId="0B845CF1">
            <w:pPr>
              <w:pStyle w:val="44"/>
              <w:jc w:val="center"/>
              <w:rPr>
                <w:color w:val="auto"/>
                <w:highlight w:val="none"/>
              </w:rPr>
            </w:pPr>
            <w:r>
              <w:rPr>
                <w:rFonts w:hint="eastAsia"/>
                <w:color w:val="auto"/>
                <w:highlight w:val="none"/>
                <w:lang w:val="en-US" w:eastAsia="zh-CN"/>
              </w:rPr>
              <w:t>响应</w:t>
            </w:r>
            <w:r>
              <w:rPr>
                <w:rFonts w:hint="eastAsia"/>
                <w:color w:val="auto"/>
                <w:highlight w:val="none"/>
              </w:rPr>
              <w:t>文件内容</w:t>
            </w:r>
          </w:p>
          <w:p w14:paraId="4F79E073">
            <w:pPr>
              <w:pStyle w:val="44"/>
              <w:jc w:val="center"/>
              <w:rPr>
                <w:color w:val="auto"/>
                <w:highlight w:val="none"/>
              </w:rPr>
            </w:pPr>
            <w:r>
              <w:rPr>
                <w:rFonts w:hint="eastAsia"/>
                <w:color w:val="auto"/>
                <w:highlight w:val="none"/>
              </w:rPr>
              <w:t>对应简述</w:t>
            </w:r>
          </w:p>
        </w:tc>
        <w:tc>
          <w:tcPr>
            <w:tcW w:w="1285" w:type="pct"/>
            <w:vAlign w:val="center"/>
          </w:tcPr>
          <w:p w14:paraId="4AB4E9C3">
            <w:pPr>
              <w:pStyle w:val="44"/>
              <w:jc w:val="center"/>
              <w:rPr>
                <w:color w:val="auto"/>
                <w:highlight w:val="none"/>
              </w:rPr>
            </w:pPr>
            <w:r>
              <w:rPr>
                <w:rFonts w:hint="eastAsia"/>
                <w:color w:val="auto"/>
                <w:highlight w:val="none"/>
              </w:rPr>
              <w:t>响应情况</w:t>
            </w:r>
          </w:p>
        </w:tc>
        <w:tc>
          <w:tcPr>
            <w:tcW w:w="1116" w:type="pct"/>
            <w:vAlign w:val="center"/>
          </w:tcPr>
          <w:p w14:paraId="09D725B9">
            <w:pPr>
              <w:pStyle w:val="44"/>
              <w:jc w:val="center"/>
              <w:rPr>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29950C57">
            <w:pPr>
              <w:pStyle w:val="44"/>
              <w:jc w:val="center"/>
              <w:rPr>
                <w:color w:val="auto"/>
                <w:highlight w:val="none"/>
              </w:rPr>
            </w:pPr>
            <w:r>
              <w:rPr>
                <w:rFonts w:hint="eastAsia"/>
                <w:color w:val="auto"/>
                <w:highlight w:val="none"/>
              </w:rPr>
              <w:t>1</w:t>
            </w:r>
          </w:p>
        </w:tc>
        <w:tc>
          <w:tcPr>
            <w:tcW w:w="1277" w:type="pct"/>
            <w:vAlign w:val="center"/>
          </w:tcPr>
          <w:p w14:paraId="69B288A0">
            <w:pPr>
              <w:pStyle w:val="44"/>
              <w:jc w:val="center"/>
              <w:rPr>
                <w:color w:val="auto"/>
                <w:highlight w:val="none"/>
              </w:rPr>
            </w:pPr>
            <w:r>
              <w:rPr>
                <w:rFonts w:hint="eastAsia"/>
                <w:color w:val="auto"/>
                <w:highlight w:val="none"/>
              </w:rPr>
              <w:t>*</w:t>
            </w:r>
            <w:r>
              <w:rPr>
                <w:color w:val="auto"/>
                <w:highlight w:val="none"/>
              </w:rPr>
              <w:t>*******</w:t>
            </w:r>
          </w:p>
        </w:tc>
        <w:tc>
          <w:tcPr>
            <w:tcW w:w="913" w:type="pct"/>
            <w:vAlign w:val="center"/>
          </w:tcPr>
          <w:p w14:paraId="0E04AD72">
            <w:pPr>
              <w:pStyle w:val="44"/>
              <w:jc w:val="center"/>
              <w:rPr>
                <w:color w:val="auto"/>
                <w:highlight w:val="none"/>
              </w:rPr>
            </w:pPr>
            <w:r>
              <w:rPr>
                <w:rFonts w:hint="eastAsia"/>
                <w:color w:val="auto"/>
                <w:highlight w:val="none"/>
              </w:rPr>
              <w:t>*</w:t>
            </w:r>
            <w:r>
              <w:rPr>
                <w:color w:val="auto"/>
                <w:highlight w:val="none"/>
              </w:rPr>
              <w:t>*****</w:t>
            </w:r>
          </w:p>
        </w:tc>
        <w:tc>
          <w:tcPr>
            <w:tcW w:w="1285" w:type="pct"/>
            <w:vAlign w:val="center"/>
          </w:tcPr>
          <w:p w14:paraId="585AEA1C">
            <w:pPr>
              <w:pStyle w:val="44"/>
              <w:jc w:val="center"/>
              <w:rPr>
                <w:color w:val="auto"/>
                <w:highlight w:val="none"/>
              </w:rPr>
            </w:pPr>
            <w:r>
              <w:rPr>
                <w:rFonts w:hint="eastAsia"/>
                <w:color w:val="auto"/>
                <w:highlight w:val="none"/>
              </w:rPr>
              <w:t>响应/正偏离/负偏离</w:t>
            </w:r>
          </w:p>
        </w:tc>
        <w:tc>
          <w:tcPr>
            <w:tcW w:w="1116" w:type="pct"/>
            <w:vAlign w:val="center"/>
          </w:tcPr>
          <w:p w14:paraId="02D97874">
            <w:pPr>
              <w:pStyle w:val="44"/>
              <w:jc w:val="center"/>
              <w:rPr>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7" w:type="pct"/>
            <w:vAlign w:val="center"/>
          </w:tcPr>
          <w:p w14:paraId="195B6778">
            <w:pPr>
              <w:pStyle w:val="44"/>
              <w:jc w:val="center"/>
              <w:rPr>
                <w:color w:val="auto"/>
                <w:highlight w:val="none"/>
              </w:rPr>
            </w:pPr>
            <w:r>
              <w:rPr>
                <w:rFonts w:hint="eastAsia"/>
                <w:color w:val="auto"/>
                <w:highlight w:val="none"/>
              </w:rPr>
              <w:t>2</w:t>
            </w:r>
          </w:p>
        </w:tc>
        <w:tc>
          <w:tcPr>
            <w:tcW w:w="1277" w:type="pct"/>
            <w:vAlign w:val="center"/>
          </w:tcPr>
          <w:p w14:paraId="30E52A7F">
            <w:pPr>
              <w:pStyle w:val="44"/>
              <w:jc w:val="center"/>
              <w:rPr>
                <w:color w:val="auto"/>
                <w:highlight w:val="none"/>
              </w:rPr>
            </w:pPr>
            <w:r>
              <w:rPr>
                <w:rFonts w:hint="eastAsia"/>
                <w:color w:val="auto"/>
                <w:highlight w:val="none"/>
              </w:rPr>
              <w:t>*</w:t>
            </w:r>
            <w:r>
              <w:rPr>
                <w:color w:val="auto"/>
                <w:highlight w:val="none"/>
              </w:rPr>
              <w:t>*******</w:t>
            </w:r>
          </w:p>
        </w:tc>
        <w:tc>
          <w:tcPr>
            <w:tcW w:w="913" w:type="pct"/>
            <w:vAlign w:val="center"/>
          </w:tcPr>
          <w:p w14:paraId="29A6C1E1">
            <w:pPr>
              <w:pStyle w:val="44"/>
              <w:jc w:val="center"/>
              <w:rPr>
                <w:color w:val="auto"/>
                <w:highlight w:val="none"/>
              </w:rPr>
            </w:pPr>
            <w:r>
              <w:rPr>
                <w:rFonts w:hint="eastAsia"/>
                <w:color w:val="auto"/>
                <w:highlight w:val="none"/>
              </w:rPr>
              <w:t>*</w:t>
            </w:r>
            <w:r>
              <w:rPr>
                <w:color w:val="auto"/>
                <w:highlight w:val="none"/>
              </w:rPr>
              <w:t>*****</w:t>
            </w:r>
          </w:p>
        </w:tc>
        <w:tc>
          <w:tcPr>
            <w:tcW w:w="1285" w:type="pct"/>
            <w:vAlign w:val="center"/>
          </w:tcPr>
          <w:p w14:paraId="5D92E460">
            <w:pPr>
              <w:pStyle w:val="44"/>
              <w:jc w:val="center"/>
              <w:rPr>
                <w:color w:val="auto"/>
                <w:highlight w:val="none"/>
              </w:rPr>
            </w:pPr>
            <w:r>
              <w:rPr>
                <w:rFonts w:hint="eastAsia"/>
                <w:color w:val="auto"/>
                <w:highlight w:val="none"/>
              </w:rPr>
              <w:t>响应/正偏离/负偏离</w:t>
            </w:r>
          </w:p>
        </w:tc>
        <w:tc>
          <w:tcPr>
            <w:tcW w:w="1116" w:type="pct"/>
            <w:vAlign w:val="center"/>
          </w:tcPr>
          <w:p w14:paraId="63E16449">
            <w:pPr>
              <w:pStyle w:val="44"/>
              <w:jc w:val="center"/>
              <w:rPr>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shd w:val="clear" w:color="auto" w:fill="auto"/>
            <w:vAlign w:val="center"/>
          </w:tcPr>
          <w:p w14:paraId="4C45FE18">
            <w:pPr>
              <w:pStyle w:val="44"/>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3</w:t>
            </w:r>
          </w:p>
        </w:tc>
        <w:tc>
          <w:tcPr>
            <w:tcW w:w="1277" w:type="pct"/>
            <w:shd w:val="clear" w:color="auto" w:fill="auto"/>
            <w:vAlign w:val="center"/>
          </w:tcPr>
          <w:p w14:paraId="6D1DD644">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913" w:type="pct"/>
            <w:shd w:val="clear" w:color="auto" w:fill="auto"/>
            <w:vAlign w:val="center"/>
          </w:tcPr>
          <w:p w14:paraId="2982168B">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285" w:type="pct"/>
            <w:shd w:val="clear" w:color="auto" w:fill="auto"/>
            <w:vAlign w:val="center"/>
          </w:tcPr>
          <w:p w14:paraId="78EC7D09">
            <w:pPr>
              <w:pStyle w:val="4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响应/正偏离/负偏离</w:t>
            </w:r>
          </w:p>
        </w:tc>
        <w:tc>
          <w:tcPr>
            <w:tcW w:w="1116" w:type="pct"/>
            <w:vAlign w:val="center"/>
          </w:tcPr>
          <w:p w14:paraId="46369488">
            <w:pPr>
              <w:pStyle w:val="44"/>
              <w:jc w:val="center"/>
              <w:rPr>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3874C19">
            <w:pPr>
              <w:pStyle w:val="44"/>
              <w:jc w:val="center"/>
              <w:rPr>
                <w:color w:val="auto"/>
                <w:highlight w:val="none"/>
              </w:rPr>
            </w:pPr>
          </w:p>
        </w:tc>
        <w:tc>
          <w:tcPr>
            <w:tcW w:w="1277" w:type="pct"/>
            <w:vAlign w:val="center"/>
          </w:tcPr>
          <w:p w14:paraId="529041E2">
            <w:pPr>
              <w:pStyle w:val="44"/>
              <w:jc w:val="center"/>
              <w:rPr>
                <w:color w:val="auto"/>
                <w:highlight w:val="none"/>
              </w:rPr>
            </w:pPr>
          </w:p>
        </w:tc>
        <w:tc>
          <w:tcPr>
            <w:tcW w:w="913" w:type="pct"/>
            <w:vAlign w:val="center"/>
          </w:tcPr>
          <w:p w14:paraId="301E476D">
            <w:pPr>
              <w:pStyle w:val="44"/>
              <w:jc w:val="center"/>
              <w:rPr>
                <w:color w:val="auto"/>
                <w:highlight w:val="none"/>
              </w:rPr>
            </w:pPr>
          </w:p>
        </w:tc>
        <w:tc>
          <w:tcPr>
            <w:tcW w:w="1285" w:type="pct"/>
            <w:vAlign w:val="center"/>
          </w:tcPr>
          <w:p w14:paraId="06F8AED7">
            <w:pPr>
              <w:pStyle w:val="44"/>
              <w:jc w:val="center"/>
              <w:rPr>
                <w:color w:val="auto"/>
                <w:highlight w:val="none"/>
              </w:rPr>
            </w:pPr>
          </w:p>
        </w:tc>
        <w:tc>
          <w:tcPr>
            <w:tcW w:w="1116" w:type="pct"/>
            <w:vAlign w:val="center"/>
          </w:tcPr>
          <w:p w14:paraId="0CE9DF45">
            <w:pPr>
              <w:pStyle w:val="44"/>
              <w:jc w:val="center"/>
              <w:rPr>
                <w:color w:val="auto"/>
                <w:highlight w:val="none"/>
              </w:rPr>
            </w:pPr>
          </w:p>
        </w:tc>
      </w:tr>
      <w:tr w14:paraId="6C8639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1" w:hRule="atLeast"/>
        </w:trPr>
        <w:tc>
          <w:tcPr>
            <w:tcW w:w="407" w:type="pct"/>
            <w:vAlign w:val="center"/>
          </w:tcPr>
          <w:p w14:paraId="5ECFDF6B">
            <w:pPr>
              <w:pStyle w:val="44"/>
              <w:jc w:val="center"/>
              <w:rPr>
                <w:color w:val="auto"/>
                <w:highlight w:val="none"/>
              </w:rPr>
            </w:pPr>
          </w:p>
        </w:tc>
        <w:tc>
          <w:tcPr>
            <w:tcW w:w="1277" w:type="pct"/>
            <w:vAlign w:val="center"/>
          </w:tcPr>
          <w:p w14:paraId="2BFBC98E">
            <w:pPr>
              <w:pStyle w:val="44"/>
              <w:jc w:val="center"/>
              <w:rPr>
                <w:color w:val="auto"/>
                <w:highlight w:val="none"/>
              </w:rPr>
            </w:pPr>
          </w:p>
        </w:tc>
        <w:tc>
          <w:tcPr>
            <w:tcW w:w="913" w:type="pct"/>
            <w:vAlign w:val="center"/>
          </w:tcPr>
          <w:p w14:paraId="7B8E769B">
            <w:pPr>
              <w:pStyle w:val="44"/>
              <w:jc w:val="center"/>
              <w:rPr>
                <w:color w:val="auto"/>
                <w:highlight w:val="none"/>
              </w:rPr>
            </w:pPr>
          </w:p>
        </w:tc>
        <w:tc>
          <w:tcPr>
            <w:tcW w:w="1285" w:type="pct"/>
            <w:vAlign w:val="center"/>
          </w:tcPr>
          <w:p w14:paraId="3EBF2A71">
            <w:pPr>
              <w:pStyle w:val="44"/>
              <w:jc w:val="center"/>
              <w:rPr>
                <w:color w:val="auto"/>
                <w:highlight w:val="none"/>
              </w:rPr>
            </w:pPr>
          </w:p>
        </w:tc>
        <w:tc>
          <w:tcPr>
            <w:tcW w:w="1116" w:type="pct"/>
            <w:vAlign w:val="center"/>
          </w:tcPr>
          <w:p w14:paraId="070B01FC">
            <w:pPr>
              <w:pStyle w:val="44"/>
              <w:jc w:val="center"/>
              <w:rPr>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4E75B4E6">
            <w:pPr>
              <w:pStyle w:val="44"/>
              <w:jc w:val="center"/>
              <w:rPr>
                <w:color w:val="auto"/>
                <w:highlight w:val="none"/>
              </w:rPr>
            </w:pPr>
          </w:p>
        </w:tc>
        <w:tc>
          <w:tcPr>
            <w:tcW w:w="1277" w:type="pct"/>
            <w:vAlign w:val="center"/>
          </w:tcPr>
          <w:p w14:paraId="77107295">
            <w:pPr>
              <w:pStyle w:val="44"/>
              <w:jc w:val="center"/>
              <w:rPr>
                <w:color w:val="auto"/>
                <w:highlight w:val="none"/>
              </w:rPr>
            </w:pPr>
          </w:p>
        </w:tc>
        <w:tc>
          <w:tcPr>
            <w:tcW w:w="913" w:type="pct"/>
            <w:vAlign w:val="center"/>
          </w:tcPr>
          <w:p w14:paraId="4D01D78E">
            <w:pPr>
              <w:pStyle w:val="44"/>
              <w:jc w:val="center"/>
              <w:rPr>
                <w:color w:val="auto"/>
                <w:highlight w:val="none"/>
              </w:rPr>
            </w:pPr>
          </w:p>
        </w:tc>
        <w:tc>
          <w:tcPr>
            <w:tcW w:w="1285" w:type="pct"/>
            <w:vAlign w:val="center"/>
          </w:tcPr>
          <w:p w14:paraId="6D546857">
            <w:pPr>
              <w:pStyle w:val="44"/>
              <w:jc w:val="center"/>
              <w:rPr>
                <w:color w:val="auto"/>
                <w:highlight w:val="none"/>
              </w:rPr>
            </w:pPr>
          </w:p>
        </w:tc>
        <w:tc>
          <w:tcPr>
            <w:tcW w:w="1116" w:type="pct"/>
            <w:vAlign w:val="center"/>
          </w:tcPr>
          <w:p w14:paraId="2E1B7D0B">
            <w:pPr>
              <w:pStyle w:val="44"/>
              <w:jc w:val="center"/>
              <w:rPr>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7" w:type="pct"/>
            <w:vAlign w:val="center"/>
          </w:tcPr>
          <w:p w14:paraId="6AF16AFE">
            <w:pPr>
              <w:pStyle w:val="44"/>
              <w:jc w:val="center"/>
              <w:rPr>
                <w:color w:val="auto"/>
                <w:highlight w:val="none"/>
              </w:rPr>
            </w:pPr>
          </w:p>
        </w:tc>
        <w:tc>
          <w:tcPr>
            <w:tcW w:w="1277" w:type="pct"/>
            <w:vAlign w:val="center"/>
          </w:tcPr>
          <w:p w14:paraId="5C7E043B">
            <w:pPr>
              <w:pStyle w:val="44"/>
              <w:jc w:val="center"/>
              <w:rPr>
                <w:color w:val="auto"/>
                <w:highlight w:val="none"/>
              </w:rPr>
            </w:pPr>
          </w:p>
        </w:tc>
        <w:tc>
          <w:tcPr>
            <w:tcW w:w="913" w:type="pct"/>
            <w:vAlign w:val="center"/>
          </w:tcPr>
          <w:p w14:paraId="64166C7A">
            <w:pPr>
              <w:pStyle w:val="44"/>
              <w:jc w:val="center"/>
              <w:rPr>
                <w:color w:val="auto"/>
                <w:highlight w:val="none"/>
              </w:rPr>
            </w:pPr>
          </w:p>
        </w:tc>
        <w:tc>
          <w:tcPr>
            <w:tcW w:w="1285" w:type="pct"/>
            <w:vAlign w:val="center"/>
          </w:tcPr>
          <w:p w14:paraId="2817CCE5">
            <w:pPr>
              <w:pStyle w:val="44"/>
              <w:jc w:val="center"/>
              <w:rPr>
                <w:color w:val="auto"/>
                <w:highlight w:val="none"/>
              </w:rPr>
            </w:pPr>
          </w:p>
        </w:tc>
        <w:tc>
          <w:tcPr>
            <w:tcW w:w="1116" w:type="pct"/>
            <w:vAlign w:val="center"/>
          </w:tcPr>
          <w:p w14:paraId="184E3F96">
            <w:pPr>
              <w:pStyle w:val="44"/>
              <w:jc w:val="center"/>
              <w:rPr>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7" w:type="pct"/>
            <w:vAlign w:val="center"/>
          </w:tcPr>
          <w:p w14:paraId="0D811F11">
            <w:pPr>
              <w:pStyle w:val="44"/>
              <w:jc w:val="center"/>
              <w:rPr>
                <w:color w:val="auto"/>
                <w:highlight w:val="none"/>
              </w:rPr>
            </w:pPr>
            <w:r>
              <w:rPr>
                <w:rFonts w:hint="eastAsia"/>
                <w:color w:val="auto"/>
                <w:highlight w:val="none"/>
              </w:rPr>
              <w:t>……</w:t>
            </w:r>
          </w:p>
        </w:tc>
        <w:tc>
          <w:tcPr>
            <w:tcW w:w="1277" w:type="pct"/>
            <w:vAlign w:val="center"/>
          </w:tcPr>
          <w:p w14:paraId="7D0AF02A">
            <w:pPr>
              <w:pStyle w:val="44"/>
              <w:jc w:val="center"/>
              <w:rPr>
                <w:color w:val="auto"/>
                <w:highlight w:val="none"/>
              </w:rPr>
            </w:pPr>
            <w:r>
              <w:rPr>
                <w:rFonts w:hint="eastAsia"/>
                <w:color w:val="auto"/>
                <w:highlight w:val="none"/>
              </w:rPr>
              <w:t>…………</w:t>
            </w:r>
          </w:p>
        </w:tc>
        <w:tc>
          <w:tcPr>
            <w:tcW w:w="913" w:type="pct"/>
            <w:vAlign w:val="center"/>
          </w:tcPr>
          <w:p w14:paraId="6EC8C4F3">
            <w:pPr>
              <w:pStyle w:val="44"/>
              <w:jc w:val="center"/>
              <w:rPr>
                <w:color w:val="auto"/>
                <w:highlight w:val="none"/>
              </w:rPr>
            </w:pPr>
            <w:r>
              <w:rPr>
                <w:rFonts w:hint="eastAsia"/>
                <w:color w:val="auto"/>
                <w:highlight w:val="none"/>
              </w:rPr>
              <w:t>………………</w:t>
            </w:r>
          </w:p>
        </w:tc>
        <w:tc>
          <w:tcPr>
            <w:tcW w:w="1285" w:type="pct"/>
            <w:vAlign w:val="center"/>
          </w:tcPr>
          <w:p w14:paraId="59EB3DF9">
            <w:pPr>
              <w:pStyle w:val="44"/>
              <w:jc w:val="center"/>
              <w:rPr>
                <w:color w:val="auto"/>
                <w:highlight w:val="none"/>
              </w:rPr>
            </w:pPr>
            <w:r>
              <w:rPr>
                <w:rFonts w:hint="eastAsia"/>
                <w:color w:val="auto"/>
                <w:highlight w:val="none"/>
              </w:rPr>
              <w:t>…………</w:t>
            </w:r>
          </w:p>
        </w:tc>
        <w:tc>
          <w:tcPr>
            <w:tcW w:w="1116" w:type="pct"/>
            <w:vAlign w:val="center"/>
          </w:tcPr>
          <w:p w14:paraId="1BF96619">
            <w:pPr>
              <w:pStyle w:val="44"/>
              <w:jc w:val="center"/>
              <w:rPr>
                <w:color w:val="auto"/>
                <w:highlight w:val="none"/>
              </w:rPr>
            </w:pPr>
          </w:p>
        </w:tc>
      </w:tr>
    </w:tbl>
    <w:p w14:paraId="12AEBD40">
      <w:pPr>
        <w:ind w:firstLine="480" w:firstLineChars="200"/>
        <w:rPr>
          <w:rFonts w:cs="仿宋_GB2312"/>
          <w:color w:val="auto"/>
          <w:szCs w:val="24"/>
          <w:highlight w:val="none"/>
        </w:rPr>
      </w:pPr>
    </w:p>
    <w:p w14:paraId="71C6318B">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66182CD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414C3B01">
      <w:pPr>
        <w:ind w:firstLine="420"/>
        <w:rPr>
          <w:rFonts w:cs="仿宋_GB2312"/>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竞争性谈判</w:t>
      </w:r>
      <w:r>
        <w:rPr>
          <w:rFonts w:hint="eastAsia" w:cs="仿宋_GB2312"/>
          <w:color w:val="auto"/>
          <w:sz w:val="21"/>
          <w:szCs w:val="21"/>
          <w:highlight w:val="none"/>
        </w:rPr>
        <w:t>文件“第三章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1.“竞争性谈判文件技术要求条款”栏应详细列明竞争性谈判文件中的技术要求。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2.“响应文件内容对应简述”栏填写供应商对竞争性谈判文件提出的技术条款作出的明确响应，并列明具体响应数值或内容，只注明符合、满足等无具体内容表述的，将视为未实质性满足竞争性谈判文件要求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49A1A5E5">
      <w:pPr>
        <w:ind w:firstLine="420"/>
        <w:rPr>
          <w:rFonts w:cs="仿宋_GB2312"/>
          <w:color w:val="auto"/>
          <w:sz w:val="21"/>
          <w:szCs w:val="21"/>
          <w:highlight w:val="none"/>
        </w:rPr>
      </w:pPr>
      <w:r>
        <w:rPr>
          <w:rFonts w:hint="eastAsia" w:cs="仿宋_GB2312"/>
          <w:color w:val="auto"/>
          <w:sz w:val="21"/>
          <w:szCs w:val="21"/>
          <w:highlight w:val="none"/>
          <w:lang w:val="en-US" w:eastAsia="zh-CN"/>
        </w:rPr>
        <w:t>5.对竞争性谈判文件中的所有技术要求，除本表所列明的所有偏离外，均视作供应商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 w:val="21"/>
          <w:szCs w:val="21"/>
          <w:highlight w:val="none"/>
        </w:rPr>
        <w:br w:type="page"/>
      </w:r>
    </w:p>
    <w:p w14:paraId="600EA7EE">
      <w:pPr>
        <w:pStyle w:val="15"/>
        <w:spacing w:line="360" w:lineRule="auto"/>
        <w:jc w:val="center"/>
        <w:rPr>
          <w:rFonts w:hint="eastAsia" w:ascii="方正小标宋_GBK" w:hAnsi="方正小标宋_GBK" w:eastAsia="方正小标宋_GBK" w:cs="方正小标宋_GBK"/>
          <w:bCs/>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16" w:name="_Toc4419"/>
      <w:bookmarkStart w:id="617" w:name="_Toc29627"/>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616"/>
      <w:bookmarkEnd w:id="617"/>
    </w:p>
    <w:p w14:paraId="3878D3F5">
      <w:pPr>
        <w:pStyle w:val="33"/>
        <w:rPr>
          <w:color w:val="auto"/>
          <w:highlight w:val="none"/>
        </w:rPr>
      </w:pPr>
      <w:r>
        <w:rPr>
          <w:rFonts w:hint="eastAsia"/>
          <w:color w:val="auto"/>
          <w:highlight w:val="none"/>
          <w:lang w:val="en-US" w:eastAsia="zh-CN"/>
        </w:rPr>
        <w:t>供应商</w:t>
      </w:r>
      <w:r>
        <w:rPr>
          <w:rFonts w:hint="eastAsia"/>
          <w:color w:val="auto"/>
          <w:highlight w:val="none"/>
        </w:rPr>
        <w:t>应按照</w:t>
      </w:r>
      <w:r>
        <w:rPr>
          <w:rFonts w:hint="eastAsia"/>
          <w:color w:val="auto"/>
          <w:highlight w:val="none"/>
          <w:lang w:val="en-US" w:eastAsia="zh-CN"/>
        </w:rPr>
        <w:t>竞争性谈判</w:t>
      </w:r>
      <w:r>
        <w:rPr>
          <w:rFonts w:hint="eastAsia"/>
          <w:color w:val="auto"/>
          <w:highlight w:val="none"/>
        </w:rPr>
        <w:t>文件的要求，提供详细的</w:t>
      </w:r>
      <w:r>
        <w:rPr>
          <w:rFonts w:hint="eastAsia"/>
          <w:color w:val="auto"/>
          <w:highlight w:val="none"/>
          <w:lang w:val="en-US" w:eastAsia="zh-CN"/>
        </w:rPr>
        <w:t>供货及相关</w:t>
      </w:r>
      <w:r>
        <w:rPr>
          <w:rFonts w:hint="eastAsia"/>
          <w:color w:val="auto"/>
          <w:highlight w:val="none"/>
        </w:rPr>
        <w:t>服务方案，包括文字描述或图表显示。格式自拟。</w:t>
      </w:r>
    </w:p>
    <w:p w14:paraId="7EE77353">
      <w:pPr>
        <w:pStyle w:val="33"/>
        <w:rPr>
          <w:color w:val="auto"/>
          <w:highlight w:val="none"/>
        </w:rPr>
      </w:pPr>
      <w:r>
        <w:rPr>
          <w:color w:val="auto"/>
          <w:highlight w:val="none"/>
        </w:rPr>
        <w:br w:type="page"/>
      </w:r>
    </w:p>
    <w:p w14:paraId="7AD86D6F">
      <w:pPr>
        <w:pStyle w:val="15"/>
        <w:spacing w:line="360" w:lineRule="auto"/>
        <w:jc w:val="center"/>
        <w:rPr>
          <w:rFonts w:hint="eastAsia" w:cstheme="minorBidi"/>
          <w:b/>
          <w:bCs/>
          <w:color w:val="auto"/>
          <w:kern w:val="2"/>
          <w:sz w:val="44"/>
          <w:szCs w:val="44"/>
          <w:highlight w:val="none"/>
          <w:lang w:val="en-US" w:eastAsia="zh-CN" w:bidi="ar-SA"/>
        </w:rPr>
      </w:pPr>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618" w:name="_Toc20344"/>
      <w:bookmarkStart w:id="619" w:name="_Toc31936"/>
      <w:r>
        <w:rPr>
          <w:rFonts w:hint="eastAsia" w:cstheme="majorBidi"/>
          <w:b/>
          <w:bCs/>
          <w:color w:val="auto"/>
          <w:kern w:val="2"/>
          <w:sz w:val="32"/>
          <w:szCs w:val="32"/>
          <w:highlight w:val="none"/>
          <w:lang w:val="en-US" w:eastAsia="zh-CN" w:bidi="ar-SA"/>
        </w:rPr>
        <w:t>十一、</w:t>
      </w:r>
      <w:r>
        <w:rPr>
          <w:rFonts w:hint="eastAsia" w:eastAsia="宋体" w:asciiTheme="majorHAnsi" w:hAnsiTheme="majorHAnsi" w:cstheme="majorBidi"/>
          <w:b/>
          <w:bCs/>
          <w:color w:val="auto"/>
          <w:kern w:val="2"/>
          <w:sz w:val="32"/>
          <w:szCs w:val="32"/>
          <w:highlight w:val="none"/>
          <w:lang w:val="en-US" w:eastAsia="zh-CN" w:bidi="ar-SA"/>
        </w:rPr>
        <w:t>其他文件</w:t>
      </w:r>
      <w:bookmarkEnd w:id="618"/>
      <w:bookmarkEnd w:id="619"/>
    </w:p>
    <w:p w14:paraId="6EF40482">
      <w:pPr>
        <w:pStyle w:val="33"/>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（一）竞争性谈判</w:t>
      </w:r>
      <w:r>
        <w:rPr>
          <w:rFonts w:hint="eastAsia"/>
          <w:b/>
          <w:bCs/>
          <w:iCs/>
          <w:color w:val="auto"/>
          <w:sz w:val="24"/>
          <w:szCs w:val="24"/>
          <w:highlight w:val="none"/>
          <w:shd w:val="clear" w:color="auto" w:fill="FFFFFF" w:themeFill="background1"/>
          <w:lang w:val="zh-CN" w:eastAsia="zh-CN"/>
        </w:rPr>
        <w:t>文件要求提供的其它商务、技术资料和证明材料；</w:t>
      </w:r>
    </w:p>
    <w:p w14:paraId="1AB0431C">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8"/>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508E63E">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33"/>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33"/>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33"/>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33"/>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33"/>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33"/>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33"/>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33"/>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33"/>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33"/>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33"/>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33"/>
              <w:rPr>
                <w:rFonts w:hint="eastAsia" w:ascii="宋体" w:hAnsi="宋体" w:eastAsia="宋体" w:cs="宋体"/>
                <w:color w:val="auto"/>
                <w:sz w:val="24"/>
                <w:szCs w:val="24"/>
                <w:highlight w:val="none"/>
                <w:vertAlign w:val="baseline"/>
                <w:lang w:val="en-US" w:eastAsia="zh-CN"/>
              </w:rPr>
            </w:pPr>
          </w:p>
        </w:tc>
      </w:tr>
    </w:tbl>
    <w:p w14:paraId="799D11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3"/>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3"/>
        <w:rPr>
          <w:rFonts w:hint="eastAsia" w:ascii="宋体" w:hAnsi="宋体" w:eastAsia="宋体" w:cs="宋体"/>
          <w:color w:val="auto"/>
          <w:sz w:val="24"/>
          <w:szCs w:val="24"/>
          <w:highlight w:val="none"/>
          <w:lang w:val="en-US" w:eastAsia="zh-CN"/>
        </w:rPr>
      </w:pPr>
    </w:p>
    <w:p w14:paraId="7953C59C">
      <w:pPr>
        <w:pStyle w:val="33"/>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3A11A162">
      <w:pPr>
        <w:pStyle w:val="33"/>
        <w:rPr>
          <w:rFonts w:hint="default"/>
          <w:color w:val="auto"/>
          <w:sz w:val="28"/>
          <w:szCs w:val="28"/>
          <w:highlight w:val="none"/>
          <w:lang w:val="en-US" w:eastAsia="zh-CN"/>
        </w:rPr>
      </w:pPr>
    </w:p>
    <w:p w14:paraId="7DF13FE9">
      <w:pPr>
        <w:pStyle w:val="33"/>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1B27B21C">
      <w:pPr>
        <w:pStyle w:val="33"/>
        <w:rPr>
          <w:rFonts w:hint="eastAsia"/>
          <w:color w:val="auto"/>
          <w:highlight w:val="none"/>
        </w:rPr>
      </w:pPr>
    </w:p>
    <w:p w14:paraId="3352B805">
      <w:pPr>
        <w:pStyle w:val="33"/>
        <w:rPr>
          <w:rFonts w:hint="eastAsia"/>
          <w:color w:val="auto"/>
          <w:highlight w:val="none"/>
        </w:rPr>
      </w:pPr>
    </w:p>
    <w:p w14:paraId="19B7C1E0">
      <w:pPr>
        <w:pStyle w:val="33"/>
        <w:rPr>
          <w:rFonts w:hint="eastAsia"/>
          <w:color w:val="auto"/>
          <w:highlight w:val="none"/>
        </w:rPr>
      </w:pPr>
    </w:p>
    <w:bookmarkEnd w:id="520"/>
    <w:p w14:paraId="7CB0AFFA">
      <w:pPr>
        <w:rPr>
          <w:color w:val="auto"/>
          <w:highlight w:val="none"/>
        </w:rPr>
      </w:pPr>
    </w:p>
    <w:bookmarkEnd w:id="620"/>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75237">
    <w:pPr>
      <w:pStyle w:val="17"/>
      <w:spacing w:line="240" w:lineRule="auto"/>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2202"/>
                          </w:sdtPr>
                          <w:sdtContent>
                            <w:p w14:paraId="348BD687">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7011BEB"/>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sdt>
                    <w:sdtPr>
                      <w:id w:val="147462202"/>
                    </w:sdtPr>
                    <w:sdtContent>
                      <w:p w14:paraId="348BD687">
                        <w:pPr>
                          <w:pStyle w:val="17"/>
                          <w:keepNext w:val="0"/>
                          <w:keepLines w:val="0"/>
                          <w:pageBreakBefore w:val="0"/>
                          <w:widowControl w:val="0"/>
                          <w:kinsoku/>
                          <w:wordWrap/>
                          <w:overflowPunct/>
                          <w:topLinePunct w:val="0"/>
                          <w:bidi w:val="0"/>
                          <w:adjustRightInd/>
                          <w:snapToGrid w:val="0"/>
                          <w:spacing w:line="240" w:lineRule="auto"/>
                          <w:jc w:val="center"/>
                          <w:textAlignment w:val="auto"/>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17011BEB"/>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7"/>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7"/>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8C037">
    <w:pPr>
      <w:pStyle w:val="18"/>
      <w:tabs>
        <w:tab w:val="left" w:pos="3120"/>
      </w:tabs>
      <w:spacing w:line="240" w:lineRule="auto"/>
      <w:jc w:val="right"/>
      <w:rPr>
        <w:sz w:val="18"/>
        <w:szCs w:val="18"/>
      </w:rPr>
    </w:pPr>
    <w:r>
      <w:rPr>
        <w:rFonts w:hint="eastAsia"/>
        <w:sz w:val="18"/>
        <w:szCs w:val="18"/>
        <w:lang w:val="en-US" w:eastAsia="zh-CN"/>
      </w:rPr>
      <w:t>兵团政府采购项目</w:t>
    </w:r>
    <w:r>
      <w:rPr>
        <w:rFonts w:hint="eastAsia"/>
        <w:sz w:val="18"/>
        <w:szCs w:val="18"/>
      </w:rPr>
      <w:t>竞争性</w:t>
    </w:r>
    <w:r>
      <w:rPr>
        <w:rFonts w:hint="eastAsia"/>
        <w:sz w:val="18"/>
        <w:szCs w:val="18"/>
        <w:lang w:val="en-US" w:eastAsia="zh-CN"/>
      </w:rPr>
      <w:t>谈判</w:t>
    </w:r>
    <w:r>
      <w:rPr>
        <w:rFonts w:hint="eastAsia"/>
        <w:sz w:val="18"/>
        <w:szCs w:val="18"/>
      </w:rPr>
      <w:t>文件</w:t>
    </w:r>
    <w:r>
      <w:rPr>
        <w:rFonts w:hint="eastAsia"/>
        <w:sz w:val="18"/>
        <w:szCs w:val="18"/>
        <w:lang w:val="en-US" w:eastAsia="zh-CN"/>
      </w:rPr>
      <w:t>示范文本（货物）</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8"/>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 xml:space="preserve"> 兵团政府采购项目竞争性</w:t>
    </w:r>
    <w:r>
      <w:rPr>
        <w:rFonts w:hint="eastAsia" w:cs="宋体"/>
        <w:sz w:val="18"/>
        <w:szCs w:val="18"/>
        <w:lang w:val="en-US" w:eastAsia="zh-CN"/>
      </w:rPr>
      <w:t>谈判</w:t>
    </w:r>
    <w:r>
      <w:rPr>
        <w:rFonts w:hint="eastAsia" w:ascii="宋体" w:hAnsi="宋体" w:eastAsia="宋体" w:cs="宋体"/>
        <w:sz w:val="18"/>
        <w:szCs w:val="18"/>
      </w:rPr>
      <w:t>文件</w:t>
    </w:r>
    <w:r>
      <w:rPr>
        <w:rFonts w:hint="eastAsia" w:ascii="宋体" w:hAnsi="宋体" w:eastAsia="宋体" w:cs="宋体"/>
        <w:sz w:val="18"/>
        <w:szCs w:val="18"/>
        <w:lang w:val="en-US" w:eastAsia="zh-CN"/>
      </w:rPr>
      <w:t>示范文本（货物）</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A0F6431"/>
    <w:multiLevelType w:val="singleLevel"/>
    <w:tmpl w:val="7A0F6431"/>
    <w:lvl w:ilvl="0" w:tentative="0">
      <w:start w:val="1"/>
      <w:numFmt w:val="decimal"/>
      <w:suff w:val="space"/>
      <w:lvlText w:val="%1."/>
      <w:lvlJc w:val="left"/>
    </w:lvl>
  </w:abstractNum>
  <w:num w:numId="1">
    <w:abstractNumId w:val="8"/>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6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JkNTg1OTJkZTA1ZDVhNGYzMmVkNzJiZGI5ZmNhNzAifQ=="/>
  </w:docVars>
  <w:rsids>
    <w:rsidRoot w:val="00DA2E46"/>
    <w:rsid w:val="00010DF5"/>
    <w:rsid w:val="0002050C"/>
    <w:rsid w:val="00031D74"/>
    <w:rsid w:val="00031EDA"/>
    <w:rsid w:val="00035FD6"/>
    <w:rsid w:val="00041275"/>
    <w:rsid w:val="00041E23"/>
    <w:rsid w:val="00057979"/>
    <w:rsid w:val="00062839"/>
    <w:rsid w:val="000640B1"/>
    <w:rsid w:val="0006527E"/>
    <w:rsid w:val="000716F8"/>
    <w:rsid w:val="000725C9"/>
    <w:rsid w:val="000751D5"/>
    <w:rsid w:val="00077F3F"/>
    <w:rsid w:val="00080BBF"/>
    <w:rsid w:val="00094137"/>
    <w:rsid w:val="000A301B"/>
    <w:rsid w:val="000A519B"/>
    <w:rsid w:val="000A7A3F"/>
    <w:rsid w:val="000B0E52"/>
    <w:rsid w:val="000B7490"/>
    <w:rsid w:val="000D18E4"/>
    <w:rsid w:val="000D1DA9"/>
    <w:rsid w:val="000D2926"/>
    <w:rsid w:val="000D48B5"/>
    <w:rsid w:val="0011305B"/>
    <w:rsid w:val="00115707"/>
    <w:rsid w:val="0012011D"/>
    <w:rsid w:val="0012733E"/>
    <w:rsid w:val="00127F58"/>
    <w:rsid w:val="00131A1C"/>
    <w:rsid w:val="001361D8"/>
    <w:rsid w:val="00140C6C"/>
    <w:rsid w:val="00144643"/>
    <w:rsid w:val="00160D0D"/>
    <w:rsid w:val="0016196A"/>
    <w:rsid w:val="00161FD2"/>
    <w:rsid w:val="00167161"/>
    <w:rsid w:val="0019372B"/>
    <w:rsid w:val="00197CB9"/>
    <w:rsid w:val="001D1DC9"/>
    <w:rsid w:val="001E2156"/>
    <w:rsid w:val="001F00D7"/>
    <w:rsid w:val="001F0B83"/>
    <w:rsid w:val="002232D4"/>
    <w:rsid w:val="00230459"/>
    <w:rsid w:val="002416CF"/>
    <w:rsid w:val="00247842"/>
    <w:rsid w:val="002554AB"/>
    <w:rsid w:val="002629DD"/>
    <w:rsid w:val="00262A33"/>
    <w:rsid w:val="00264A6E"/>
    <w:rsid w:val="00266970"/>
    <w:rsid w:val="002746A9"/>
    <w:rsid w:val="00285085"/>
    <w:rsid w:val="00290F66"/>
    <w:rsid w:val="0029432F"/>
    <w:rsid w:val="002A1AEC"/>
    <w:rsid w:val="002A1FBA"/>
    <w:rsid w:val="002A5F16"/>
    <w:rsid w:val="002A6FAF"/>
    <w:rsid w:val="002B0E82"/>
    <w:rsid w:val="002C4B74"/>
    <w:rsid w:val="002C7C83"/>
    <w:rsid w:val="002D34F4"/>
    <w:rsid w:val="002D3A54"/>
    <w:rsid w:val="002D518A"/>
    <w:rsid w:val="002E0B52"/>
    <w:rsid w:val="002E34F0"/>
    <w:rsid w:val="002E6413"/>
    <w:rsid w:val="002E7870"/>
    <w:rsid w:val="002F0DD6"/>
    <w:rsid w:val="002F3C1F"/>
    <w:rsid w:val="003025BA"/>
    <w:rsid w:val="0030326B"/>
    <w:rsid w:val="00303828"/>
    <w:rsid w:val="00321CAC"/>
    <w:rsid w:val="00325002"/>
    <w:rsid w:val="003259BD"/>
    <w:rsid w:val="003327F2"/>
    <w:rsid w:val="00333AF9"/>
    <w:rsid w:val="0033438F"/>
    <w:rsid w:val="00343177"/>
    <w:rsid w:val="00343F73"/>
    <w:rsid w:val="00345C72"/>
    <w:rsid w:val="00345DEA"/>
    <w:rsid w:val="00346801"/>
    <w:rsid w:val="00346FB8"/>
    <w:rsid w:val="0034739D"/>
    <w:rsid w:val="00350BD8"/>
    <w:rsid w:val="00365E80"/>
    <w:rsid w:val="00381A77"/>
    <w:rsid w:val="00384C92"/>
    <w:rsid w:val="0038618F"/>
    <w:rsid w:val="003A07A4"/>
    <w:rsid w:val="003A4878"/>
    <w:rsid w:val="003B1785"/>
    <w:rsid w:val="003C4B9C"/>
    <w:rsid w:val="003C68DF"/>
    <w:rsid w:val="003D21B2"/>
    <w:rsid w:val="003E0B9F"/>
    <w:rsid w:val="003E2527"/>
    <w:rsid w:val="004017D6"/>
    <w:rsid w:val="0040190B"/>
    <w:rsid w:val="00411AB3"/>
    <w:rsid w:val="00411C17"/>
    <w:rsid w:val="00420DD8"/>
    <w:rsid w:val="00423A88"/>
    <w:rsid w:val="00425B35"/>
    <w:rsid w:val="0042756D"/>
    <w:rsid w:val="00427D0A"/>
    <w:rsid w:val="00437213"/>
    <w:rsid w:val="00443B3B"/>
    <w:rsid w:val="0044711D"/>
    <w:rsid w:val="00462EBD"/>
    <w:rsid w:val="0047182E"/>
    <w:rsid w:val="0048656E"/>
    <w:rsid w:val="00490932"/>
    <w:rsid w:val="00490B57"/>
    <w:rsid w:val="00492077"/>
    <w:rsid w:val="00492402"/>
    <w:rsid w:val="004A5602"/>
    <w:rsid w:val="004B29A0"/>
    <w:rsid w:val="004C31F0"/>
    <w:rsid w:val="004D65D4"/>
    <w:rsid w:val="004E09FC"/>
    <w:rsid w:val="004E0CE0"/>
    <w:rsid w:val="004E5531"/>
    <w:rsid w:val="004E5E3E"/>
    <w:rsid w:val="005001D8"/>
    <w:rsid w:val="00512CBB"/>
    <w:rsid w:val="00523D61"/>
    <w:rsid w:val="00535A35"/>
    <w:rsid w:val="00543B0C"/>
    <w:rsid w:val="00552FD8"/>
    <w:rsid w:val="00555F96"/>
    <w:rsid w:val="0055725A"/>
    <w:rsid w:val="00557310"/>
    <w:rsid w:val="00561A07"/>
    <w:rsid w:val="00562895"/>
    <w:rsid w:val="00574A51"/>
    <w:rsid w:val="00582A20"/>
    <w:rsid w:val="00590283"/>
    <w:rsid w:val="00594A14"/>
    <w:rsid w:val="005A3570"/>
    <w:rsid w:val="005A7750"/>
    <w:rsid w:val="005B55AC"/>
    <w:rsid w:val="005C18C8"/>
    <w:rsid w:val="005C30DA"/>
    <w:rsid w:val="005C3DD9"/>
    <w:rsid w:val="005C7693"/>
    <w:rsid w:val="005C77AF"/>
    <w:rsid w:val="005D689D"/>
    <w:rsid w:val="005E12E8"/>
    <w:rsid w:val="005E483B"/>
    <w:rsid w:val="005E4988"/>
    <w:rsid w:val="005E77BD"/>
    <w:rsid w:val="005F5FDD"/>
    <w:rsid w:val="00601022"/>
    <w:rsid w:val="0060162F"/>
    <w:rsid w:val="00602CF4"/>
    <w:rsid w:val="0060487D"/>
    <w:rsid w:val="00615D07"/>
    <w:rsid w:val="00623DA8"/>
    <w:rsid w:val="00626D3F"/>
    <w:rsid w:val="00630151"/>
    <w:rsid w:val="0064251F"/>
    <w:rsid w:val="00643F74"/>
    <w:rsid w:val="00662692"/>
    <w:rsid w:val="006664E4"/>
    <w:rsid w:val="00666E2F"/>
    <w:rsid w:val="00675096"/>
    <w:rsid w:val="006849F1"/>
    <w:rsid w:val="00687D2D"/>
    <w:rsid w:val="00691A5B"/>
    <w:rsid w:val="006926FF"/>
    <w:rsid w:val="006A28D1"/>
    <w:rsid w:val="006C0E57"/>
    <w:rsid w:val="006C30ED"/>
    <w:rsid w:val="006D2DE3"/>
    <w:rsid w:val="006D333D"/>
    <w:rsid w:val="006D6279"/>
    <w:rsid w:val="006E05F6"/>
    <w:rsid w:val="006E6126"/>
    <w:rsid w:val="006E7A70"/>
    <w:rsid w:val="006E7AAC"/>
    <w:rsid w:val="006F0A97"/>
    <w:rsid w:val="006F1007"/>
    <w:rsid w:val="006F1D7F"/>
    <w:rsid w:val="006F37E1"/>
    <w:rsid w:val="006F5BD9"/>
    <w:rsid w:val="00710747"/>
    <w:rsid w:val="00711E45"/>
    <w:rsid w:val="00712591"/>
    <w:rsid w:val="00714959"/>
    <w:rsid w:val="00720085"/>
    <w:rsid w:val="0072447B"/>
    <w:rsid w:val="007308A0"/>
    <w:rsid w:val="00733184"/>
    <w:rsid w:val="00735F23"/>
    <w:rsid w:val="00742B38"/>
    <w:rsid w:val="007439AE"/>
    <w:rsid w:val="00744ABD"/>
    <w:rsid w:val="00752609"/>
    <w:rsid w:val="0075271A"/>
    <w:rsid w:val="007625D0"/>
    <w:rsid w:val="0078326D"/>
    <w:rsid w:val="007840EB"/>
    <w:rsid w:val="007953A3"/>
    <w:rsid w:val="007953FA"/>
    <w:rsid w:val="007A3868"/>
    <w:rsid w:val="007B0927"/>
    <w:rsid w:val="007B31D2"/>
    <w:rsid w:val="007C1714"/>
    <w:rsid w:val="007C25B6"/>
    <w:rsid w:val="007C69D0"/>
    <w:rsid w:val="007C7E56"/>
    <w:rsid w:val="007D2501"/>
    <w:rsid w:val="007D3FAB"/>
    <w:rsid w:val="007E1B6D"/>
    <w:rsid w:val="007E1F79"/>
    <w:rsid w:val="007E27BF"/>
    <w:rsid w:val="007F2F74"/>
    <w:rsid w:val="007F7C6A"/>
    <w:rsid w:val="00805604"/>
    <w:rsid w:val="00814B4D"/>
    <w:rsid w:val="008155C5"/>
    <w:rsid w:val="00816516"/>
    <w:rsid w:val="00816A64"/>
    <w:rsid w:val="0083010B"/>
    <w:rsid w:val="0083496F"/>
    <w:rsid w:val="00836A98"/>
    <w:rsid w:val="00836FF3"/>
    <w:rsid w:val="00837654"/>
    <w:rsid w:val="0083775E"/>
    <w:rsid w:val="00837818"/>
    <w:rsid w:val="00861791"/>
    <w:rsid w:val="00866CA2"/>
    <w:rsid w:val="0086739C"/>
    <w:rsid w:val="0087004C"/>
    <w:rsid w:val="008700B2"/>
    <w:rsid w:val="00870A31"/>
    <w:rsid w:val="008744F5"/>
    <w:rsid w:val="00875ABA"/>
    <w:rsid w:val="00875E7B"/>
    <w:rsid w:val="008849F0"/>
    <w:rsid w:val="00884D19"/>
    <w:rsid w:val="0088780F"/>
    <w:rsid w:val="00893784"/>
    <w:rsid w:val="00896666"/>
    <w:rsid w:val="008A0CEF"/>
    <w:rsid w:val="008B0233"/>
    <w:rsid w:val="008B0B41"/>
    <w:rsid w:val="008B31A7"/>
    <w:rsid w:val="008D0B3B"/>
    <w:rsid w:val="008D33D3"/>
    <w:rsid w:val="008D5158"/>
    <w:rsid w:val="008D5F39"/>
    <w:rsid w:val="008D7F29"/>
    <w:rsid w:val="008E1419"/>
    <w:rsid w:val="008F3D10"/>
    <w:rsid w:val="008F4F88"/>
    <w:rsid w:val="009166DF"/>
    <w:rsid w:val="009312E6"/>
    <w:rsid w:val="0093260C"/>
    <w:rsid w:val="00937503"/>
    <w:rsid w:val="00942B9F"/>
    <w:rsid w:val="00943319"/>
    <w:rsid w:val="0094346F"/>
    <w:rsid w:val="00944BC7"/>
    <w:rsid w:val="00947447"/>
    <w:rsid w:val="009613A1"/>
    <w:rsid w:val="0097494E"/>
    <w:rsid w:val="00976A8C"/>
    <w:rsid w:val="00977FF3"/>
    <w:rsid w:val="0098091D"/>
    <w:rsid w:val="00980D3C"/>
    <w:rsid w:val="00984CC9"/>
    <w:rsid w:val="009941A6"/>
    <w:rsid w:val="0099510C"/>
    <w:rsid w:val="009A27AF"/>
    <w:rsid w:val="009A4A48"/>
    <w:rsid w:val="009A6DC0"/>
    <w:rsid w:val="009B74C7"/>
    <w:rsid w:val="009C06EE"/>
    <w:rsid w:val="009C4C40"/>
    <w:rsid w:val="009C5078"/>
    <w:rsid w:val="009F0E95"/>
    <w:rsid w:val="009F620C"/>
    <w:rsid w:val="00A00250"/>
    <w:rsid w:val="00A009BC"/>
    <w:rsid w:val="00A03C8F"/>
    <w:rsid w:val="00A208D0"/>
    <w:rsid w:val="00A2153A"/>
    <w:rsid w:val="00A3620F"/>
    <w:rsid w:val="00A36D87"/>
    <w:rsid w:val="00A42BA3"/>
    <w:rsid w:val="00A5026C"/>
    <w:rsid w:val="00A61ADA"/>
    <w:rsid w:val="00A67B9F"/>
    <w:rsid w:val="00A80437"/>
    <w:rsid w:val="00AA0034"/>
    <w:rsid w:val="00AA4E14"/>
    <w:rsid w:val="00AC1AE7"/>
    <w:rsid w:val="00AC7E4E"/>
    <w:rsid w:val="00B03E70"/>
    <w:rsid w:val="00B0667D"/>
    <w:rsid w:val="00B075F8"/>
    <w:rsid w:val="00B10CBD"/>
    <w:rsid w:val="00B15249"/>
    <w:rsid w:val="00B22126"/>
    <w:rsid w:val="00B23B20"/>
    <w:rsid w:val="00B24932"/>
    <w:rsid w:val="00B30024"/>
    <w:rsid w:val="00B35E10"/>
    <w:rsid w:val="00B67AB7"/>
    <w:rsid w:val="00B76EBE"/>
    <w:rsid w:val="00B807B2"/>
    <w:rsid w:val="00B81261"/>
    <w:rsid w:val="00B831FD"/>
    <w:rsid w:val="00B93E93"/>
    <w:rsid w:val="00BA0002"/>
    <w:rsid w:val="00BA7887"/>
    <w:rsid w:val="00BB0695"/>
    <w:rsid w:val="00BB0AA9"/>
    <w:rsid w:val="00BB389C"/>
    <w:rsid w:val="00BB5E22"/>
    <w:rsid w:val="00BC1538"/>
    <w:rsid w:val="00BC1927"/>
    <w:rsid w:val="00BC3D6E"/>
    <w:rsid w:val="00BC43BB"/>
    <w:rsid w:val="00BD0190"/>
    <w:rsid w:val="00BD36BD"/>
    <w:rsid w:val="00BD49FC"/>
    <w:rsid w:val="00BE027C"/>
    <w:rsid w:val="00BE229C"/>
    <w:rsid w:val="00BE2BE6"/>
    <w:rsid w:val="00BE359F"/>
    <w:rsid w:val="00BE6FC4"/>
    <w:rsid w:val="00BF2390"/>
    <w:rsid w:val="00BF2E8C"/>
    <w:rsid w:val="00BF513D"/>
    <w:rsid w:val="00BF52B9"/>
    <w:rsid w:val="00C2211B"/>
    <w:rsid w:val="00C24E2A"/>
    <w:rsid w:val="00C32FB4"/>
    <w:rsid w:val="00C34601"/>
    <w:rsid w:val="00C415A9"/>
    <w:rsid w:val="00C45CBF"/>
    <w:rsid w:val="00C47234"/>
    <w:rsid w:val="00C5578E"/>
    <w:rsid w:val="00C56F38"/>
    <w:rsid w:val="00C57229"/>
    <w:rsid w:val="00C57A04"/>
    <w:rsid w:val="00C74942"/>
    <w:rsid w:val="00C808EB"/>
    <w:rsid w:val="00C8512E"/>
    <w:rsid w:val="00C87E32"/>
    <w:rsid w:val="00C9657E"/>
    <w:rsid w:val="00CA074A"/>
    <w:rsid w:val="00CA1AB8"/>
    <w:rsid w:val="00CA3606"/>
    <w:rsid w:val="00CA5E59"/>
    <w:rsid w:val="00CB4EE6"/>
    <w:rsid w:val="00CB6539"/>
    <w:rsid w:val="00CC25B9"/>
    <w:rsid w:val="00CD5867"/>
    <w:rsid w:val="00CD6536"/>
    <w:rsid w:val="00CD674A"/>
    <w:rsid w:val="00CD73E5"/>
    <w:rsid w:val="00CE2D16"/>
    <w:rsid w:val="00CE2E34"/>
    <w:rsid w:val="00CE3408"/>
    <w:rsid w:val="00CE6C2F"/>
    <w:rsid w:val="00CE6E51"/>
    <w:rsid w:val="00CF3BE6"/>
    <w:rsid w:val="00D0326E"/>
    <w:rsid w:val="00D039E3"/>
    <w:rsid w:val="00D04025"/>
    <w:rsid w:val="00D11BF3"/>
    <w:rsid w:val="00D15C83"/>
    <w:rsid w:val="00D22E42"/>
    <w:rsid w:val="00D32675"/>
    <w:rsid w:val="00D337FF"/>
    <w:rsid w:val="00D36F93"/>
    <w:rsid w:val="00D43106"/>
    <w:rsid w:val="00D43B65"/>
    <w:rsid w:val="00D4715E"/>
    <w:rsid w:val="00D50483"/>
    <w:rsid w:val="00D50FA2"/>
    <w:rsid w:val="00D51CA5"/>
    <w:rsid w:val="00D605D6"/>
    <w:rsid w:val="00D91B19"/>
    <w:rsid w:val="00D93134"/>
    <w:rsid w:val="00D95972"/>
    <w:rsid w:val="00DA19EF"/>
    <w:rsid w:val="00DA2E46"/>
    <w:rsid w:val="00DA3EA5"/>
    <w:rsid w:val="00DA4062"/>
    <w:rsid w:val="00DB07DE"/>
    <w:rsid w:val="00DB6470"/>
    <w:rsid w:val="00DB648D"/>
    <w:rsid w:val="00DD2AE9"/>
    <w:rsid w:val="00DE21E8"/>
    <w:rsid w:val="00DE279C"/>
    <w:rsid w:val="00E131D1"/>
    <w:rsid w:val="00E22CBF"/>
    <w:rsid w:val="00E24A49"/>
    <w:rsid w:val="00E3190C"/>
    <w:rsid w:val="00E33B4C"/>
    <w:rsid w:val="00E346C5"/>
    <w:rsid w:val="00E40218"/>
    <w:rsid w:val="00E44C93"/>
    <w:rsid w:val="00E6060C"/>
    <w:rsid w:val="00E637A9"/>
    <w:rsid w:val="00E67DF9"/>
    <w:rsid w:val="00E71A4E"/>
    <w:rsid w:val="00E92BA7"/>
    <w:rsid w:val="00E957E7"/>
    <w:rsid w:val="00EB4AEC"/>
    <w:rsid w:val="00ED4D5F"/>
    <w:rsid w:val="00ED6D28"/>
    <w:rsid w:val="00ED72DC"/>
    <w:rsid w:val="00EE1389"/>
    <w:rsid w:val="00EE3D1C"/>
    <w:rsid w:val="00EE3FF1"/>
    <w:rsid w:val="00EE6A89"/>
    <w:rsid w:val="00EF2CF1"/>
    <w:rsid w:val="00F02A03"/>
    <w:rsid w:val="00F16856"/>
    <w:rsid w:val="00F23C03"/>
    <w:rsid w:val="00F43B46"/>
    <w:rsid w:val="00F46C50"/>
    <w:rsid w:val="00F50CDF"/>
    <w:rsid w:val="00F50DD6"/>
    <w:rsid w:val="00F517BA"/>
    <w:rsid w:val="00F538E2"/>
    <w:rsid w:val="00F76A89"/>
    <w:rsid w:val="00F8151A"/>
    <w:rsid w:val="00F822CF"/>
    <w:rsid w:val="00F93C6F"/>
    <w:rsid w:val="00F9418D"/>
    <w:rsid w:val="00F94BDC"/>
    <w:rsid w:val="00FA29A1"/>
    <w:rsid w:val="00FA7B4A"/>
    <w:rsid w:val="00FB50E5"/>
    <w:rsid w:val="00FB6912"/>
    <w:rsid w:val="00FC12AF"/>
    <w:rsid w:val="00FC1536"/>
    <w:rsid w:val="00FC2785"/>
    <w:rsid w:val="00FC4922"/>
    <w:rsid w:val="00FD19D9"/>
    <w:rsid w:val="00FD51C3"/>
    <w:rsid w:val="00FE4777"/>
    <w:rsid w:val="00FE4FF0"/>
    <w:rsid w:val="00FE551A"/>
    <w:rsid w:val="00FE60DA"/>
    <w:rsid w:val="00FE6DDE"/>
    <w:rsid w:val="00FF415F"/>
    <w:rsid w:val="00FF74A7"/>
    <w:rsid w:val="00FF75EA"/>
    <w:rsid w:val="01011432"/>
    <w:rsid w:val="01172A03"/>
    <w:rsid w:val="01176EA7"/>
    <w:rsid w:val="011A5E25"/>
    <w:rsid w:val="012A118F"/>
    <w:rsid w:val="014F42C4"/>
    <w:rsid w:val="014F6641"/>
    <w:rsid w:val="01521C8D"/>
    <w:rsid w:val="0168325F"/>
    <w:rsid w:val="016D6AC7"/>
    <w:rsid w:val="01A544B3"/>
    <w:rsid w:val="01AE3368"/>
    <w:rsid w:val="01C506B1"/>
    <w:rsid w:val="01CC7C92"/>
    <w:rsid w:val="01D17056"/>
    <w:rsid w:val="021D673F"/>
    <w:rsid w:val="023B0973"/>
    <w:rsid w:val="025263E9"/>
    <w:rsid w:val="02A468E7"/>
    <w:rsid w:val="02AA4F6F"/>
    <w:rsid w:val="02AE4AFE"/>
    <w:rsid w:val="02C72207"/>
    <w:rsid w:val="0317318F"/>
    <w:rsid w:val="031B2C7F"/>
    <w:rsid w:val="031D69B6"/>
    <w:rsid w:val="03265180"/>
    <w:rsid w:val="034F46D6"/>
    <w:rsid w:val="035937A7"/>
    <w:rsid w:val="03597303"/>
    <w:rsid w:val="035E2B6B"/>
    <w:rsid w:val="0387014A"/>
    <w:rsid w:val="03EF1A15"/>
    <w:rsid w:val="044004C3"/>
    <w:rsid w:val="04561A95"/>
    <w:rsid w:val="047C599F"/>
    <w:rsid w:val="04842AA6"/>
    <w:rsid w:val="049802FF"/>
    <w:rsid w:val="04AB5878"/>
    <w:rsid w:val="04B0389B"/>
    <w:rsid w:val="04DA4474"/>
    <w:rsid w:val="04EC6C63"/>
    <w:rsid w:val="04FF037E"/>
    <w:rsid w:val="05047743"/>
    <w:rsid w:val="05214D81"/>
    <w:rsid w:val="053B7608"/>
    <w:rsid w:val="05465FAD"/>
    <w:rsid w:val="056F2E0E"/>
    <w:rsid w:val="05832D5D"/>
    <w:rsid w:val="05B20F4D"/>
    <w:rsid w:val="05B44CC5"/>
    <w:rsid w:val="05B66C8F"/>
    <w:rsid w:val="05DB04A3"/>
    <w:rsid w:val="05E530D0"/>
    <w:rsid w:val="05EF624C"/>
    <w:rsid w:val="05F25272"/>
    <w:rsid w:val="0644429B"/>
    <w:rsid w:val="0659586C"/>
    <w:rsid w:val="067D77AC"/>
    <w:rsid w:val="068C79F0"/>
    <w:rsid w:val="069C40D7"/>
    <w:rsid w:val="06A0349B"/>
    <w:rsid w:val="06A411DD"/>
    <w:rsid w:val="06C07699"/>
    <w:rsid w:val="06C62167"/>
    <w:rsid w:val="06D80BD5"/>
    <w:rsid w:val="06F537E7"/>
    <w:rsid w:val="070752C8"/>
    <w:rsid w:val="070E75E1"/>
    <w:rsid w:val="07222102"/>
    <w:rsid w:val="073100B5"/>
    <w:rsid w:val="07542E7B"/>
    <w:rsid w:val="07577FFE"/>
    <w:rsid w:val="076B1CFB"/>
    <w:rsid w:val="079C3C62"/>
    <w:rsid w:val="07B0770E"/>
    <w:rsid w:val="07BE62CF"/>
    <w:rsid w:val="07C531B9"/>
    <w:rsid w:val="07CA07CF"/>
    <w:rsid w:val="07F27D26"/>
    <w:rsid w:val="07FA3E48"/>
    <w:rsid w:val="08002443"/>
    <w:rsid w:val="08027530"/>
    <w:rsid w:val="086230FE"/>
    <w:rsid w:val="08766BA9"/>
    <w:rsid w:val="088272FC"/>
    <w:rsid w:val="088C3CD7"/>
    <w:rsid w:val="08BA08C0"/>
    <w:rsid w:val="08E81CF0"/>
    <w:rsid w:val="092403B3"/>
    <w:rsid w:val="094C3466"/>
    <w:rsid w:val="094F0D3C"/>
    <w:rsid w:val="09694018"/>
    <w:rsid w:val="097924AD"/>
    <w:rsid w:val="09931095"/>
    <w:rsid w:val="09B07E99"/>
    <w:rsid w:val="09C86F91"/>
    <w:rsid w:val="09FC4E8C"/>
    <w:rsid w:val="0A3C34DB"/>
    <w:rsid w:val="0A430BD6"/>
    <w:rsid w:val="0A540824"/>
    <w:rsid w:val="0A73514E"/>
    <w:rsid w:val="0A7F7F97"/>
    <w:rsid w:val="0A9E5F43"/>
    <w:rsid w:val="0AA479FE"/>
    <w:rsid w:val="0ACC485F"/>
    <w:rsid w:val="0ADA3F4C"/>
    <w:rsid w:val="0AF049F1"/>
    <w:rsid w:val="0B0E131B"/>
    <w:rsid w:val="0B116715"/>
    <w:rsid w:val="0B161163"/>
    <w:rsid w:val="0B291CB1"/>
    <w:rsid w:val="0B440899"/>
    <w:rsid w:val="0B48482D"/>
    <w:rsid w:val="0B5A00BC"/>
    <w:rsid w:val="0B6727D9"/>
    <w:rsid w:val="0B680A2B"/>
    <w:rsid w:val="0B7844F0"/>
    <w:rsid w:val="0B7F5D75"/>
    <w:rsid w:val="0B9C06D5"/>
    <w:rsid w:val="0B9C6927"/>
    <w:rsid w:val="0B9D61FB"/>
    <w:rsid w:val="0BB27EF8"/>
    <w:rsid w:val="0BBF2208"/>
    <w:rsid w:val="0BBF61BC"/>
    <w:rsid w:val="0BC47C2C"/>
    <w:rsid w:val="0BCB5C52"/>
    <w:rsid w:val="0BE300B2"/>
    <w:rsid w:val="0C01678A"/>
    <w:rsid w:val="0C060E10"/>
    <w:rsid w:val="0C085D6A"/>
    <w:rsid w:val="0C0A7D34"/>
    <w:rsid w:val="0C124F52"/>
    <w:rsid w:val="0C193AD3"/>
    <w:rsid w:val="0C2661F0"/>
    <w:rsid w:val="0C7B29E0"/>
    <w:rsid w:val="0C7D22B4"/>
    <w:rsid w:val="0CD935FB"/>
    <w:rsid w:val="0CE00A95"/>
    <w:rsid w:val="0D3870E2"/>
    <w:rsid w:val="0D3951D6"/>
    <w:rsid w:val="0D416F52"/>
    <w:rsid w:val="0D8C18C1"/>
    <w:rsid w:val="0E0013EF"/>
    <w:rsid w:val="0E2B3F92"/>
    <w:rsid w:val="0E2B5D40"/>
    <w:rsid w:val="0E772D33"/>
    <w:rsid w:val="0E7B7815"/>
    <w:rsid w:val="0E88562B"/>
    <w:rsid w:val="0E8B67DF"/>
    <w:rsid w:val="0E925DBF"/>
    <w:rsid w:val="0EC37B54"/>
    <w:rsid w:val="0EDB7766"/>
    <w:rsid w:val="0EEF3211"/>
    <w:rsid w:val="0EF3685E"/>
    <w:rsid w:val="0EFB1BB6"/>
    <w:rsid w:val="0EFE3455"/>
    <w:rsid w:val="0F29227F"/>
    <w:rsid w:val="0F3375A2"/>
    <w:rsid w:val="0F3F7CF5"/>
    <w:rsid w:val="0F4F5A5E"/>
    <w:rsid w:val="0F6634D4"/>
    <w:rsid w:val="0F7200CA"/>
    <w:rsid w:val="0F7F4595"/>
    <w:rsid w:val="0F8C280E"/>
    <w:rsid w:val="0FB35FED"/>
    <w:rsid w:val="0FD97D81"/>
    <w:rsid w:val="0FDC6611"/>
    <w:rsid w:val="10637A13"/>
    <w:rsid w:val="108856CC"/>
    <w:rsid w:val="108D2CE2"/>
    <w:rsid w:val="10944070"/>
    <w:rsid w:val="10A36062"/>
    <w:rsid w:val="10A5627E"/>
    <w:rsid w:val="10A83678"/>
    <w:rsid w:val="10BC7123"/>
    <w:rsid w:val="10BD35C7"/>
    <w:rsid w:val="10D461A4"/>
    <w:rsid w:val="10D95F27"/>
    <w:rsid w:val="10EF574B"/>
    <w:rsid w:val="10F87681"/>
    <w:rsid w:val="1104261B"/>
    <w:rsid w:val="11254CC9"/>
    <w:rsid w:val="11801B30"/>
    <w:rsid w:val="11BD4513"/>
    <w:rsid w:val="11D5049D"/>
    <w:rsid w:val="11E626AA"/>
    <w:rsid w:val="11F50B3F"/>
    <w:rsid w:val="11FC3C7B"/>
    <w:rsid w:val="12096398"/>
    <w:rsid w:val="1218364A"/>
    <w:rsid w:val="12241424"/>
    <w:rsid w:val="122F22A3"/>
    <w:rsid w:val="12505D75"/>
    <w:rsid w:val="125725B2"/>
    <w:rsid w:val="12745F08"/>
    <w:rsid w:val="12863E8D"/>
    <w:rsid w:val="12A8795F"/>
    <w:rsid w:val="12AA36D7"/>
    <w:rsid w:val="12B83BBB"/>
    <w:rsid w:val="12BB58E4"/>
    <w:rsid w:val="12C0739F"/>
    <w:rsid w:val="12CC676F"/>
    <w:rsid w:val="12D6271E"/>
    <w:rsid w:val="12DD62D4"/>
    <w:rsid w:val="12E9012D"/>
    <w:rsid w:val="12F209B1"/>
    <w:rsid w:val="12F9465F"/>
    <w:rsid w:val="12FC7CAB"/>
    <w:rsid w:val="13117BFA"/>
    <w:rsid w:val="13685340"/>
    <w:rsid w:val="136D604A"/>
    <w:rsid w:val="136F6DBA"/>
    <w:rsid w:val="137B1518"/>
    <w:rsid w:val="138008DC"/>
    <w:rsid w:val="138E2FF9"/>
    <w:rsid w:val="13931986"/>
    <w:rsid w:val="13A73607"/>
    <w:rsid w:val="13F54E26"/>
    <w:rsid w:val="13FB7F63"/>
    <w:rsid w:val="140432BB"/>
    <w:rsid w:val="140908D1"/>
    <w:rsid w:val="140E413A"/>
    <w:rsid w:val="1422618B"/>
    <w:rsid w:val="142E20E6"/>
    <w:rsid w:val="14733F9D"/>
    <w:rsid w:val="14742577"/>
    <w:rsid w:val="147C10A3"/>
    <w:rsid w:val="14C447F8"/>
    <w:rsid w:val="14F275B8"/>
    <w:rsid w:val="15115C90"/>
    <w:rsid w:val="15175270"/>
    <w:rsid w:val="151B4D60"/>
    <w:rsid w:val="152C2AC9"/>
    <w:rsid w:val="15AF7257"/>
    <w:rsid w:val="15E52C78"/>
    <w:rsid w:val="160752E5"/>
    <w:rsid w:val="16104199"/>
    <w:rsid w:val="16140F28"/>
    <w:rsid w:val="163D4862"/>
    <w:rsid w:val="164E4CC1"/>
    <w:rsid w:val="165247B2"/>
    <w:rsid w:val="1654042C"/>
    <w:rsid w:val="16556050"/>
    <w:rsid w:val="16726D77"/>
    <w:rsid w:val="16820AD6"/>
    <w:rsid w:val="169923E1"/>
    <w:rsid w:val="16994D22"/>
    <w:rsid w:val="169D3553"/>
    <w:rsid w:val="16AC04CA"/>
    <w:rsid w:val="16B84207"/>
    <w:rsid w:val="16BC7E7D"/>
    <w:rsid w:val="16BE59A3"/>
    <w:rsid w:val="16CB6312"/>
    <w:rsid w:val="16DC4224"/>
    <w:rsid w:val="16EB2510"/>
    <w:rsid w:val="16F55828"/>
    <w:rsid w:val="17081314"/>
    <w:rsid w:val="17163A31"/>
    <w:rsid w:val="17326391"/>
    <w:rsid w:val="173739A8"/>
    <w:rsid w:val="1743234C"/>
    <w:rsid w:val="175277E6"/>
    <w:rsid w:val="175C6F6A"/>
    <w:rsid w:val="176C0FBA"/>
    <w:rsid w:val="177B1AE6"/>
    <w:rsid w:val="17AF1790"/>
    <w:rsid w:val="17B153E5"/>
    <w:rsid w:val="17F83137"/>
    <w:rsid w:val="1804388A"/>
    <w:rsid w:val="18226406"/>
    <w:rsid w:val="183A374F"/>
    <w:rsid w:val="183D6D9C"/>
    <w:rsid w:val="183F0D66"/>
    <w:rsid w:val="186407CC"/>
    <w:rsid w:val="186C142F"/>
    <w:rsid w:val="18823AC5"/>
    <w:rsid w:val="18934C0E"/>
    <w:rsid w:val="189A5F9C"/>
    <w:rsid w:val="189B3AC2"/>
    <w:rsid w:val="18D70F9E"/>
    <w:rsid w:val="18F41B50"/>
    <w:rsid w:val="18FE2FBD"/>
    <w:rsid w:val="19006747"/>
    <w:rsid w:val="190B1333"/>
    <w:rsid w:val="191775ED"/>
    <w:rsid w:val="19334F15"/>
    <w:rsid w:val="194523AC"/>
    <w:rsid w:val="196934AD"/>
    <w:rsid w:val="197030A6"/>
    <w:rsid w:val="197E58BE"/>
    <w:rsid w:val="199D21E8"/>
    <w:rsid w:val="19A277FE"/>
    <w:rsid w:val="19C72DC1"/>
    <w:rsid w:val="19E45129"/>
    <w:rsid w:val="1A240213"/>
    <w:rsid w:val="1A271AB1"/>
    <w:rsid w:val="1A304579"/>
    <w:rsid w:val="1A5B175B"/>
    <w:rsid w:val="1A705206"/>
    <w:rsid w:val="1A7D7923"/>
    <w:rsid w:val="1A8D2B13"/>
    <w:rsid w:val="1AC437A4"/>
    <w:rsid w:val="1AC92B69"/>
    <w:rsid w:val="1ADF238C"/>
    <w:rsid w:val="1AF92BB3"/>
    <w:rsid w:val="1B0A2B9D"/>
    <w:rsid w:val="1B0E451B"/>
    <w:rsid w:val="1B2B2D19"/>
    <w:rsid w:val="1B3C158C"/>
    <w:rsid w:val="1B4E2991"/>
    <w:rsid w:val="1B684130"/>
    <w:rsid w:val="1B697EA8"/>
    <w:rsid w:val="1B6A60FA"/>
    <w:rsid w:val="1B7F6F38"/>
    <w:rsid w:val="1B83540D"/>
    <w:rsid w:val="1BC7354C"/>
    <w:rsid w:val="1BCA303C"/>
    <w:rsid w:val="1C033E58"/>
    <w:rsid w:val="1C071B9A"/>
    <w:rsid w:val="1C0C0F5F"/>
    <w:rsid w:val="1C0F6CA1"/>
    <w:rsid w:val="1C3D380E"/>
    <w:rsid w:val="1C4C3A51"/>
    <w:rsid w:val="1C542906"/>
    <w:rsid w:val="1C6A6B78"/>
    <w:rsid w:val="1C766D20"/>
    <w:rsid w:val="1CB17D58"/>
    <w:rsid w:val="1CB52A2F"/>
    <w:rsid w:val="1CE379B0"/>
    <w:rsid w:val="1CEE68B6"/>
    <w:rsid w:val="1CF0262F"/>
    <w:rsid w:val="1CF37EB8"/>
    <w:rsid w:val="1D110EBE"/>
    <w:rsid w:val="1D2A4350"/>
    <w:rsid w:val="1D320E99"/>
    <w:rsid w:val="1D9531D6"/>
    <w:rsid w:val="1DAB47A7"/>
    <w:rsid w:val="1DBE44DB"/>
    <w:rsid w:val="1DDC5D1E"/>
    <w:rsid w:val="1DEA1774"/>
    <w:rsid w:val="1E0C793C"/>
    <w:rsid w:val="1E236A34"/>
    <w:rsid w:val="1E252D30"/>
    <w:rsid w:val="1E293FBC"/>
    <w:rsid w:val="1E2A6014"/>
    <w:rsid w:val="1E3D3153"/>
    <w:rsid w:val="1E42510C"/>
    <w:rsid w:val="1E5E7A6C"/>
    <w:rsid w:val="1E6037E4"/>
    <w:rsid w:val="1E9516DF"/>
    <w:rsid w:val="1EDD6BE3"/>
    <w:rsid w:val="1EE77A61"/>
    <w:rsid w:val="1EEE7042"/>
    <w:rsid w:val="1EF74148"/>
    <w:rsid w:val="1F0625DD"/>
    <w:rsid w:val="1F4C5B16"/>
    <w:rsid w:val="1F933745"/>
    <w:rsid w:val="1FA63478"/>
    <w:rsid w:val="1FBF278C"/>
    <w:rsid w:val="1FE741BD"/>
    <w:rsid w:val="1FEA5A5B"/>
    <w:rsid w:val="20126D60"/>
    <w:rsid w:val="205E01F7"/>
    <w:rsid w:val="20665E37"/>
    <w:rsid w:val="207215AC"/>
    <w:rsid w:val="208F6602"/>
    <w:rsid w:val="20967991"/>
    <w:rsid w:val="20A43E5C"/>
    <w:rsid w:val="20A51982"/>
    <w:rsid w:val="20D02EA3"/>
    <w:rsid w:val="20EF0E4F"/>
    <w:rsid w:val="20F85F56"/>
    <w:rsid w:val="211014F1"/>
    <w:rsid w:val="211663DC"/>
    <w:rsid w:val="21254871"/>
    <w:rsid w:val="212C5BFF"/>
    <w:rsid w:val="215A09BE"/>
    <w:rsid w:val="216B497A"/>
    <w:rsid w:val="2184195C"/>
    <w:rsid w:val="218C0AD3"/>
    <w:rsid w:val="21937A2C"/>
    <w:rsid w:val="21A8155E"/>
    <w:rsid w:val="21C85928"/>
    <w:rsid w:val="21C916A0"/>
    <w:rsid w:val="220426D8"/>
    <w:rsid w:val="22124DF5"/>
    <w:rsid w:val="224F1BA5"/>
    <w:rsid w:val="22642828"/>
    <w:rsid w:val="228D6B72"/>
    <w:rsid w:val="22A2261D"/>
    <w:rsid w:val="22AB6CF5"/>
    <w:rsid w:val="22BD2FB3"/>
    <w:rsid w:val="22CE1AC1"/>
    <w:rsid w:val="22FD3CF7"/>
    <w:rsid w:val="230E1A60"/>
    <w:rsid w:val="23377209"/>
    <w:rsid w:val="2342795C"/>
    <w:rsid w:val="235D44ED"/>
    <w:rsid w:val="23636185"/>
    <w:rsid w:val="239F090A"/>
    <w:rsid w:val="23B56380"/>
    <w:rsid w:val="23C72304"/>
    <w:rsid w:val="23F46EA8"/>
    <w:rsid w:val="241F37F9"/>
    <w:rsid w:val="24561911"/>
    <w:rsid w:val="245E07C6"/>
    <w:rsid w:val="24653902"/>
    <w:rsid w:val="246D27B7"/>
    <w:rsid w:val="248024EA"/>
    <w:rsid w:val="24885842"/>
    <w:rsid w:val="248949DC"/>
    <w:rsid w:val="24AF254A"/>
    <w:rsid w:val="24AF7273"/>
    <w:rsid w:val="24B108F5"/>
    <w:rsid w:val="24B30B11"/>
    <w:rsid w:val="24C32F15"/>
    <w:rsid w:val="24C525F3"/>
    <w:rsid w:val="24CA19B7"/>
    <w:rsid w:val="24E24F53"/>
    <w:rsid w:val="25096983"/>
    <w:rsid w:val="25270BB7"/>
    <w:rsid w:val="253F23A5"/>
    <w:rsid w:val="254259F1"/>
    <w:rsid w:val="256B7396"/>
    <w:rsid w:val="25853B30"/>
    <w:rsid w:val="25950217"/>
    <w:rsid w:val="25A20B86"/>
    <w:rsid w:val="25BD32CA"/>
    <w:rsid w:val="25C40AFC"/>
    <w:rsid w:val="25CE197B"/>
    <w:rsid w:val="25D0124F"/>
    <w:rsid w:val="25EE7927"/>
    <w:rsid w:val="2628108B"/>
    <w:rsid w:val="26667E05"/>
    <w:rsid w:val="26771661"/>
    <w:rsid w:val="26976211"/>
    <w:rsid w:val="271B0BF0"/>
    <w:rsid w:val="271C2272"/>
    <w:rsid w:val="27230BFF"/>
    <w:rsid w:val="27254D96"/>
    <w:rsid w:val="272F1FA5"/>
    <w:rsid w:val="27392ACF"/>
    <w:rsid w:val="27433CA3"/>
    <w:rsid w:val="274C0C22"/>
    <w:rsid w:val="2751016E"/>
    <w:rsid w:val="2767173F"/>
    <w:rsid w:val="277327DA"/>
    <w:rsid w:val="2787443F"/>
    <w:rsid w:val="27AE55C0"/>
    <w:rsid w:val="27B5694E"/>
    <w:rsid w:val="27C13D12"/>
    <w:rsid w:val="27C76682"/>
    <w:rsid w:val="27D8263D"/>
    <w:rsid w:val="27E72880"/>
    <w:rsid w:val="27EB6814"/>
    <w:rsid w:val="27FE7638"/>
    <w:rsid w:val="280B5E71"/>
    <w:rsid w:val="28177609"/>
    <w:rsid w:val="281C077C"/>
    <w:rsid w:val="281C2BC6"/>
    <w:rsid w:val="281C4C20"/>
    <w:rsid w:val="28235FAE"/>
    <w:rsid w:val="28327F9F"/>
    <w:rsid w:val="285C0DA0"/>
    <w:rsid w:val="285F4B0C"/>
    <w:rsid w:val="28757E8C"/>
    <w:rsid w:val="288B3B53"/>
    <w:rsid w:val="28956780"/>
    <w:rsid w:val="28AD1D1C"/>
    <w:rsid w:val="28AD3ACA"/>
    <w:rsid w:val="28B22E8E"/>
    <w:rsid w:val="28BA1D43"/>
    <w:rsid w:val="28BA67C3"/>
    <w:rsid w:val="28BD003F"/>
    <w:rsid w:val="28C037FD"/>
    <w:rsid w:val="28D41056"/>
    <w:rsid w:val="28DC5807"/>
    <w:rsid w:val="28DC7F0B"/>
    <w:rsid w:val="28F416F8"/>
    <w:rsid w:val="28F811E9"/>
    <w:rsid w:val="29001E4B"/>
    <w:rsid w:val="290F0C0E"/>
    <w:rsid w:val="291F68C4"/>
    <w:rsid w:val="29210894"/>
    <w:rsid w:val="292F6A67"/>
    <w:rsid w:val="2976210D"/>
    <w:rsid w:val="298F1421"/>
    <w:rsid w:val="29AE7AF9"/>
    <w:rsid w:val="29C91AA7"/>
    <w:rsid w:val="29D62BAC"/>
    <w:rsid w:val="29DD3F3B"/>
    <w:rsid w:val="29EC0622"/>
    <w:rsid w:val="2A225DF1"/>
    <w:rsid w:val="2A32072A"/>
    <w:rsid w:val="2A391AB9"/>
    <w:rsid w:val="2A4B359A"/>
    <w:rsid w:val="2A635B27"/>
    <w:rsid w:val="2A8329A5"/>
    <w:rsid w:val="2A950CB9"/>
    <w:rsid w:val="2A9D2605"/>
    <w:rsid w:val="2ADE440E"/>
    <w:rsid w:val="2AE80DE9"/>
    <w:rsid w:val="2AE8703B"/>
    <w:rsid w:val="2B147E30"/>
    <w:rsid w:val="2B3202B6"/>
    <w:rsid w:val="2B512E32"/>
    <w:rsid w:val="2B683CD8"/>
    <w:rsid w:val="2B76279E"/>
    <w:rsid w:val="2B786611"/>
    <w:rsid w:val="2B797C93"/>
    <w:rsid w:val="2B7D59D5"/>
    <w:rsid w:val="2BB46F1D"/>
    <w:rsid w:val="2BD25682"/>
    <w:rsid w:val="2BD55811"/>
    <w:rsid w:val="2BE27F2E"/>
    <w:rsid w:val="2BE5357A"/>
    <w:rsid w:val="2C1125C1"/>
    <w:rsid w:val="2C153E60"/>
    <w:rsid w:val="2C210A56"/>
    <w:rsid w:val="2C3D33B6"/>
    <w:rsid w:val="2C414C55"/>
    <w:rsid w:val="2C475FE3"/>
    <w:rsid w:val="2C4907B9"/>
    <w:rsid w:val="2C81364F"/>
    <w:rsid w:val="2C9A4365"/>
    <w:rsid w:val="2CC633AC"/>
    <w:rsid w:val="2CD05FD9"/>
    <w:rsid w:val="2CDE6947"/>
    <w:rsid w:val="2CEF7A50"/>
    <w:rsid w:val="2CF75313"/>
    <w:rsid w:val="2D3227EF"/>
    <w:rsid w:val="2D32459D"/>
    <w:rsid w:val="2D3565B5"/>
    <w:rsid w:val="2D39592C"/>
    <w:rsid w:val="2D3E2F42"/>
    <w:rsid w:val="2D850CA0"/>
    <w:rsid w:val="2D8868B3"/>
    <w:rsid w:val="2D9B2143"/>
    <w:rsid w:val="2DA03BFD"/>
    <w:rsid w:val="2DA336ED"/>
    <w:rsid w:val="2DC01BA9"/>
    <w:rsid w:val="2DE81100"/>
    <w:rsid w:val="2DEA4E78"/>
    <w:rsid w:val="2E2A1718"/>
    <w:rsid w:val="2E310CF9"/>
    <w:rsid w:val="2E3F6F72"/>
    <w:rsid w:val="2E7330BF"/>
    <w:rsid w:val="2E756E38"/>
    <w:rsid w:val="2E933762"/>
    <w:rsid w:val="2EB536D8"/>
    <w:rsid w:val="2EC851B9"/>
    <w:rsid w:val="2ECD0A22"/>
    <w:rsid w:val="2ECD316E"/>
    <w:rsid w:val="2EDA313F"/>
    <w:rsid w:val="2F1C6FCF"/>
    <w:rsid w:val="2F5C7FF7"/>
    <w:rsid w:val="2F5E167A"/>
    <w:rsid w:val="2F650C5A"/>
    <w:rsid w:val="2F880DEC"/>
    <w:rsid w:val="2F917CA1"/>
    <w:rsid w:val="3034062C"/>
    <w:rsid w:val="30396AEC"/>
    <w:rsid w:val="304C544B"/>
    <w:rsid w:val="30536D05"/>
    <w:rsid w:val="305F1B4D"/>
    <w:rsid w:val="30705B08"/>
    <w:rsid w:val="30A63CC6"/>
    <w:rsid w:val="30C0743E"/>
    <w:rsid w:val="30E56588"/>
    <w:rsid w:val="30E91417"/>
    <w:rsid w:val="31271F3F"/>
    <w:rsid w:val="31293F09"/>
    <w:rsid w:val="31433A7F"/>
    <w:rsid w:val="3159659D"/>
    <w:rsid w:val="31684A32"/>
    <w:rsid w:val="31727D49"/>
    <w:rsid w:val="31771119"/>
    <w:rsid w:val="317E24A7"/>
    <w:rsid w:val="319A0E2B"/>
    <w:rsid w:val="319C292D"/>
    <w:rsid w:val="319E0EF8"/>
    <w:rsid w:val="31AA504A"/>
    <w:rsid w:val="31B41A25"/>
    <w:rsid w:val="320504D2"/>
    <w:rsid w:val="32144BB9"/>
    <w:rsid w:val="324803BF"/>
    <w:rsid w:val="32513718"/>
    <w:rsid w:val="326A47D9"/>
    <w:rsid w:val="32840F7B"/>
    <w:rsid w:val="32B1065A"/>
    <w:rsid w:val="32E4458C"/>
    <w:rsid w:val="33024A12"/>
    <w:rsid w:val="33150BE9"/>
    <w:rsid w:val="332D26D2"/>
    <w:rsid w:val="33443C83"/>
    <w:rsid w:val="335D1C8B"/>
    <w:rsid w:val="337136E8"/>
    <w:rsid w:val="339715FE"/>
    <w:rsid w:val="33997124"/>
    <w:rsid w:val="33B43F5E"/>
    <w:rsid w:val="33EA3E24"/>
    <w:rsid w:val="3402116D"/>
    <w:rsid w:val="34256C0A"/>
    <w:rsid w:val="343230D5"/>
    <w:rsid w:val="34B65664"/>
    <w:rsid w:val="34E16FD5"/>
    <w:rsid w:val="34EB1C02"/>
    <w:rsid w:val="34FD1935"/>
    <w:rsid w:val="35571045"/>
    <w:rsid w:val="355754E9"/>
    <w:rsid w:val="355D23D3"/>
    <w:rsid w:val="3566572C"/>
    <w:rsid w:val="3571636E"/>
    <w:rsid w:val="358362DE"/>
    <w:rsid w:val="358F4AB7"/>
    <w:rsid w:val="35973F37"/>
    <w:rsid w:val="35C506A4"/>
    <w:rsid w:val="35C8047F"/>
    <w:rsid w:val="35CB558F"/>
    <w:rsid w:val="36021D61"/>
    <w:rsid w:val="36213401"/>
    <w:rsid w:val="36392E40"/>
    <w:rsid w:val="365D5425"/>
    <w:rsid w:val="36794FEB"/>
    <w:rsid w:val="3687595A"/>
    <w:rsid w:val="368816D2"/>
    <w:rsid w:val="368C11C2"/>
    <w:rsid w:val="36AC716F"/>
    <w:rsid w:val="36D6243D"/>
    <w:rsid w:val="36D87F64"/>
    <w:rsid w:val="36F32FEF"/>
    <w:rsid w:val="36F40B16"/>
    <w:rsid w:val="371A057C"/>
    <w:rsid w:val="373553B6"/>
    <w:rsid w:val="373B6744"/>
    <w:rsid w:val="37490E61"/>
    <w:rsid w:val="37692862"/>
    <w:rsid w:val="37695060"/>
    <w:rsid w:val="377D0B0B"/>
    <w:rsid w:val="37A662B4"/>
    <w:rsid w:val="37AA2584"/>
    <w:rsid w:val="37B56400"/>
    <w:rsid w:val="37BE35FD"/>
    <w:rsid w:val="37BF7375"/>
    <w:rsid w:val="37D72911"/>
    <w:rsid w:val="37DF17C6"/>
    <w:rsid w:val="381A45AC"/>
    <w:rsid w:val="383B4C4E"/>
    <w:rsid w:val="386555A5"/>
    <w:rsid w:val="38795776"/>
    <w:rsid w:val="38AA1DD4"/>
    <w:rsid w:val="38C5276A"/>
    <w:rsid w:val="38CE5AC2"/>
    <w:rsid w:val="38D34E86"/>
    <w:rsid w:val="38D97FC3"/>
    <w:rsid w:val="38DE382B"/>
    <w:rsid w:val="38F31B98"/>
    <w:rsid w:val="38FC0C25"/>
    <w:rsid w:val="391A2AB5"/>
    <w:rsid w:val="391C5EDB"/>
    <w:rsid w:val="392C27E9"/>
    <w:rsid w:val="39610CA2"/>
    <w:rsid w:val="39BC1DBE"/>
    <w:rsid w:val="39C742BF"/>
    <w:rsid w:val="3A1C0AAF"/>
    <w:rsid w:val="3A500759"/>
    <w:rsid w:val="3A557B1D"/>
    <w:rsid w:val="3A905C8A"/>
    <w:rsid w:val="3A916DA7"/>
    <w:rsid w:val="3A961B24"/>
    <w:rsid w:val="3AA36ADA"/>
    <w:rsid w:val="3AEE274E"/>
    <w:rsid w:val="3B091033"/>
    <w:rsid w:val="3B0F23C2"/>
    <w:rsid w:val="3B111A40"/>
    <w:rsid w:val="3B3360B0"/>
    <w:rsid w:val="3B4B53E2"/>
    <w:rsid w:val="3B60677A"/>
    <w:rsid w:val="3B636954"/>
    <w:rsid w:val="3B862684"/>
    <w:rsid w:val="3B967B1B"/>
    <w:rsid w:val="3B9E60AB"/>
    <w:rsid w:val="3BB15227"/>
    <w:rsid w:val="3BD11425"/>
    <w:rsid w:val="3BDD7DCA"/>
    <w:rsid w:val="3BEB698B"/>
    <w:rsid w:val="3BF515B8"/>
    <w:rsid w:val="3C2A0F73"/>
    <w:rsid w:val="3C552056"/>
    <w:rsid w:val="3C574020"/>
    <w:rsid w:val="3CA8662A"/>
    <w:rsid w:val="3CAA23A2"/>
    <w:rsid w:val="3CB7243C"/>
    <w:rsid w:val="3CB72D11"/>
    <w:rsid w:val="3CBA010B"/>
    <w:rsid w:val="3CC33464"/>
    <w:rsid w:val="3CF33D49"/>
    <w:rsid w:val="3D0870C9"/>
    <w:rsid w:val="3D1160FD"/>
    <w:rsid w:val="3D4A5E08"/>
    <w:rsid w:val="3D5B019B"/>
    <w:rsid w:val="3D6372EC"/>
    <w:rsid w:val="3D69400B"/>
    <w:rsid w:val="3D7724B9"/>
    <w:rsid w:val="3D8C7CFA"/>
    <w:rsid w:val="3DAC5CA6"/>
    <w:rsid w:val="3DC56D68"/>
    <w:rsid w:val="3DDF03A6"/>
    <w:rsid w:val="3E016501"/>
    <w:rsid w:val="3E10092B"/>
    <w:rsid w:val="3E18333B"/>
    <w:rsid w:val="3E29379B"/>
    <w:rsid w:val="3E3E7246"/>
    <w:rsid w:val="3E4B1963"/>
    <w:rsid w:val="3E75253C"/>
    <w:rsid w:val="3E774506"/>
    <w:rsid w:val="3E7C7D6E"/>
    <w:rsid w:val="3E8135D7"/>
    <w:rsid w:val="3E8978EB"/>
    <w:rsid w:val="3E9E1A93"/>
    <w:rsid w:val="3EB94B1E"/>
    <w:rsid w:val="3ECB6600"/>
    <w:rsid w:val="3ED74FA5"/>
    <w:rsid w:val="3EDB4A95"/>
    <w:rsid w:val="3EE218BB"/>
    <w:rsid w:val="3F150636"/>
    <w:rsid w:val="3F204B9E"/>
    <w:rsid w:val="3F367F1D"/>
    <w:rsid w:val="3F6525B0"/>
    <w:rsid w:val="3F6A7BC7"/>
    <w:rsid w:val="3F9133A5"/>
    <w:rsid w:val="3F980BD8"/>
    <w:rsid w:val="3FA806EF"/>
    <w:rsid w:val="3FB11C9A"/>
    <w:rsid w:val="3FCE0156"/>
    <w:rsid w:val="3FD31124"/>
    <w:rsid w:val="3FEE07F8"/>
    <w:rsid w:val="401B1A9A"/>
    <w:rsid w:val="401C35B7"/>
    <w:rsid w:val="40354679"/>
    <w:rsid w:val="404C3770"/>
    <w:rsid w:val="404E573A"/>
    <w:rsid w:val="40580367"/>
    <w:rsid w:val="406B009A"/>
    <w:rsid w:val="40703903"/>
    <w:rsid w:val="40833636"/>
    <w:rsid w:val="408D0011"/>
    <w:rsid w:val="40AF442B"/>
    <w:rsid w:val="40D43E92"/>
    <w:rsid w:val="40E0482E"/>
    <w:rsid w:val="40E109B7"/>
    <w:rsid w:val="40E67721"/>
    <w:rsid w:val="4101455B"/>
    <w:rsid w:val="410C362B"/>
    <w:rsid w:val="41456B3D"/>
    <w:rsid w:val="41662610"/>
    <w:rsid w:val="418F600A"/>
    <w:rsid w:val="41911D83"/>
    <w:rsid w:val="41AA69A0"/>
    <w:rsid w:val="41B25855"/>
    <w:rsid w:val="41C21F3C"/>
    <w:rsid w:val="41CA2B9F"/>
    <w:rsid w:val="41EA1493"/>
    <w:rsid w:val="41FF6CEC"/>
    <w:rsid w:val="421D7172"/>
    <w:rsid w:val="422B7AE1"/>
    <w:rsid w:val="425F3C2F"/>
    <w:rsid w:val="42786A9F"/>
    <w:rsid w:val="427C033D"/>
    <w:rsid w:val="42A87384"/>
    <w:rsid w:val="42B850ED"/>
    <w:rsid w:val="42E63A08"/>
    <w:rsid w:val="431762B8"/>
    <w:rsid w:val="43210EE4"/>
    <w:rsid w:val="432A0910"/>
    <w:rsid w:val="432A5FEB"/>
    <w:rsid w:val="43421586"/>
    <w:rsid w:val="43544E16"/>
    <w:rsid w:val="4374738E"/>
    <w:rsid w:val="43831019"/>
    <w:rsid w:val="43866F99"/>
    <w:rsid w:val="43B27D8E"/>
    <w:rsid w:val="43DD4E0B"/>
    <w:rsid w:val="43E738FD"/>
    <w:rsid w:val="43E77A38"/>
    <w:rsid w:val="43E93761"/>
    <w:rsid w:val="43EC32A0"/>
    <w:rsid w:val="43F62371"/>
    <w:rsid w:val="43FF1225"/>
    <w:rsid w:val="444C01E3"/>
    <w:rsid w:val="447137A5"/>
    <w:rsid w:val="44727838"/>
    <w:rsid w:val="448C6831"/>
    <w:rsid w:val="449000D0"/>
    <w:rsid w:val="44BD69EB"/>
    <w:rsid w:val="44C24001"/>
    <w:rsid w:val="44DA57EF"/>
    <w:rsid w:val="44DC50C3"/>
    <w:rsid w:val="44EB79FC"/>
    <w:rsid w:val="45050ABD"/>
    <w:rsid w:val="4508235C"/>
    <w:rsid w:val="450D7972"/>
    <w:rsid w:val="45126D36"/>
    <w:rsid w:val="452623BD"/>
    <w:rsid w:val="452B4BB5"/>
    <w:rsid w:val="452B604A"/>
    <w:rsid w:val="45344C8A"/>
    <w:rsid w:val="454F3AE7"/>
    <w:rsid w:val="45504460"/>
    <w:rsid w:val="457B0D80"/>
    <w:rsid w:val="45A76173"/>
    <w:rsid w:val="45C06792"/>
    <w:rsid w:val="45D40490"/>
    <w:rsid w:val="45EF323D"/>
    <w:rsid w:val="45F14B9E"/>
    <w:rsid w:val="45F63CE4"/>
    <w:rsid w:val="45FD79E7"/>
    <w:rsid w:val="460D74FE"/>
    <w:rsid w:val="46144D30"/>
    <w:rsid w:val="46317690"/>
    <w:rsid w:val="46445615"/>
    <w:rsid w:val="46477F15"/>
    <w:rsid w:val="46511AE0"/>
    <w:rsid w:val="46A460B4"/>
    <w:rsid w:val="46B53E1D"/>
    <w:rsid w:val="46D5626E"/>
    <w:rsid w:val="47072D52"/>
    <w:rsid w:val="47134FE8"/>
    <w:rsid w:val="47460F19"/>
    <w:rsid w:val="475F3D89"/>
    <w:rsid w:val="47632D59"/>
    <w:rsid w:val="47857C94"/>
    <w:rsid w:val="478B4B7E"/>
    <w:rsid w:val="479223B1"/>
    <w:rsid w:val="47B73BC5"/>
    <w:rsid w:val="47EB386F"/>
    <w:rsid w:val="47EC39BF"/>
    <w:rsid w:val="47FB1D04"/>
    <w:rsid w:val="47FE35A2"/>
    <w:rsid w:val="48396CD0"/>
    <w:rsid w:val="483D40CA"/>
    <w:rsid w:val="483E7E42"/>
    <w:rsid w:val="48660E58"/>
    <w:rsid w:val="48741AB6"/>
    <w:rsid w:val="488241D3"/>
    <w:rsid w:val="48961A2D"/>
    <w:rsid w:val="48B85E47"/>
    <w:rsid w:val="48D30B46"/>
    <w:rsid w:val="48EE2BC9"/>
    <w:rsid w:val="49364C33"/>
    <w:rsid w:val="495C4A24"/>
    <w:rsid w:val="49830203"/>
    <w:rsid w:val="49A44BB2"/>
    <w:rsid w:val="49B06B1E"/>
    <w:rsid w:val="49B72A97"/>
    <w:rsid w:val="49C425C9"/>
    <w:rsid w:val="49E54A1A"/>
    <w:rsid w:val="49E8275C"/>
    <w:rsid w:val="4A0B36CD"/>
    <w:rsid w:val="4A477482"/>
    <w:rsid w:val="4A4F4589"/>
    <w:rsid w:val="4A600544"/>
    <w:rsid w:val="4A630034"/>
    <w:rsid w:val="4A69564B"/>
    <w:rsid w:val="4A913A8A"/>
    <w:rsid w:val="4AA30431"/>
    <w:rsid w:val="4ABB39CC"/>
    <w:rsid w:val="4ACA1E61"/>
    <w:rsid w:val="4ACE1952"/>
    <w:rsid w:val="4AD66A58"/>
    <w:rsid w:val="4ADD3943"/>
    <w:rsid w:val="4B3A7B4E"/>
    <w:rsid w:val="4B3D2633"/>
    <w:rsid w:val="4B490FD8"/>
    <w:rsid w:val="4B555BCF"/>
    <w:rsid w:val="4B614574"/>
    <w:rsid w:val="4B6776B0"/>
    <w:rsid w:val="4B6B71A0"/>
    <w:rsid w:val="4B771FE9"/>
    <w:rsid w:val="4B9A5CD8"/>
    <w:rsid w:val="4BB451DE"/>
    <w:rsid w:val="4BCE772F"/>
    <w:rsid w:val="4C511FFD"/>
    <w:rsid w:val="4C516396"/>
    <w:rsid w:val="4C6A56AA"/>
    <w:rsid w:val="4C8A5D4C"/>
    <w:rsid w:val="4C8F3363"/>
    <w:rsid w:val="4CAD5597"/>
    <w:rsid w:val="4CCC0113"/>
    <w:rsid w:val="4CCE3E8B"/>
    <w:rsid w:val="4CDD5E7C"/>
    <w:rsid w:val="4CFB4554"/>
    <w:rsid w:val="4D365E4F"/>
    <w:rsid w:val="4D3A5B11"/>
    <w:rsid w:val="4D3D691B"/>
    <w:rsid w:val="4D6B792C"/>
    <w:rsid w:val="4D7A36CB"/>
    <w:rsid w:val="4D891114"/>
    <w:rsid w:val="4DC44E80"/>
    <w:rsid w:val="4DD252B5"/>
    <w:rsid w:val="4DD74FC1"/>
    <w:rsid w:val="4DFC0584"/>
    <w:rsid w:val="4E0631B0"/>
    <w:rsid w:val="4E0B07C7"/>
    <w:rsid w:val="4E2A50F1"/>
    <w:rsid w:val="4E342F84"/>
    <w:rsid w:val="4E4F6905"/>
    <w:rsid w:val="4E4F7A0A"/>
    <w:rsid w:val="4E65214E"/>
    <w:rsid w:val="4E656129"/>
    <w:rsid w:val="4E8A5B90"/>
    <w:rsid w:val="4E9B7735"/>
    <w:rsid w:val="4EA76741"/>
    <w:rsid w:val="4ED17C62"/>
    <w:rsid w:val="4ED80FF1"/>
    <w:rsid w:val="4ED92673"/>
    <w:rsid w:val="4EE74D90"/>
    <w:rsid w:val="4EEB576A"/>
    <w:rsid w:val="4EFB4CDF"/>
    <w:rsid w:val="4F3302E1"/>
    <w:rsid w:val="4F391364"/>
    <w:rsid w:val="4F42290E"/>
    <w:rsid w:val="4F4C1097"/>
    <w:rsid w:val="4F7F321A"/>
    <w:rsid w:val="4F895E47"/>
    <w:rsid w:val="4F90367A"/>
    <w:rsid w:val="4F9D5D96"/>
    <w:rsid w:val="4FB725A9"/>
    <w:rsid w:val="4FC60E49"/>
    <w:rsid w:val="4FF9121F"/>
    <w:rsid w:val="50033E4B"/>
    <w:rsid w:val="50062B38"/>
    <w:rsid w:val="500D4CCA"/>
    <w:rsid w:val="50236859"/>
    <w:rsid w:val="50666188"/>
    <w:rsid w:val="507146DC"/>
    <w:rsid w:val="50744D49"/>
    <w:rsid w:val="50964CC0"/>
    <w:rsid w:val="50B52C6C"/>
    <w:rsid w:val="50BB64D4"/>
    <w:rsid w:val="50BD049E"/>
    <w:rsid w:val="50CF3D2E"/>
    <w:rsid w:val="50EE68AA"/>
    <w:rsid w:val="512322CB"/>
    <w:rsid w:val="5134567A"/>
    <w:rsid w:val="5139564B"/>
    <w:rsid w:val="516C62F1"/>
    <w:rsid w:val="51894824"/>
    <w:rsid w:val="51937451"/>
    <w:rsid w:val="51986815"/>
    <w:rsid w:val="51CD2963"/>
    <w:rsid w:val="51EB4B97"/>
    <w:rsid w:val="520774F7"/>
    <w:rsid w:val="526B3F2A"/>
    <w:rsid w:val="52775DEE"/>
    <w:rsid w:val="527E3C5D"/>
    <w:rsid w:val="527F3531"/>
    <w:rsid w:val="5290573F"/>
    <w:rsid w:val="52AF3E17"/>
    <w:rsid w:val="52BA27BB"/>
    <w:rsid w:val="52D95337"/>
    <w:rsid w:val="52DD4E28"/>
    <w:rsid w:val="52E02860"/>
    <w:rsid w:val="52E166C3"/>
    <w:rsid w:val="53035F10"/>
    <w:rsid w:val="531620E8"/>
    <w:rsid w:val="53226CDE"/>
    <w:rsid w:val="53285977"/>
    <w:rsid w:val="532E5683"/>
    <w:rsid w:val="53394B05"/>
    <w:rsid w:val="534C3D5B"/>
    <w:rsid w:val="5382152B"/>
    <w:rsid w:val="5385101B"/>
    <w:rsid w:val="538C23AA"/>
    <w:rsid w:val="53B17155"/>
    <w:rsid w:val="53B61F77"/>
    <w:rsid w:val="53C5766A"/>
    <w:rsid w:val="53D210FD"/>
    <w:rsid w:val="53D77AC9"/>
    <w:rsid w:val="53E46B80"/>
    <w:rsid w:val="53E775E0"/>
    <w:rsid w:val="53EE2FD4"/>
    <w:rsid w:val="541A79B6"/>
    <w:rsid w:val="541B5774"/>
    <w:rsid w:val="543A6EAD"/>
    <w:rsid w:val="54422A68"/>
    <w:rsid w:val="544467E1"/>
    <w:rsid w:val="544E11C2"/>
    <w:rsid w:val="544E765F"/>
    <w:rsid w:val="54617548"/>
    <w:rsid w:val="5463310B"/>
    <w:rsid w:val="546E1AAF"/>
    <w:rsid w:val="54770964"/>
    <w:rsid w:val="54A51975"/>
    <w:rsid w:val="54BE3514"/>
    <w:rsid w:val="54E3249D"/>
    <w:rsid w:val="54F71AA5"/>
    <w:rsid w:val="551E7032"/>
    <w:rsid w:val="55432450"/>
    <w:rsid w:val="555E38D2"/>
    <w:rsid w:val="55747599"/>
    <w:rsid w:val="55985036"/>
    <w:rsid w:val="55AE2AAB"/>
    <w:rsid w:val="55CA0F67"/>
    <w:rsid w:val="55F304BE"/>
    <w:rsid w:val="563805C7"/>
    <w:rsid w:val="56694C24"/>
    <w:rsid w:val="566B1984"/>
    <w:rsid w:val="56950B3F"/>
    <w:rsid w:val="56A1160C"/>
    <w:rsid w:val="56B04601"/>
    <w:rsid w:val="56BD287A"/>
    <w:rsid w:val="56C43C09"/>
    <w:rsid w:val="56D57BC4"/>
    <w:rsid w:val="56DB78D0"/>
    <w:rsid w:val="56ED7603"/>
    <w:rsid w:val="56F3629C"/>
    <w:rsid w:val="56F72230"/>
    <w:rsid w:val="56FC7846"/>
    <w:rsid w:val="571444FF"/>
    <w:rsid w:val="571479EE"/>
    <w:rsid w:val="5721105B"/>
    <w:rsid w:val="57672F12"/>
    <w:rsid w:val="57741E27"/>
    <w:rsid w:val="57917F8F"/>
    <w:rsid w:val="579E776A"/>
    <w:rsid w:val="57AD737E"/>
    <w:rsid w:val="57B343A9"/>
    <w:rsid w:val="57C32112"/>
    <w:rsid w:val="57C57C38"/>
    <w:rsid w:val="57CC7219"/>
    <w:rsid w:val="57D1482F"/>
    <w:rsid w:val="57D63BF4"/>
    <w:rsid w:val="5803016F"/>
    <w:rsid w:val="5818420C"/>
    <w:rsid w:val="5822508B"/>
    <w:rsid w:val="582708F3"/>
    <w:rsid w:val="583C7C96"/>
    <w:rsid w:val="584E7C2E"/>
    <w:rsid w:val="58711B6E"/>
    <w:rsid w:val="5875340D"/>
    <w:rsid w:val="58856AF7"/>
    <w:rsid w:val="588C69A8"/>
    <w:rsid w:val="589A2E73"/>
    <w:rsid w:val="589C308F"/>
    <w:rsid w:val="58BA19B2"/>
    <w:rsid w:val="58CD149A"/>
    <w:rsid w:val="58F72073"/>
    <w:rsid w:val="58FA6008"/>
    <w:rsid w:val="58FC3B2E"/>
    <w:rsid w:val="590D1897"/>
    <w:rsid w:val="593432C8"/>
    <w:rsid w:val="593C217C"/>
    <w:rsid w:val="5943175D"/>
    <w:rsid w:val="594D25DB"/>
    <w:rsid w:val="594E4DC3"/>
    <w:rsid w:val="59561490"/>
    <w:rsid w:val="5959467B"/>
    <w:rsid w:val="595C45CC"/>
    <w:rsid w:val="59705BA9"/>
    <w:rsid w:val="597E09E7"/>
    <w:rsid w:val="598D700C"/>
    <w:rsid w:val="598F04FE"/>
    <w:rsid w:val="59A0095D"/>
    <w:rsid w:val="59C77C98"/>
    <w:rsid w:val="59CC10D9"/>
    <w:rsid w:val="5A105AE3"/>
    <w:rsid w:val="5A2A0227"/>
    <w:rsid w:val="5A382944"/>
    <w:rsid w:val="5A3B4BCC"/>
    <w:rsid w:val="5A584D94"/>
    <w:rsid w:val="5A7B74D4"/>
    <w:rsid w:val="5A83592C"/>
    <w:rsid w:val="5A930F89"/>
    <w:rsid w:val="5AB9459A"/>
    <w:rsid w:val="5AD15BF9"/>
    <w:rsid w:val="5AEB20AC"/>
    <w:rsid w:val="5B1C66FD"/>
    <w:rsid w:val="5B2829B8"/>
    <w:rsid w:val="5B663971"/>
    <w:rsid w:val="5B9B5880"/>
    <w:rsid w:val="5BA67D81"/>
    <w:rsid w:val="5BC533DA"/>
    <w:rsid w:val="5BCD17B1"/>
    <w:rsid w:val="5BED775E"/>
    <w:rsid w:val="5BF907F8"/>
    <w:rsid w:val="5C162C69"/>
    <w:rsid w:val="5C403D4D"/>
    <w:rsid w:val="5C464A56"/>
    <w:rsid w:val="5C4E644E"/>
    <w:rsid w:val="5C502193"/>
    <w:rsid w:val="5C6A7000"/>
    <w:rsid w:val="5C7B120D"/>
    <w:rsid w:val="5C920267"/>
    <w:rsid w:val="5CAC13C7"/>
    <w:rsid w:val="5CB14C2F"/>
    <w:rsid w:val="5CCC1A69"/>
    <w:rsid w:val="5D2E4FDA"/>
    <w:rsid w:val="5D5201C0"/>
    <w:rsid w:val="5D7B36EF"/>
    <w:rsid w:val="5D9E4E29"/>
    <w:rsid w:val="5DB744C7"/>
    <w:rsid w:val="5DB84221"/>
    <w:rsid w:val="5E135D11"/>
    <w:rsid w:val="5E6E2F22"/>
    <w:rsid w:val="5E84014A"/>
    <w:rsid w:val="5E9B59CB"/>
    <w:rsid w:val="5EB10F16"/>
    <w:rsid w:val="5EC46E9C"/>
    <w:rsid w:val="5ECE6AE2"/>
    <w:rsid w:val="5EF07C91"/>
    <w:rsid w:val="5EFA0B0F"/>
    <w:rsid w:val="5EFB03E4"/>
    <w:rsid w:val="5F0977E5"/>
    <w:rsid w:val="5F0B4ACB"/>
    <w:rsid w:val="5F0C439F"/>
    <w:rsid w:val="5F1B5C08"/>
    <w:rsid w:val="5F313E05"/>
    <w:rsid w:val="5F385194"/>
    <w:rsid w:val="5F645F89"/>
    <w:rsid w:val="5F6C2999"/>
    <w:rsid w:val="5F824661"/>
    <w:rsid w:val="5F8D1984"/>
    <w:rsid w:val="5F961333"/>
    <w:rsid w:val="5FB52C88"/>
    <w:rsid w:val="5FC058B5"/>
    <w:rsid w:val="5FC30F01"/>
    <w:rsid w:val="5FC52ECB"/>
    <w:rsid w:val="5FE07D05"/>
    <w:rsid w:val="600F3677"/>
    <w:rsid w:val="602B6AA7"/>
    <w:rsid w:val="60363DC9"/>
    <w:rsid w:val="60433DF0"/>
    <w:rsid w:val="604C539B"/>
    <w:rsid w:val="60636240"/>
    <w:rsid w:val="6065645C"/>
    <w:rsid w:val="60681AA9"/>
    <w:rsid w:val="609F196E"/>
    <w:rsid w:val="60A26D69"/>
    <w:rsid w:val="60B62814"/>
    <w:rsid w:val="60BD3BA3"/>
    <w:rsid w:val="60DD6049"/>
    <w:rsid w:val="610C4B2A"/>
    <w:rsid w:val="6131633F"/>
    <w:rsid w:val="6171498D"/>
    <w:rsid w:val="618B118B"/>
    <w:rsid w:val="619012B7"/>
    <w:rsid w:val="619E438F"/>
    <w:rsid w:val="61A86601"/>
    <w:rsid w:val="61AD3E67"/>
    <w:rsid w:val="61B64F19"/>
    <w:rsid w:val="61CD7F83"/>
    <w:rsid w:val="61D7354F"/>
    <w:rsid w:val="61ED495B"/>
    <w:rsid w:val="61EE5FDE"/>
    <w:rsid w:val="61EF4230"/>
    <w:rsid w:val="61FA0313"/>
    <w:rsid w:val="6200643D"/>
    <w:rsid w:val="620D2908"/>
    <w:rsid w:val="62377985"/>
    <w:rsid w:val="623E6F65"/>
    <w:rsid w:val="62516C98"/>
    <w:rsid w:val="62522A10"/>
    <w:rsid w:val="625D388F"/>
    <w:rsid w:val="626F5370"/>
    <w:rsid w:val="627B5AC3"/>
    <w:rsid w:val="62A74B0A"/>
    <w:rsid w:val="62B249B4"/>
    <w:rsid w:val="62EA49F7"/>
    <w:rsid w:val="630930CF"/>
    <w:rsid w:val="630A6E47"/>
    <w:rsid w:val="632A1297"/>
    <w:rsid w:val="63462575"/>
    <w:rsid w:val="63513DAB"/>
    <w:rsid w:val="635E019B"/>
    <w:rsid w:val="63732C3E"/>
    <w:rsid w:val="637A221F"/>
    <w:rsid w:val="63804284"/>
    <w:rsid w:val="63A177AC"/>
    <w:rsid w:val="63CC234F"/>
    <w:rsid w:val="63E038EF"/>
    <w:rsid w:val="640D6BEF"/>
    <w:rsid w:val="64356146"/>
    <w:rsid w:val="646D1D84"/>
    <w:rsid w:val="647A41FA"/>
    <w:rsid w:val="649E3CEB"/>
    <w:rsid w:val="64A62BA0"/>
    <w:rsid w:val="64BB1BF4"/>
    <w:rsid w:val="64F77491"/>
    <w:rsid w:val="65046244"/>
    <w:rsid w:val="651A39E8"/>
    <w:rsid w:val="652A5B5F"/>
    <w:rsid w:val="653D3504"/>
    <w:rsid w:val="654B6723"/>
    <w:rsid w:val="654E5711"/>
    <w:rsid w:val="65554CF2"/>
    <w:rsid w:val="65741C3D"/>
    <w:rsid w:val="65907AD8"/>
    <w:rsid w:val="65982E30"/>
    <w:rsid w:val="65984BDE"/>
    <w:rsid w:val="65B23EF2"/>
    <w:rsid w:val="65E17F2C"/>
    <w:rsid w:val="65F6721C"/>
    <w:rsid w:val="66145EEA"/>
    <w:rsid w:val="6618187B"/>
    <w:rsid w:val="662B07CB"/>
    <w:rsid w:val="662D17CA"/>
    <w:rsid w:val="664B39FF"/>
    <w:rsid w:val="6659611C"/>
    <w:rsid w:val="66650F64"/>
    <w:rsid w:val="667E2026"/>
    <w:rsid w:val="66A15D14"/>
    <w:rsid w:val="66A219E9"/>
    <w:rsid w:val="66B25244"/>
    <w:rsid w:val="66BC2B4E"/>
    <w:rsid w:val="66C37A39"/>
    <w:rsid w:val="66CF2882"/>
    <w:rsid w:val="66E300DB"/>
    <w:rsid w:val="66FA497B"/>
    <w:rsid w:val="67226E55"/>
    <w:rsid w:val="672524A2"/>
    <w:rsid w:val="6759039D"/>
    <w:rsid w:val="67784CC7"/>
    <w:rsid w:val="67BF46A4"/>
    <w:rsid w:val="67D87514"/>
    <w:rsid w:val="67E60BCD"/>
    <w:rsid w:val="67FA1A5E"/>
    <w:rsid w:val="6804655B"/>
    <w:rsid w:val="68381AF2"/>
    <w:rsid w:val="68525518"/>
    <w:rsid w:val="68686AEA"/>
    <w:rsid w:val="688A2F04"/>
    <w:rsid w:val="68907DEF"/>
    <w:rsid w:val="690A5DF3"/>
    <w:rsid w:val="69112CDD"/>
    <w:rsid w:val="69194288"/>
    <w:rsid w:val="69354EFB"/>
    <w:rsid w:val="6937396B"/>
    <w:rsid w:val="693966D8"/>
    <w:rsid w:val="697119CE"/>
    <w:rsid w:val="69BD0841"/>
    <w:rsid w:val="69C75B99"/>
    <w:rsid w:val="6A211646"/>
    <w:rsid w:val="6A3550F2"/>
    <w:rsid w:val="6A570BC4"/>
    <w:rsid w:val="6A627569"/>
    <w:rsid w:val="6A841BD5"/>
    <w:rsid w:val="6AB53B3C"/>
    <w:rsid w:val="6AF24D91"/>
    <w:rsid w:val="6B036F9E"/>
    <w:rsid w:val="6B1B6095"/>
    <w:rsid w:val="6B321631"/>
    <w:rsid w:val="6B562347"/>
    <w:rsid w:val="6B947BF6"/>
    <w:rsid w:val="6B9B71D6"/>
    <w:rsid w:val="6BD6020E"/>
    <w:rsid w:val="6C3F4006"/>
    <w:rsid w:val="6C4E4249"/>
    <w:rsid w:val="6C841DBF"/>
    <w:rsid w:val="6C8C6B1F"/>
    <w:rsid w:val="6CA83959"/>
    <w:rsid w:val="6CAB51F7"/>
    <w:rsid w:val="6CC62031"/>
    <w:rsid w:val="6CCF5389"/>
    <w:rsid w:val="6D0668D1"/>
    <w:rsid w:val="6D081BFA"/>
    <w:rsid w:val="6D142D9C"/>
    <w:rsid w:val="6D156B14"/>
    <w:rsid w:val="6D1E3C1B"/>
    <w:rsid w:val="6D2C27DC"/>
    <w:rsid w:val="6D2F7BD6"/>
    <w:rsid w:val="6D4573FA"/>
    <w:rsid w:val="6D4A4A10"/>
    <w:rsid w:val="6D5B4E6F"/>
    <w:rsid w:val="6D604233"/>
    <w:rsid w:val="6D785A21"/>
    <w:rsid w:val="6DAF51BB"/>
    <w:rsid w:val="6DD8026E"/>
    <w:rsid w:val="6DDB7D5E"/>
    <w:rsid w:val="6DEE7A91"/>
    <w:rsid w:val="6DF8446C"/>
    <w:rsid w:val="6E0252EB"/>
    <w:rsid w:val="6E1F649C"/>
    <w:rsid w:val="6E3B6A4F"/>
    <w:rsid w:val="6E4C47B8"/>
    <w:rsid w:val="6E751F61"/>
    <w:rsid w:val="6E9D3265"/>
    <w:rsid w:val="6EA6036C"/>
    <w:rsid w:val="6EA939B8"/>
    <w:rsid w:val="6EAA49ED"/>
    <w:rsid w:val="6EC47C66"/>
    <w:rsid w:val="6ED8604B"/>
    <w:rsid w:val="6EE829FC"/>
    <w:rsid w:val="6EF015E7"/>
    <w:rsid w:val="6F047DDC"/>
    <w:rsid w:val="6F060E0B"/>
    <w:rsid w:val="6F0B4673"/>
    <w:rsid w:val="6F0F4163"/>
    <w:rsid w:val="6F1B2B08"/>
    <w:rsid w:val="6F2A4AF9"/>
    <w:rsid w:val="6F4162E7"/>
    <w:rsid w:val="6F4B2CC1"/>
    <w:rsid w:val="6F5C6C7D"/>
    <w:rsid w:val="6F795A80"/>
    <w:rsid w:val="6F863CF9"/>
    <w:rsid w:val="6F9208F0"/>
    <w:rsid w:val="6F944668"/>
    <w:rsid w:val="6F9B37DF"/>
    <w:rsid w:val="6FAF18CA"/>
    <w:rsid w:val="6FB940CF"/>
    <w:rsid w:val="6FDF4162"/>
    <w:rsid w:val="6FE54EC4"/>
    <w:rsid w:val="6FE56C72"/>
    <w:rsid w:val="6FE729EA"/>
    <w:rsid w:val="7012394F"/>
    <w:rsid w:val="7020414E"/>
    <w:rsid w:val="70473489"/>
    <w:rsid w:val="70775C47"/>
    <w:rsid w:val="70791FDC"/>
    <w:rsid w:val="70BB28C7"/>
    <w:rsid w:val="70C64CF5"/>
    <w:rsid w:val="70CB230C"/>
    <w:rsid w:val="70EE7DA8"/>
    <w:rsid w:val="710D6480"/>
    <w:rsid w:val="71290DE0"/>
    <w:rsid w:val="71306613"/>
    <w:rsid w:val="714F4CEB"/>
    <w:rsid w:val="71526589"/>
    <w:rsid w:val="715916C6"/>
    <w:rsid w:val="71630796"/>
    <w:rsid w:val="716342F2"/>
    <w:rsid w:val="71685DAD"/>
    <w:rsid w:val="717A163C"/>
    <w:rsid w:val="71B44B4E"/>
    <w:rsid w:val="71B763EC"/>
    <w:rsid w:val="71C254BD"/>
    <w:rsid w:val="71C50B09"/>
    <w:rsid w:val="71D90A58"/>
    <w:rsid w:val="72231CD3"/>
    <w:rsid w:val="723C3FAF"/>
    <w:rsid w:val="72C9533D"/>
    <w:rsid w:val="72D54D7C"/>
    <w:rsid w:val="72D57472"/>
    <w:rsid w:val="72E90D7F"/>
    <w:rsid w:val="72FD42D3"/>
    <w:rsid w:val="73261A7B"/>
    <w:rsid w:val="733107D8"/>
    <w:rsid w:val="733B15C3"/>
    <w:rsid w:val="735D2FC3"/>
    <w:rsid w:val="737C169B"/>
    <w:rsid w:val="73974727"/>
    <w:rsid w:val="73A62BBC"/>
    <w:rsid w:val="73BB6668"/>
    <w:rsid w:val="73E51C2F"/>
    <w:rsid w:val="73E80675"/>
    <w:rsid w:val="73EA0CFB"/>
    <w:rsid w:val="73FE47A6"/>
    <w:rsid w:val="74030593"/>
    <w:rsid w:val="740873D3"/>
    <w:rsid w:val="740B2A1F"/>
    <w:rsid w:val="744321B9"/>
    <w:rsid w:val="745D6531"/>
    <w:rsid w:val="74600FBD"/>
    <w:rsid w:val="74640AAD"/>
    <w:rsid w:val="748A603A"/>
    <w:rsid w:val="74AE3AD6"/>
    <w:rsid w:val="74DD362F"/>
    <w:rsid w:val="74EE06F3"/>
    <w:rsid w:val="74FA2AD6"/>
    <w:rsid w:val="750E6C6B"/>
    <w:rsid w:val="751E11CC"/>
    <w:rsid w:val="758F1B5A"/>
    <w:rsid w:val="75BC66C7"/>
    <w:rsid w:val="75D91027"/>
    <w:rsid w:val="760342F6"/>
    <w:rsid w:val="761553FC"/>
    <w:rsid w:val="761E2EDE"/>
    <w:rsid w:val="76437692"/>
    <w:rsid w:val="764A5A81"/>
    <w:rsid w:val="7671125F"/>
    <w:rsid w:val="7671300D"/>
    <w:rsid w:val="76DD06A3"/>
    <w:rsid w:val="76E539FB"/>
    <w:rsid w:val="76EB7264"/>
    <w:rsid w:val="76FB321F"/>
    <w:rsid w:val="772067E2"/>
    <w:rsid w:val="77342D4E"/>
    <w:rsid w:val="77364257"/>
    <w:rsid w:val="775E5A5C"/>
    <w:rsid w:val="776112D4"/>
    <w:rsid w:val="77664B3C"/>
    <w:rsid w:val="777C4360"/>
    <w:rsid w:val="777D1373"/>
    <w:rsid w:val="77882D05"/>
    <w:rsid w:val="77BF7A05"/>
    <w:rsid w:val="77D45F4A"/>
    <w:rsid w:val="77E141C3"/>
    <w:rsid w:val="77E37F3B"/>
    <w:rsid w:val="77FA7033"/>
    <w:rsid w:val="78082C12"/>
    <w:rsid w:val="7819395D"/>
    <w:rsid w:val="785C1A9B"/>
    <w:rsid w:val="78746DE5"/>
    <w:rsid w:val="78782D79"/>
    <w:rsid w:val="78A376CA"/>
    <w:rsid w:val="78EA5EF2"/>
    <w:rsid w:val="79183C14"/>
    <w:rsid w:val="791A5BDE"/>
    <w:rsid w:val="791B3704"/>
    <w:rsid w:val="7924080B"/>
    <w:rsid w:val="79256331"/>
    <w:rsid w:val="794964C4"/>
    <w:rsid w:val="795A422D"/>
    <w:rsid w:val="795F5CE7"/>
    <w:rsid w:val="79823784"/>
    <w:rsid w:val="799314ED"/>
    <w:rsid w:val="79BA191D"/>
    <w:rsid w:val="79BA4CCB"/>
    <w:rsid w:val="79C1605A"/>
    <w:rsid w:val="79D12015"/>
    <w:rsid w:val="79E306C6"/>
    <w:rsid w:val="79F3642F"/>
    <w:rsid w:val="79F857F4"/>
    <w:rsid w:val="7A275176"/>
    <w:rsid w:val="7A320D06"/>
    <w:rsid w:val="7A664E53"/>
    <w:rsid w:val="7A6A04A0"/>
    <w:rsid w:val="7A765096"/>
    <w:rsid w:val="7A7C01D3"/>
    <w:rsid w:val="7AB23BF5"/>
    <w:rsid w:val="7ACF29F8"/>
    <w:rsid w:val="7AD149C3"/>
    <w:rsid w:val="7B0A68E9"/>
    <w:rsid w:val="7B18439F"/>
    <w:rsid w:val="7B220D7A"/>
    <w:rsid w:val="7B227779"/>
    <w:rsid w:val="7B31720F"/>
    <w:rsid w:val="7B334D35"/>
    <w:rsid w:val="7B3B1E3C"/>
    <w:rsid w:val="7B666459"/>
    <w:rsid w:val="7BB33FCE"/>
    <w:rsid w:val="7C0C5586"/>
    <w:rsid w:val="7C240B22"/>
    <w:rsid w:val="7C43544C"/>
    <w:rsid w:val="7C4F2043"/>
    <w:rsid w:val="7C694787"/>
    <w:rsid w:val="7C6E6F3C"/>
    <w:rsid w:val="7C7E0232"/>
    <w:rsid w:val="7CAB4D9F"/>
    <w:rsid w:val="7CBE4AD3"/>
    <w:rsid w:val="7CC55E61"/>
    <w:rsid w:val="7CCD4D16"/>
    <w:rsid w:val="7CD460A4"/>
    <w:rsid w:val="7D056BA5"/>
    <w:rsid w:val="7D08288D"/>
    <w:rsid w:val="7D252DA4"/>
    <w:rsid w:val="7D397EFB"/>
    <w:rsid w:val="7D4F0E01"/>
    <w:rsid w:val="7D5471E5"/>
    <w:rsid w:val="7D586CD5"/>
    <w:rsid w:val="7D6722A4"/>
    <w:rsid w:val="7D692C90"/>
    <w:rsid w:val="7D853842"/>
    <w:rsid w:val="7D8555F0"/>
    <w:rsid w:val="7DA4016C"/>
    <w:rsid w:val="7DA77C5D"/>
    <w:rsid w:val="7DB859C6"/>
    <w:rsid w:val="7DB879A9"/>
    <w:rsid w:val="7DC9372F"/>
    <w:rsid w:val="7DE40569"/>
    <w:rsid w:val="7DEC4B84"/>
    <w:rsid w:val="7DF12C86"/>
    <w:rsid w:val="7DF74740"/>
    <w:rsid w:val="7E114D79"/>
    <w:rsid w:val="7E1939E8"/>
    <w:rsid w:val="7E1C7D03"/>
    <w:rsid w:val="7E1F3C97"/>
    <w:rsid w:val="7E2B6198"/>
    <w:rsid w:val="7E350DC4"/>
    <w:rsid w:val="7E4F632A"/>
    <w:rsid w:val="7E682F48"/>
    <w:rsid w:val="7E747B3F"/>
    <w:rsid w:val="7E7A2C7B"/>
    <w:rsid w:val="7E801D18"/>
    <w:rsid w:val="7E90249F"/>
    <w:rsid w:val="7EBC14E6"/>
    <w:rsid w:val="7EC108AA"/>
    <w:rsid w:val="7ED93E46"/>
    <w:rsid w:val="7EED306E"/>
    <w:rsid w:val="7F032C71"/>
    <w:rsid w:val="7F0D7F93"/>
    <w:rsid w:val="7F21759B"/>
    <w:rsid w:val="7F280963"/>
    <w:rsid w:val="7F511C2E"/>
    <w:rsid w:val="7F8567C3"/>
    <w:rsid w:val="7F86582B"/>
    <w:rsid w:val="7F8C516B"/>
    <w:rsid w:val="7FA77AA0"/>
    <w:rsid w:val="7FB328E9"/>
    <w:rsid w:val="7FDB599C"/>
    <w:rsid w:val="7FE72592"/>
    <w:rsid w:val="7FF64583"/>
    <w:rsid w:val="7FFF16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qFormat="1"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6"/>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7"/>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8"/>
    <w:unhideWhenUsed/>
    <w:qFormat/>
    <w:uiPriority w:val="9"/>
    <w:pPr>
      <w:keepNext/>
      <w:keepLines/>
      <w:spacing w:before="280" w:after="290" w:line="376" w:lineRule="auto"/>
      <w:outlineLvl w:val="3"/>
    </w:pPr>
    <w:rPr>
      <w:rFonts w:asciiTheme="majorHAnsi" w:hAnsiTheme="majorHAnsi" w:cstheme="majorBidi"/>
      <w:b/>
      <w:bCs/>
      <w:sz w:val="28"/>
      <w:szCs w:val="28"/>
    </w:rPr>
  </w:style>
  <w:style w:type="character" w:default="1" w:styleId="29">
    <w:name w:val="Default Paragraph Font"/>
    <w:semiHidden/>
    <w:unhideWhenUsed/>
    <w:qFormat/>
    <w:uiPriority w:val="1"/>
  </w:style>
  <w:style w:type="table" w:default="1" w:styleId="27">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autoRedefine/>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5"/>
    <w:qFormat/>
    <w:uiPriority w:val="0"/>
    <w:pPr>
      <w:spacing w:line="240" w:lineRule="auto"/>
    </w:pPr>
    <w:rPr>
      <w:rFonts w:asciiTheme="minorHAnsi" w:hAnsiTheme="minorHAnsi" w:eastAsiaTheme="minorEastAsia"/>
      <w:sz w:val="21"/>
      <w:szCs w:val="24"/>
    </w:rPr>
  </w:style>
  <w:style w:type="paragraph" w:styleId="10">
    <w:name w:val="Body Text 3"/>
    <w:basedOn w:val="1"/>
    <w:link w:val="41"/>
    <w:semiHidden/>
    <w:unhideWhenUsed/>
    <w:qFormat/>
    <w:uiPriority w:val="99"/>
    <w:pPr>
      <w:spacing w:after="120"/>
    </w:pPr>
    <w:rPr>
      <w:sz w:val="16"/>
      <w:szCs w:val="16"/>
    </w:rPr>
  </w:style>
  <w:style w:type="paragraph" w:styleId="11">
    <w:name w:val="Body Text"/>
    <w:basedOn w:val="1"/>
    <w:link w:val="40"/>
    <w:unhideWhenUsed/>
    <w:qFormat/>
    <w:uiPriority w:val="99"/>
    <w:pPr>
      <w:spacing w:after="120" w:line="240" w:lineRule="auto"/>
      <w:jc w:val="both"/>
    </w:pPr>
    <w:rPr>
      <w:rFonts w:ascii="Times New Roman" w:hAnsi="Times New Roman" w:cs="Times New Roman"/>
      <w:kern w:val="0"/>
      <w:sz w:val="20"/>
      <w:szCs w:val="20"/>
    </w:rPr>
  </w:style>
  <w:style w:type="paragraph" w:styleId="12">
    <w:name w:val="Body Text Indent"/>
    <w:basedOn w:val="1"/>
    <w:unhideWhenUsed/>
    <w:qFormat/>
    <w:uiPriority w:val="0"/>
    <w:pPr>
      <w:ind w:firstLine="630"/>
    </w:pPr>
    <w:rPr>
      <w:rFonts w:eastAsia="仿宋_GB2312"/>
      <w:kern w:val="0"/>
      <w:sz w:val="32"/>
      <w:szCs w:val="20"/>
    </w:rPr>
  </w:style>
  <w:style w:type="paragraph" w:styleId="13">
    <w:name w:val="toc 5"/>
    <w:basedOn w:val="1"/>
    <w:next w:val="1"/>
    <w:autoRedefine/>
    <w:unhideWhenUsed/>
    <w:qFormat/>
    <w:uiPriority w:val="39"/>
    <w:pPr>
      <w:ind w:left="960"/>
    </w:pPr>
    <w:rPr>
      <w:rFonts w:asciiTheme="minorHAnsi" w:eastAsiaTheme="minorHAnsi"/>
      <w:sz w:val="18"/>
      <w:szCs w:val="18"/>
    </w:rPr>
  </w:style>
  <w:style w:type="paragraph" w:styleId="14">
    <w:name w:val="toc 3"/>
    <w:basedOn w:val="1"/>
    <w:next w:val="1"/>
    <w:autoRedefine/>
    <w:unhideWhenUsed/>
    <w:qFormat/>
    <w:uiPriority w:val="39"/>
    <w:pPr>
      <w:ind w:left="480"/>
    </w:pPr>
    <w:rPr>
      <w:rFonts w:asciiTheme="minorHAnsi" w:eastAsiaTheme="minorHAnsi"/>
      <w:i/>
      <w:iCs/>
      <w:sz w:val="20"/>
      <w:szCs w:val="20"/>
    </w:rPr>
  </w:style>
  <w:style w:type="paragraph" w:styleId="15">
    <w:name w:val="Plain Text"/>
    <w:basedOn w:val="1"/>
    <w:unhideWhenUsed/>
    <w:qFormat/>
    <w:uiPriority w:val="0"/>
    <w:rPr>
      <w:rFonts w:ascii="宋体" w:hAnsi="Courier New"/>
      <w:kern w:val="0"/>
      <w:sz w:val="20"/>
      <w:szCs w:val="20"/>
    </w:rPr>
  </w:style>
  <w:style w:type="paragraph" w:styleId="16">
    <w:name w:val="toc 8"/>
    <w:basedOn w:val="1"/>
    <w:next w:val="1"/>
    <w:autoRedefine/>
    <w:unhideWhenUsed/>
    <w:qFormat/>
    <w:uiPriority w:val="39"/>
    <w:pPr>
      <w:ind w:left="1680"/>
    </w:pPr>
    <w:rPr>
      <w:rFonts w:asciiTheme="minorHAnsi" w:eastAsiaTheme="minorHAnsi"/>
      <w:sz w:val="18"/>
      <w:szCs w:val="18"/>
    </w:rPr>
  </w:style>
  <w:style w:type="paragraph" w:styleId="17">
    <w:name w:val="footer"/>
    <w:basedOn w:val="1"/>
    <w:link w:val="35"/>
    <w:unhideWhenUsed/>
    <w:qFormat/>
    <w:uiPriority w:val="99"/>
    <w:pPr>
      <w:tabs>
        <w:tab w:val="center" w:pos="4153"/>
        <w:tab w:val="right" w:pos="8306"/>
      </w:tabs>
      <w:snapToGrid w:val="0"/>
    </w:pPr>
    <w:rPr>
      <w:sz w:val="18"/>
      <w:szCs w:val="18"/>
    </w:rPr>
  </w:style>
  <w:style w:type="paragraph" w:styleId="18">
    <w:name w:val="header"/>
    <w:basedOn w:val="1"/>
    <w:link w:val="34"/>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20">
    <w:name w:val="toc 4"/>
    <w:basedOn w:val="1"/>
    <w:next w:val="1"/>
    <w:autoRedefine/>
    <w:unhideWhenUsed/>
    <w:qFormat/>
    <w:uiPriority w:val="39"/>
    <w:pPr>
      <w:ind w:left="720"/>
    </w:pPr>
    <w:rPr>
      <w:rFonts w:asciiTheme="minorHAnsi" w:eastAsiaTheme="minorHAnsi"/>
      <w:sz w:val="18"/>
      <w:szCs w:val="18"/>
    </w:rPr>
  </w:style>
  <w:style w:type="paragraph" w:styleId="21">
    <w:name w:val="footnote text"/>
    <w:basedOn w:val="1"/>
    <w:qFormat/>
    <w:uiPriority w:val="0"/>
    <w:pPr>
      <w:widowControl/>
      <w:jc w:val="left"/>
    </w:pPr>
    <w:rPr>
      <w:kern w:val="0"/>
      <w:sz w:val="20"/>
      <w:szCs w:val="20"/>
      <w:lang w:val="de-DE"/>
    </w:rPr>
  </w:style>
  <w:style w:type="paragraph" w:styleId="22">
    <w:name w:val="toc 6"/>
    <w:basedOn w:val="1"/>
    <w:next w:val="1"/>
    <w:autoRedefine/>
    <w:unhideWhenUsed/>
    <w:qFormat/>
    <w:uiPriority w:val="39"/>
    <w:pPr>
      <w:ind w:left="1200"/>
    </w:pPr>
    <w:rPr>
      <w:rFonts w:asciiTheme="minorHAnsi" w:eastAsiaTheme="minorHAnsi"/>
      <w:sz w:val="18"/>
      <w:szCs w:val="18"/>
    </w:rPr>
  </w:style>
  <w:style w:type="paragraph" w:styleId="23">
    <w:name w:val="toc 2"/>
    <w:basedOn w:val="1"/>
    <w:next w:val="1"/>
    <w:autoRedefine/>
    <w:unhideWhenUsed/>
    <w:qFormat/>
    <w:uiPriority w:val="39"/>
    <w:pPr>
      <w:ind w:left="240"/>
    </w:pPr>
    <w:rPr>
      <w:rFonts w:asciiTheme="minorHAnsi" w:eastAsiaTheme="minorHAnsi"/>
      <w:smallCaps/>
      <w:sz w:val="20"/>
      <w:szCs w:val="20"/>
    </w:rPr>
  </w:style>
  <w:style w:type="paragraph" w:styleId="24">
    <w:name w:val="toc 9"/>
    <w:basedOn w:val="1"/>
    <w:next w:val="1"/>
    <w:autoRedefine/>
    <w:unhideWhenUsed/>
    <w:qFormat/>
    <w:uiPriority w:val="39"/>
    <w:pPr>
      <w:ind w:left="1920"/>
    </w:pPr>
    <w:rPr>
      <w:rFonts w:asciiTheme="minorHAnsi" w:eastAsiaTheme="minorHAnsi"/>
      <w:sz w:val="18"/>
      <w:szCs w:val="18"/>
    </w:rPr>
  </w:style>
  <w:style w:type="paragraph" w:styleId="25">
    <w:name w:val="Normal (Web)"/>
    <w:basedOn w:val="1"/>
    <w:qFormat/>
    <w:uiPriority w:val="0"/>
    <w:pPr>
      <w:widowControl/>
      <w:spacing w:before="100" w:beforeAutospacing="1" w:after="100" w:afterAutospacing="1" w:line="240" w:lineRule="auto"/>
    </w:pPr>
    <w:rPr>
      <w:rFonts w:cs="宋体"/>
      <w:kern w:val="0"/>
      <w:szCs w:val="20"/>
    </w:rPr>
  </w:style>
  <w:style w:type="paragraph" w:styleId="26">
    <w:name w:val="annotation subject"/>
    <w:basedOn w:val="9"/>
    <w:next w:val="9"/>
    <w:link w:val="50"/>
    <w:semiHidden/>
    <w:unhideWhenUsed/>
    <w:qFormat/>
    <w:uiPriority w:val="99"/>
    <w:pPr>
      <w:spacing w:line="360" w:lineRule="auto"/>
    </w:pPr>
    <w:rPr>
      <w:rFonts w:ascii="宋体" w:hAnsi="宋体" w:eastAsia="宋体"/>
      <w:b/>
      <w:bCs/>
      <w:sz w:val="24"/>
      <w:szCs w:val="22"/>
    </w:rPr>
  </w:style>
  <w:style w:type="table" w:styleId="28">
    <w:name w:val="Table Grid"/>
    <w:basedOn w:val="2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0">
    <w:name w:val="Strong"/>
    <w:basedOn w:val="29"/>
    <w:qFormat/>
    <w:uiPriority w:val="0"/>
    <w:rPr>
      <w:b/>
      <w:bCs/>
    </w:rPr>
  </w:style>
  <w:style w:type="character" w:styleId="31">
    <w:name w:val="Hyperlink"/>
    <w:basedOn w:val="29"/>
    <w:unhideWhenUsed/>
    <w:qFormat/>
    <w:uiPriority w:val="99"/>
    <w:rPr>
      <w:color w:val="0563C1" w:themeColor="hyperlink"/>
      <w:u w:val="single"/>
      <w14:textFill>
        <w14:solidFill>
          <w14:schemeClr w14:val="hlink"/>
        </w14:solidFill>
      </w14:textFill>
    </w:rPr>
  </w:style>
  <w:style w:type="character" w:styleId="32">
    <w:name w:val="annotation reference"/>
    <w:basedOn w:val="29"/>
    <w:semiHidden/>
    <w:unhideWhenUsed/>
    <w:qFormat/>
    <w:uiPriority w:val="99"/>
    <w:rPr>
      <w:sz w:val="21"/>
      <w:szCs w:val="21"/>
    </w:rPr>
  </w:style>
  <w:style w:type="paragraph" w:customStyle="1" w:styleId="33">
    <w:name w:val="正文缩进2"/>
    <w:basedOn w:val="1"/>
    <w:qFormat/>
    <w:uiPriority w:val="0"/>
    <w:pPr>
      <w:wordWrap w:val="0"/>
      <w:ind w:firstLine="200" w:firstLineChars="200"/>
    </w:pPr>
  </w:style>
  <w:style w:type="character" w:customStyle="1" w:styleId="34">
    <w:name w:val="页眉 字符"/>
    <w:basedOn w:val="29"/>
    <w:link w:val="18"/>
    <w:qFormat/>
    <w:uiPriority w:val="99"/>
    <w:rPr>
      <w:rFonts w:eastAsia="宋体"/>
      <w:sz w:val="18"/>
      <w:szCs w:val="18"/>
    </w:rPr>
  </w:style>
  <w:style w:type="character" w:customStyle="1" w:styleId="35">
    <w:name w:val="页脚 字符"/>
    <w:basedOn w:val="29"/>
    <w:link w:val="17"/>
    <w:qFormat/>
    <w:uiPriority w:val="99"/>
    <w:rPr>
      <w:rFonts w:eastAsia="宋体"/>
      <w:sz w:val="18"/>
      <w:szCs w:val="18"/>
    </w:rPr>
  </w:style>
  <w:style w:type="character" w:customStyle="1" w:styleId="36">
    <w:name w:val="标题 1 字符"/>
    <w:basedOn w:val="29"/>
    <w:link w:val="2"/>
    <w:qFormat/>
    <w:uiPriority w:val="9"/>
    <w:rPr>
      <w:rFonts w:ascii="宋体" w:hAnsi="宋体" w:eastAsia="黑体"/>
      <w:b/>
      <w:bCs/>
      <w:kern w:val="44"/>
      <w:sz w:val="44"/>
      <w:szCs w:val="44"/>
    </w:rPr>
  </w:style>
  <w:style w:type="paragraph" w:styleId="37">
    <w:name w:val="List Paragraph"/>
    <w:basedOn w:val="1"/>
    <w:link w:val="46"/>
    <w:qFormat/>
    <w:uiPriority w:val="34"/>
    <w:pPr>
      <w:ind w:firstLine="420" w:firstLineChars="200"/>
    </w:pPr>
  </w:style>
  <w:style w:type="character" w:customStyle="1" w:styleId="38">
    <w:name w:val="标题 2 字符"/>
    <w:basedOn w:val="29"/>
    <w:link w:val="3"/>
    <w:qFormat/>
    <w:uiPriority w:val="9"/>
    <w:rPr>
      <w:rFonts w:eastAsia="宋体" w:asciiTheme="majorHAnsi" w:hAnsiTheme="majorHAnsi" w:cstheme="majorBidi"/>
      <w:b/>
      <w:bCs/>
      <w:sz w:val="32"/>
      <w:szCs w:val="32"/>
    </w:rPr>
  </w:style>
  <w:style w:type="character" w:customStyle="1" w:styleId="39">
    <w:name w:val="未处理的提及1"/>
    <w:basedOn w:val="29"/>
    <w:semiHidden/>
    <w:unhideWhenUsed/>
    <w:qFormat/>
    <w:uiPriority w:val="99"/>
    <w:rPr>
      <w:color w:val="605E5C"/>
      <w:shd w:val="clear" w:color="auto" w:fill="E1DFDD"/>
    </w:rPr>
  </w:style>
  <w:style w:type="character" w:customStyle="1" w:styleId="40">
    <w:name w:val="正文文本 字符"/>
    <w:basedOn w:val="29"/>
    <w:link w:val="11"/>
    <w:qFormat/>
    <w:uiPriority w:val="99"/>
    <w:rPr>
      <w:rFonts w:ascii="Times New Roman" w:hAnsi="Times New Roman" w:eastAsia="宋体" w:cs="Times New Roman"/>
      <w:kern w:val="0"/>
      <w:sz w:val="20"/>
      <w:szCs w:val="20"/>
    </w:rPr>
  </w:style>
  <w:style w:type="character" w:customStyle="1" w:styleId="41">
    <w:name w:val="正文文本 3 字符"/>
    <w:basedOn w:val="29"/>
    <w:link w:val="10"/>
    <w:semiHidden/>
    <w:qFormat/>
    <w:uiPriority w:val="99"/>
    <w:rPr>
      <w:rFonts w:ascii="宋体" w:hAnsi="宋体" w:eastAsia="宋体"/>
      <w:sz w:val="16"/>
      <w:szCs w:val="16"/>
    </w:rPr>
  </w:style>
  <w:style w:type="paragraph" w:customStyle="1" w:styleId="42">
    <w:name w:val="Default"/>
    <w:link w:val="43"/>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3">
    <w:name w:val="Default Char Char"/>
    <w:link w:val="42"/>
    <w:qFormat/>
    <w:uiPriority w:val="0"/>
    <w:rPr>
      <w:rFonts w:ascii=".." w:hAnsi="Times New Roman" w:eastAsia=".." w:cs="Times New Roman"/>
      <w:color w:val="000000"/>
      <w:kern w:val="0"/>
      <w:sz w:val="24"/>
      <w:szCs w:val="24"/>
    </w:rPr>
  </w:style>
  <w:style w:type="paragraph" w:styleId="44">
    <w:name w:val="No Spacing"/>
    <w:link w:val="49"/>
    <w:qFormat/>
    <w:uiPriority w:val="1"/>
    <w:pPr>
      <w:widowControl w:val="0"/>
    </w:pPr>
    <w:rPr>
      <w:rFonts w:ascii="宋体" w:hAnsi="宋体" w:eastAsia="宋体" w:cstheme="minorBidi"/>
      <w:kern w:val="2"/>
      <w:sz w:val="21"/>
      <w:szCs w:val="22"/>
      <w:lang w:val="en-US" w:eastAsia="zh-CN" w:bidi="ar-SA"/>
    </w:rPr>
  </w:style>
  <w:style w:type="character" w:customStyle="1" w:styleId="45">
    <w:name w:val="批注文字 字符"/>
    <w:basedOn w:val="29"/>
    <w:link w:val="9"/>
    <w:qFormat/>
    <w:uiPriority w:val="0"/>
    <w:rPr>
      <w:szCs w:val="24"/>
    </w:rPr>
  </w:style>
  <w:style w:type="character" w:customStyle="1" w:styleId="46">
    <w:name w:val="列表段落 字符"/>
    <w:link w:val="37"/>
    <w:qFormat/>
    <w:uiPriority w:val="34"/>
    <w:rPr>
      <w:rFonts w:ascii="宋体" w:hAnsi="宋体" w:eastAsia="宋体"/>
      <w:sz w:val="24"/>
    </w:rPr>
  </w:style>
  <w:style w:type="character" w:customStyle="1" w:styleId="47">
    <w:name w:val="标题 3 字符"/>
    <w:basedOn w:val="29"/>
    <w:link w:val="4"/>
    <w:autoRedefine/>
    <w:qFormat/>
    <w:uiPriority w:val="9"/>
    <w:rPr>
      <w:rFonts w:ascii="宋体" w:hAnsi="宋体" w:eastAsia="宋体"/>
      <w:b/>
      <w:bCs/>
      <w:sz w:val="32"/>
      <w:szCs w:val="32"/>
    </w:rPr>
  </w:style>
  <w:style w:type="character" w:customStyle="1" w:styleId="48">
    <w:name w:val="标题 4 字符"/>
    <w:basedOn w:val="29"/>
    <w:link w:val="5"/>
    <w:autoRedefine/>
    <w:qFormat/>
    <w:uiPriority w:val="9"/>
    <w:rPr>
      <w:rFonts w:eastAsia="宋体" w:asciiTheme="majorHAnsi" w:hAnsiTheme="majorHAnsi" w:cstheme="majorBidi"/>
      <w:b/>
      <w:bCs/>
      <w:sz w:val="28"/>
      <w:szCs w:val="28"/>
    </w:rPr>
  </w:style>
  <w:style w:type="character" w:customStyle="1" w:styleId="49">
    <w:name w:val="无间隔 字符"/>
    <w:link w:val="44"/>
    <w:qFormat/>
    <w:uiPriority w:val="1"/>
    <w:rPr>
      <w:rFonts w:ascii="宋体" w:hAnsi="宋体" w:eastAsia="宋体"/>
    </w:rPr>
  </w:style>
  <w:style w:type="character" w:customStyle="1" w:styleId="50">
    <w:name w:val="批注主题 字符"/>
    <w:basedOn w:val="45"/>
    <w:link w:val="26"/>
    <w:semiHidden/>
    <w:qFormat/>
    <w:uiPriority w:val="99"/>
    <w:rPr>
      <w:rFonts w:ascii="宋体" w:hAnsi="宋体" w:eastAsia="宋体"/>
      <w:b/>
      <w:bCs/>
      <w:kern w:val="2"/>
      <w:sz w:val="24"/>
      <w:szCs w:val="22"/>
    </w:rPr>
  </w:style>
  <w:style w:type="paragraph" w:customStyle="1" w:styleId="51">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2">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3">
    <w:name w:val="正文1"/>
    <w:autoRedefine/>
    <w:qFormat/>
    <w:uiPriority w:val="0"/>
    <w:pPr>
      <w:widowControl w:val="0"/>
      <w:jc w:val="both"/>
    </w:pPr>
    <w:rPr>
      <w:rFonts w:ascii="Calibri" w:hAnsi="Calibri" w:eastAsia="宋体" w:cs="Times New Roman"/>
      <w:lang w:val="en-US" w:eastAsia="zh-CN" w:bidi="ar-SA"/>
    </w:rPr>
  </w:style>
  <w:style w:type="paragraph" w:customStyle="1" w:styleId="54">
    <w:name w:val="正文_2"/>
    <w:autoRedefine/>
    <w:qFormat/>
    <w:uiPriority w:val="0"/>
    <w:pPr>
      <w:widowControl w:val="0"/>
      <w:jc w:val="both"/>
    </w:pPr>
    <w:rPr>
      <w:rFonts w:ascii="Calibri" w:hAnsi="Calibri" w:eastAsia="宋体" w:cs="Times New Roman"/>
      <w:lang w:val="en-US" w:eastAsia="zh-CN" w:bidi="ar-SA"/>
    </w:rPr>
  </w:style>
  <w:style w:type="paragraph" w:customStyle="1" w:styleId="55">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6">
    <w:name w:val="正文_1"/>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57">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8">
    <w:name w:val="列出段落1"/>
    <w:basedOn w:val="1"/>
    <w:autoRedefine/>
    <w:qFormat/>
    <w:uiPriority w:val="0"/>
    <w:pPr>
      <w:ind w:firstLine="420" w:firstLineChars="200"/>
    </w:pPr>
    <w:rPr>
      <w:szCs w:val="21"/>
    </w:rPr>
  </w:style>
  <w:style w:type="paragraph" w:customStyle="1" w:styleId="59">
    <w:name w:val="Normal_22"/>
    <w:autoRedefine/>
    <w:qFormat/>
    <w:uiPriority w:val="0"/>
    <w:rPr>
      <w:rFonts w:ascii="Times New Roman" w:hAnsi="Times New Roman" w:eastAsia="Times New Roman" w:cs="Times New Roman"/>
      <w:sz w:val="24"/>
      <w:szCs w:val="24"/>
      <w:lang w:bidi="ar-SA"/>
    </w:rPr>
  </w:style>
  <w:style w:type="paragraph" w:customStyle="1" w:styleId="60">
    <w:name w:val="Char Char Char Char Char Char Char1 Char"/>
    <w:basedOn w:val="1"/>
    <w:autoRedefine/>
    <w:qFormat/>
    <w:uiPriority w:val="0"/>
    <w:rPr>
      <w:rFonts w:ascii="Arial" w:hAnsi="Arial" w:eastAsia="宋体" w:cs="Arial"/>
      <w:sz w:val="24"/>
    </w:rPr>
  </w:style>
  <w:style w:type="paragraph" w:customStyle="1" w:styleId="61">
    <w:name w:val="正文缩进2格"/>
    <w:basedOn w:val="1"/>
    <w:qFormat/>
    <w:uiPriority w:val="0"/>
    <w:pPr>
      <w:spacing w:line="600" w:lineRule="exact"/>
      <w:ind w:firstLine="639" w:firstLineChars="206"/>
    </w:pPr>
    <w:rPr>
      <w:rFonts w:ascii="仿宋_GB2312" w:hAnsi="宋体" w:eastAsia="仿宋_GB2312"/>
      <w:kern w:val="0"/>
      <w:sz w:val="31"/>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109</Pages>
  <Words>3516</Words>
  <Characters>3893</Characters>
  <Lines>294</Lines>
  <Paragraphs>82</Paragraphs>
  <TotalTime>27</TotalTime>
  <ScaleCrop>false</ScaleCrop>
  <LinksUpToDate>false</LinksUpToDate>
  <CharactersWithSpaces>4522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2024-02-04T06:30:00Z</dcterms:created>
  <dc:creator>admin</dc:creator>
  <cp:lastModifiedBy>佐笾的佐笾</cp:lastModifiedBy>
  <cp:lastPrinted>2025-03-18T03:27:00Z</cp:lastPrinted>
  <dcterms:modified xsi:type="dcterms:W3CDTF">2025-07-09T03:03:49Z</dcterms:modified>
  <cp:revision>397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B313BC40C52D4B6CBB28CEB450E3C492_13</vt:lpwstr>
  </property>
  <property fmtid="{D5CDD505-2E9C-101B-9397-08002B2CF9AE}" pid="4" name="KSOTemplateDocerSaveRecord">
    <vt:lpwstr>eyJoZGlkIjoiZDJkNTg1OTJkZTA1ZDVhNGYzMmVkNzJiZGI5ZmNhNzAiLCJ1c2VySWQiOiI3NzQ1MzE4MTMifQ==</vt:lpwstr>
  </property>
</Properties>
</file>