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37A52B">
      <w:pPr>
        <w:rPr>
          <w:rFonts w:hint="eastAsia" w:ascii="黑体" w:hAnsi="黑体" w:eastAsia="黑体"/>
          <w:color w:val="auto"/>
          <w:sz w:val="32"/>
          <w:szCs w:val="32"/>
          <w:highlight w:val="none"/>
          <w:lang w:eastAsia="zh-CN"/>
        </w:rPr>
      </w:pPr>
      <w:bookmarkStart w:id="707" w:name="_GoBack"/>
    </w:p>
    <w:p w14:paraId="06C72DAE">
      <w:pPr>
        <w:jc w:val="center"/>
        <w:rPr>
          <w:rFonts w:hint="eastAsia" w:ascii="黑体" w:hAnsi="黑体" w:eastAsia="黑体"/>
          <w:color w:val="auto"/>
          <w:spacing w:val="5760"/>
          <w:w w:val="100"/>
          <w:kern w:val="0"/>
          <w:sz w:val="36"/>
          <w:szCs w:val="36"/>
          <w:highlight w:val="none"/>
          <w:fitText w:val="6120" w:id="-1002138880"/>
          <w:lang w:val="en-US" w:eastAsia="zh-CN"/>
        </w:rPr>
      </w:pPr>
    </w:p>
    <w:p w14:paraId="0B001271">
      <w:pPr>
        <w:jc w:val="center"/>
        <w:rPr>
          <w:rFonts w:hint="eastAsia" w:ascii="宋体" w:hAnsi="宋体" w:eastAsia="宋体" w:cs="宋体"/>
          <w:b/>
          <w:bCs/>
          <w:color w:val="auto"/>
          <w:kern w:val="0"/>
          <w:sz w:val="60"/>
          <w:szCs w:val="60"/>
          <w:highlight w:val="none"/>
          <w:lang w:val="en-US" w:eastAsia="zh-CN"/>
        </w:rPr>
      </w:pPr>
      <w:r>
        <w:rPr>
          <w:rFonts w:hint="eastAsia" w:ascii="宋体" w:hAnsi="宋体" w:eastAsia="宋体" w:cs="宋体"/>
          <w:b/>
          <w:bCs/>
          <w:color w:val="auto"/>
          <w:kern w:val="0"/>
          <w:sz w:val="60"/>
          <w:szCs w:val="60"/>
          <w:highlight w:val="none"/>
          <w:lang w:val="en-US" w:eastAsia="zh-CN"/>
        </w:rPr>
        <w:t>兵团政府采购项目</w:t>
      </w:r>
    </w:p>
    <w:p w14:paraId="01CD27AD">
      <w:pPr>
        <w:jc w:val="center"/>
        <w:rPr>
          <w:rFonts w:hint="eastAsia" w:ascii="宋体" w:hAnsi="宋体" w:eastAsia="宋体" w:cs="宋体"/>
          <w:b/>
          <w:bCs/>
          <w:color w:val="auto"/>
          <w:kern w:val="0"/>
          <w:sz w:val="60"/>
          <w:szCs w:val="60"/>
          <w:highlight w:val="none"/>
          <w:lang w:val="en-US" w:eastAsia="zh-CN"/>
        </w:rPr>
      </w:pPr>
      <w:r>
        <w:rPr>
          <w:rFonts w:hint="eastAsia" w:ascii="宋体" w:hAnsi="宋体" w:eastAsia="宋体" w:cs="宋体"/>
          <w:b/>
          <w:bCs/>
          <w:color w:val="auto"/>
          <w:kern w:val="0"/>
          <w:sz w:val="60"/>
          <w:szCs w:val="60"/>
          <w:highlight w:val="none"/>
          <w:lang w:val="en-US" w:eastAsia="zh-CN"/>
        </w:rPr>
        <w:t>公开招标文件示范文本</w:t>
      </w:r>
    </w:p>
    <w:p w14:paraId="2348539C">
      <w:pPr>
        <w:jc w:val="center"/>
        <w:rPr>
          <w:rFonts w:hint="eastAsia" w:ascii="宋体" w:hAnsi="宋体" w:eastAsia="宋体" w:cs="宋体"/>
          <w:b/>
          <w:bCs/>
          <w:color w:val="auto"/>
          <w:kern w:val="0"/>
          <w:sz w:val="60"/>
          <w:szCs w:val="60"/>
          <w:highlight w:val="none"/>
          <w:lang w:val="en-US" w:eastAsia="zh-CN"/>
        </w:rPr>
      </w:pPr>
      <w:r>
        <w:rPr>
          <w:rFonts w:hint="eastAsia" w:ascii="宋体" w:hAnsi="宋体" w:eastAsia="宋体" w:cs="宋体"/>
          <w:b/>
          <w:bCs/>
          <w:color w:val="auto"/>
          <w:kern w:val="0"/>
          <w:sz w:val="60"/>
          <w:szCs w:val="60"/>
          <w:highlight w:val="none"/>
          <w:lang w:val="en-US" w:eastAsia="zh-CN"/>
        </w:rPr>
        <w:t>（服务）</w:t>
      </w:r>
    </w:p>
    <w:p w14:paraId="5DC44D9A">
      <w:pPr>
        <w:jc w:val="center"/>
        <w:rPr>
          <w:rFonts w:hint="eastAsia" w:ascii="宋体" w:hAnsi="宋体" w:eastAsia="宋体" w:cs="宋体"/>
          <w:b/>
          <w:bCs/>
          <w:color w:val="auto"/>
          <w:kern w:val="0"/>
          <w:sz w:val="60"/>
          <w:szCs w:val="60"/>
          <w:highlight w:val="none"/>
          <w:lang w:val="en-US" w:eastAsia="zh-CN"/>
        </w:rPr>
      </w:pPr>
      <w:bookmarkStart w:id="0" w:name="_Hlk164181180"/>
      <w:r>
        <w:rPr>
          <w:rFonts w:hint="eastAsia" w:ascii="宋体" w:hAnsi="宋体" w:eastAsia="宋体" w:cs="宋体"/>
          <w:b/>
          <w:bCs/>
          <w:color w:val="auto"/>
          <w:kern w:val="0"/>
          <w:sz w:val="60"/>
          <w:szCs w:val="60"/>
          <w:highlight w:val="none"/>
          <w:lang w:val="en-US" w:eastAsia="zh-CN"/>
        </w:rPr>
        <w:t>（2025年版）</w:t>
      </w:r>
    </w:p>
    <w:bookmarkEnd w:id="0"/>
    <w:p w14:paraId="7757DFAA">
      <w:pPr>
        <w:spacing w:line="240" w:lineRule="auto"/>
        <w:jc w:val="center"/>
        <w:rPr>
          <w:rFonts w:ascii="黑体" w:hAnsi="黑体" w:eastAsia="黑体"/>
          <w:color w:val="auto"/>
          <w:sz w:val="52"/>
          <w:szCs w:val="52"/>
          <w:highlight w:val="none"/>
        </w:rPr>
      </w:pPr>
    </w:p>
    <w:p w14:paraId="67E856E7">
      <w:pPr>
        <w:spacing w:line="240" w:lineRule="auto"/>
        <w:jc w:val="center"/>
        <w:rPr>
          <w:rFonts w:ascii="黑体" w:hAnsi="黑体" w:eastAsia="黑体"/>
          <w:color w:val="auto"/>
          <w:sz w:val="52"/>
          <w:szCs w:val="52"/>
          <w:highlight w:val="none"/>
        </w:rPr>
      </w:pPr>
    </w:p>
    <w:p w14:paraId="6E97F6A4">
      <w:pPr>
        <w:spacing w:line="240" w:lineRule="auto"/>
        <w:jc w:val="center"/>
        <w:rPr>
          <w:rFonts w:ascii="黑体" w:hAnsi="黑体" w:eastAsia="黑体"/>
          <w:color w:val="auto"/>
          <w:sz w:val="52"/>
          <w:szCs w:val="52"/>
          <w:highlight w:val="none"/>
        </w:rPr>
      </w:pPr>
    </w:p>
    <w:p w14:paraId="5B5CFFCE">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099C4CDE">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p>
    <w:p w14:paraId="316ED0D4">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采</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购</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人：</w:t>
      </w:r>
      <w:r>
        <w:rPr>
          <w:rFonts w:hint="eastAsia" w:ascii="宋体" w:hAnsi="宋体" w:eastAsia="宋体" w:cs="宋体"/>
          <w:color w:val="auto"/>
          <w:sz w:val="36"/>
          <w:szCs w:val="36"/>
          <w:highlight w:val="none"/>
          <w:u w:val="single"/>
        </w:rPr>
        <w:t xml:space="preserve">                                </w:t>
      </w:r>
    </w:p>
    <w:p w14:paraId="55B2AE18">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采购代理机构：</w:t>
      </w:r>
      <w:r>
        <w:rPr>
          <w:rFonts w:hint="eastAsia" w:ascii="宋体" w:hAnsi="宋体" w:eastAsia="宋体" w:cs="宋体"/>
          <w:color w:val="auto"/>
          <w:sz w:val="36"/>
          <w:szCs w:val="36"/>
          <w:highlight w:val="none"/>
          <w:u w:val="single"/>
        </w:rPr>
        <w:t xml:space="preserve">                            </w:t>
      </w:r>
    </w:p>
    <w:p w14:paraId="351C4D59">
      <w:pPr>
        <w:rPr>
          <w:rFonts w:ascii="黑体" w:hAnsi="黑体" w:eastAsia="黑体"/>
          <w:color w:val="auto"/>
          <w:highlight w:val="none"/>
        </w:rPr>
      </w:pPr>
    </w:p>
    <w:p w14:paraId="320C1BF6">
      <w:pPr>
        <w:ind w:left="420" w:leftChars="175" w:firstLine="640" w:firstLineChars="200"/>
        <w:jc w:val="center"/>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 </w:t>
      </w:r>
      <w:r>
        <w:rPr>
          <w:rFonts w:ascii="黑体" w:hAnsi="黑体" w:eastAsia="黑体"/>
          <w:color w:val="auto"/>
          <w:sz w:val="32"/>
          <w:szCs w:val="32"/>
          <w:highlight w:val="none"/>
        </w:rPr>
        <w:t xml:space="preserve">   </w:t>
      </w:r>
    </w:p>
    <w:p w14:paraId="3B2CDAF9">
      <w:pPr>
        <w:jc w:val="center"/>
        <w:rPr>
          <w:rFonts w:hint="eastAsia" w:ascii="黑体" w:hAnsi="黑体" w:eastAsia="黑体"/>
          <w:color w:val="auto"/>
          <w:sz w:val="48"/>
          <w:szCs w:val="48"/>
          <w:highlight w:val="none"/>
        </w:rPr>
      </w:pPr>
    </w:p>
    <w:p w14:paraId="309B13BD">
      <w:pPr>
        <w:jc w:val="center"/>
        <w:rPr>
          <w:rFonts w:hint="eastAsia" w:ascii="黑体" w:hAnsi="黑体" w:eastAsia="黑体"/>
          <w:color w:val="auto"/>
          <w:sz w:val="48"/>
          <w:szCs w:val="48"/>
          <w:highlight w:val="none"/>
        </w:rPr>
      </w:pPr>
    </w:p>
    <w:p w14:paraId="67540CEC">
      <w:pPr>
        <w:jc w:val="center"/>
        <w:rPr>
          <w:rFonts w:hint="eastAsia" w:ascii="黑体" w:hAnsi="黑体" w:eastAsia="黑体"/>
          <w:color w:val="auto"/>
          <w:sz w:val="48"/>
          <w:szCs w:val="48"/>
          <w:highlight w:val="none"/>
        </w:rPr>
      </w:pPr>
    </w:p>
    <w:p w14:paraId="0BD23774">
      <w:pPr>
        <w:jc w:val="center"/>
        <w:rPr>
          <w:rFonts w:hint="eastAsia" w:ascii="黑体" w:hAnsi="黑体" w:eastAsia="黑体"/>
          <w:color w:val="auto"/>
          <w:sz w:val="48"/>
          <w:szCs w:val="48"/>
          <w:highlight w:val="none"/>
        </w:rPr>
      </w:pPr>
    </w:p>
    <w:p w14:paraId="67C7136D">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使用说明</w:t>
      </w:r>
    </w:p>
    <w:p w14:paraId="7756ACDC">
      <w:pPr>
        <w:pStyle w:val="35"/>
        <w:rPr>
          <w:rFonts w:hint="eastAsia" w:ascii="黑体" w:hAnsi="黑体" w:eastAsia="黑体"/>
          <w:color w:val="auto"/>
          <w:sz w:val="72"/>
          <w:szCs w:val="72"/>
          <w:highlight w:val="none"/>
        </w:rPr>
      </w:pPr>
    </w:p>
    <w:p w14:paraId="1560DCC4">
      <w:pPr>
        <w:pStyle w:val="12"/>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仿宋" w:hAnsi="仿宋" w:eastAsia="宋体" w:cs="仿宋"/>
          <w:iCs/>
          <w:color w:val="auto"/>
          <w:kern w:val="2"/>
          <w:sz w:val="32"/>
          <w:szCs w:val="24"/>
          <w:highlight w:val="none"/>
          <w:shd w:val="clear" w:color="auto" w:fill="FFFFFF" w:themeFill="background1"/>
          <w:lang w:val="zh-CN" w:eastAsia="zh-CN" w:bidi="ar-SA"/>
        </w:rPr>
      </w:pPr>
      <w:r>
        <w:rPr>
          <w:rFonts w:hint="eastAsia" w:ascii="仿宋" w:hAnsi="仿宋" w:eastAsia="宋体" w:cs="仿宋"/>
          <w:iCs/>
          <w:color w:val="auto"/>
          <w:kern w:val="2"/>
          <w:sz w:val="32"/>
          <w:szCs w:val="24"/>
          <w:highlight w:val="none"/>
          <w:shd w:val="clear" w:color="auto" w:fill="FFFFFF" w:themeFill="background1"/>
          <w:lang w:val="en-US" w:eastAsia="zh-CN" w:bidi="ar-SA"/>
        </w:rPr>
        <w:t>为促进政府采购活动的公开、公平和公正进行，进一步优化新疆生产建设兵团政府采购营商环境，提高招标文件编制质量和采购工作效率，根据政府采购有关法律法规及政策要求，会同有关单位研究制定了《兵团政府采购项目公开招标文件示范文本（试行）（2025年版）》（以下简称《示范文本》），并在兵团政府采购项目中推广使用，</w:t>
      </w:r>
      <w:r>
        <w:rPr>
          <w:rFonts w:hint="eastAsia" w:ascii="仿宋" w:hAnsi="仿宋" w:eastAsia="宋体" w:cs="仿宋"/>
          <w:iCs/>
          <w:color w:val="auto"/>
          <w:kern w:val="2"/>
          <w:sz w:val="32"/>
          <w:szCs w:val="24"/>
          <w:highlight w:val="none"/>
          <w:shd w:val="clear" w:color="auto" w:fill="FFFFFF" w:themeFill="background1"/>
          <w:lang w:val="zh-CN" w:eastAsia="zh-CN" w:bidi="ar-SA"/>
        </w:rPr>
        <w:t>特此说明如下：</w:t>
      </w:r>
    </w:p>
    <w:p w14:paraId="762D3896">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lang w:val="en-US" w:eastAsia="zh-CN"/>
        </w:rPr>
      </w:pPr>
      <w:r>
        <w:rPr>
          <w:rFonts w:hint="eastAsia" w:ascii="黑体" w:hAnsi="黑体" w:eastAsia="黑体" w:cs="黑体"/>
          <w:b/>
          <w:bCs/>
          <w:color w:val="auto"/>
          <w:sz w:val="32"/>
          <w:szCs w:val="24"/>
          <w:highlight w:val="none"/>
          <w:lang w:val="en-US" w:eastAsia="zh-CN"/>
        </w:rPr>
        <w:t>一、适用范围</w:t>
      </w:r>
    </w:p>
    <w:p w14:paraId="28837969">
      <w:pPr>
        <w:pStyle w:val="12"/>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仿宋" w:hAnsi="仿宋" w:eastAsia="宋体" w:cs="仿宋"/>
          <w:iCs/>
          <w:color w:val="auto"/>
          <w:kern w:val="2"/>
          <w:sz w:val="32"/>
          <w:szCs w:val="24"/>
          <w:highlight w:val="none"/>
          <w:shd w:val="clear" w:color="auto" w:fill="FFFFFF" w:themeFill="background1"/>
          <w:lang w:val="zh-CN" w:eastAsia="zh-CN" w:bidi="ar-SA"/>
        </w:rPr>
      </w:pPr>
      <w:r>
        <w:rPr>
          <w:rFonts w:hint="eastAsia" w:ascii="仿宋" w:hAnsi="仿宋" w:eastAsia="宋体" w:cs="仿宋"/>
          <w:iCs/>
          <w:color w:val="auto"/>
          <w:kern w:val="2"/>
          <w:sz w:val="32"/>
          <w:szCs w:val="24"/>
          <w:highlight w:val="none"/>
          <w:shd w:val="clear" w:color="auto" w:fill="FFFFFF" w:themeFill="background1"/>
          <w:lang w:val="zh-CN" w:eastAsia="zh-CN" w:bidi="ar-SA"/>
        </w:rPr>
        <w:t>《示范文本》适用于</w:t>
      </w:r>
      <w:r>
        <w:rPr>
          <w:rFonts w:hint="eastAsia" w:ascii="仿宋" w:hAnsi="仿宋" w:eastAsia="宋体" w:cs="仿宋"/>
          <w:iCs/>
          <w:color w:val="auto"/>
          <w:kern w:val="2"/>
          <w:sz w:val="32"/>
          <w:szCs w:val="24"/>
          <w:highlight w:val="none"/>
          <w:shd w:val="clear" w:color="auto" w:fill="FFFFFF" w:themeFill="background1"/>
          <w:lang w:val="en-US" w:eastAsia="zh-CN" w:bidi="ar-SA"/>
        </w:rPr>
        <w:t>兵团</w:t>
      </w:r>
      <w:r>
        <w:rPr>
          <w:rFonts w:hint="eastAsia" w:ascii="仿宋" w:hAnsi="仿宋" w:eastAsia="宋体" w:cs="仿宋"/>
          <w:iCs/>
          <w:color w:val="auto"/>
          <w:kern w:val="2"/>
          <w:sz w:val="32"/>
          <w:szCs w:val="24"/>
          <w:highlight w:val="none"/>
          <w:shd w:val="clear" w:color="auto" w:fill="FFFFFF" w:themeFill="background1"/>
          <w:lang w:val="zh-CN" w:eastAsia="zh-CN" w:bidi="ar-SA"/>
        </w:rPr>
        <w:t>政府采购项目。</w:t>
      </w:r>
    </w:p>
    <w:p w14:paraId="42BB8292">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lang w:val="en-US" w:eastAsia="zh-CN"/>
        </w:rPr>
      </w:pPr>
      <w:r>
        <w:rPr>
          <w:rFonts w:hint="eastAsia" w:ascii="黑体" w:hAnsi="黑体" w:eastAsia="黑体" w:cs="黑体"/>
          <w:b/>
          <w:bCs/>
          <w:color w:val="auto"/>
          <w:sz w:val="32"/>
          <w:szCs w:val="24"/>
          <w:highlight w:val="none"/>
          <w:lang w:val="en-US" w:eastAsia="zh-CN"/>
        </w:rPr>
        <w:t>二、使用规则</w:t>
      </w:r>
    </w:p>
    <w:p w14:paraId="7FBD95E1">
      <w:pPr>
        <w:pStyle w:val="12"/>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仿宋" w:hAnsi="仿宋" w:eastAsia="宋体" w:cs="仿宋"/>
          <w:iCs/>
          <w:color w:val="auto"/>
          <w:kern w:val="2"/>
          <w:sz w:val="32"/>
          <w:szCs w:val="24"/>
          <w:highlight w:val="none"/>
          <w:shd w:val="clear" w:color="auto" w:fill="FFFFFF" w:themeFill="background1"/>
          <w:lang w:val="en-US" w:eastAsia="zh-CN" w:bidi="ar-SA"/>
        </w:rPr>
      </w:pPr>
      <w:r>
        <w:rPr>
          <w:rFonts w:hint="eastAsia" w:ascii="仿宋" w:hAnsi="仿宋" w:eastAsia="宋体" w:cs="仿宋"/>
          <w:iCs/>
          <w:color w:val="auto"/>
          <w:kern w:val="2"/>
          <w:sz w:val="32"/>
          <w:szCs w:val="24"/>
          <w:highlight w:val="none"/>
          <w:shd w:val="clear" w:color="auto" w:fill="FFFFFF" w:themeFill="background1"/>
          <w:lang w:val="en-US" w:eastAsia="zh-CN" w:bidi="ar-SA"/>
        </w:rPr>
        <w:t>1.条款中以空格和下划横线“   ”形式标记的部分，为采购人或采购代理机构需要填写的内容。采购人或采购代理机构应根据</w:t>
      </w:r>
      <w:r>
        <w:rPr>
          <w:rFonts w:hint="eastAsia" w:ascii="仿宋" w:hAnsi="仿宋" w:eastAsia="宋体" w:cs="仿宋"/>
          <w:iCs/>
          <w:color w:val="auto"/>
          <w:kern w:val="2"/>
          <w:sz w:val="32"/>
          <w:szCs w:val="24"/>
          <w:highlight w:val="none"/>
          <w:shd w:val="clear" w:color="auto" w:fill="FFFFFF" w:themeFill="background1"/>
          <w:lang w:val="zh-CN" w:eastAsia="zh-CN" w:bidi="ar-SA"/>
        </w:rPr>
        <w:t>国家和</w:t>
      </w:r>
      <w:r>
        <w:rPr>
          <w:rFonts w:hint="eastAsia" w:ascii="仿宋" w:hAnsi="仿宋" w:eastAsia="宋体" w:cs="仿宋"/>
          <w:iCs/>
          <w:color w:val="auto"/>
          <w:kern w:val="2"/>
          <w:sz w:val="32"/>
          <w:szCs w:val="24"/>
          <w:highlight w:val="none"/>
          <w:shd w:val="clear" w:color="auto" w:fill="FFFFFF" w:themeFill="background1"/>
          <w:lang w:val="en-US" w:eastAsia="zh-CN" w:bidi="ar-SA"/>
        </w:rPr>
        <w:t>兵团</w:t>
      </w:r>
      <w:r>
        <w:rPr>
          <w:rFonts w:hint="eastAsia" w:ascii="仿宋" w:hAnsi="仿宋" w:eastAsia="宋体" w:cs="仿宋"/>
          <w:iCs/>
          <w:color w:val="auto"/>
          <w:kern w:val="2"/>
          <w:sz w:val="32"/>
          <w:szCs w:val="24"/>
          <w:highlight w:val="none"/>
          <w:shd w:val="clear" w:color="auto" w:fill="FFFFFF" w:themeFill="background1"/>
          <w:lang w:val="zh-CN" w:eastAsia="zh-CN" w:bidi="ar-SA"/>
        </w:rPr>
        <w:t>有关法律法规的规定、</w:t>
      </w:r>
      <w:r>
        <w:rPr>
          <w:rFonts w:hint="eastAsia" w:ascii="仿宋" w:hAnsi="仿宋" w:eastAsia="宋体" w:cs="仿宋"/>
          <w:iCs/>
          <w:color w:val="auto"/>
          <w:kern w:val="2"/>
          <w:sz w:val="32"/>
          <w:szCs w:val="24"/>
          <w:highlight w:val="none"/>
          <w:shd w:val="clear" w:color="auto" w:fill="FFFFFF" w:themeFill="background1"/>
          <w:lang w:val="en-US" w:eastAsia="zh-CN" w:bidi="ar-SA"/>
        </w:rPr>
        <w:t>采购项目具体特点和实际需要进行具体化填写，确实没有需要填写的，在空格或下划横线“   ”中用“/”标记。</w:t>
      </w:r>
    </w:p>
    <w:p w14:paraId="4E121B87">
      <w:pPr>
        <w:pStyle w:val="12"/>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仿宋" w:hAnsi="仿宋" w:eastAsia="宋体" w:cs="仿宋"/>
          <w:iCs/>
          <w:color w:val="auto"/>
          <w:kern w:val="2"/>
          <w:sz w:val="32"/>
          <w:szCs w:val="24"/>
          <w:highlight w:val="none"/>
          <w:shd w:val="clear" w:color="auto" w:fill="FFFFFF" w:themeFill="background1"/>
          <w:lang w:val="zh-CN" w:eastAsia="zh-CN" w:bidi="ar-SA"/>
        </w:rPr>
      </w:pPr>
      <w:r>
        <w:rPr>
          <w:rFonts w:hint="eastAsia" w:ascii="仿宋" w:hAnsi="仿宋" w:eastAsia="宋体" w:cs="仿宋"/>
          <w:iCs/>
          <w:color w:val="auto"/>
          <w:kern w:val="2"/>
          <w:sz w:val="32"/>
          <w:szCs w:val="24"/>
          <w:highlight w:val="none"/>
          <w:shd w:val="clear" w:color="auto" w:fill="FFFFFF" w:themeFill="background1"/>
          <w:lang w:val="en-US" w:eastAsia="zh-CN" w:bidi="ar-SA"/>
        </w:rPr>
        <w:t>2.条款中以“□”形式标记的内容，为采购人或采购代理机构需要确定的选项。编制招标文件时，适用于本项目的选项标记为“</w:t>
      </w:r>
      <w:r>
        <w:rPr>
          <w:rFonts w:hint="eastAsia" w:ascii="仿宋" w:hAnsi="仿宋" w:eastAsia="宋体" w:cs="仿宋"/>
          <w:iCs/>
          <w:color w:val="auto"/>
          <w:kern w:val="2"/>
          <w:sz w:val="32"/>
          <w:szCs w:val="24"/>
          <w:highlight w:val="none"/>
          <w:shd w:val="clear" w:color="auto" w:fill="FFFFFF" w:themeFill="background1"/>
          <w:lang w:val="en-US" w:eastAsia="zh-CN" w:bidi="ar-SA"/>
        </w:rPr>
        <w:sym w:font="Wingdings 2" w:char="0052"/>
      </w:r>
      <w:r>
        <w:rPr>
          <w:rFonts w:hint="eastAsia" w:ascii="仿宋" w:hAnsi="仿宋" w:eastAsia="宋体" w:cs="仿宋"/>
          <w:iCs/>
          <w:color w:val="auto"/>
          <w:kern w:val="2"/>
          <w:sz w:val="32"/>
          <w:szCs w:val="24"/>
          <w:highlight w:val="none"/>
          <w:shd w:val="clear" w:color="auto" w:fill="FFFFFF" w:themeFill="background1"/>
          <w:lang w:val="en-US" w:eastAsia="zh-CN" w:bidi="ar-SA"/>
        </w:rPr>
        <w:t>”，不适用于本项目的选项标记为“□”。</w:t>
      </w:r>
    </w:p>
    <w:p w14:paraId="562A1BFC">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lang w:val="en-US" w:eastAsia="zh-CN"/>
        </w:rPr>
      </w:pPr>
      <w:r>
        <w:rPr>
          <w:rFonts w:hint="eastAsia" w:ascii="黑体" w:hAnsi="黑体" w:eastAsia="黑体" w:cs="黑体"/>
          <w:b/>
          <w:bCs/>
          <w:color w:val="auto"/>
          <w:sz w:val="32"/>
          <w:szCs w:val="24"/>
          <w:highlight w:val="none"/>
          <w:lang w:val="en-US" w:eastAsia="zh-CN"/>
        </w:rPr>
        <w:t>三、提示说明</w:t>
      </w:r>
    </w:p>
    <w:p w14:paraId="72AB7316">
      <w:pPr>
        <w:pStyle w:val="12"/>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仿宋" w:hAnsi="仿宋" w:eastAsia="宋体" w:cs="仿宋"/>
          <w:iCs/>
          <w:color w:val="auto"/>
          <w:kern w:val="2"/>
          <w:sz w:val="32"/>
          <w:szCs w:val="24"/>
          <w:highlight w:val="none"/>
          <w:shd w:val="clear" w:color="auto" w:fill="FFFFFF" w:themeFill="background1"/>
          <w:lang w:val="en-US" w:eastAsia="zh-CN" w:bidi="ar-SA"/>
        </w:rPr>
      </w:pPr>
      <w:r>
        <w:rPr>
          <w:rFonts w:hint="eastAsia" w:ascii="仿宋" w:hAnsi="仿宋" w:eastAsia="宋体" w:cs="仿宋"/>
          <w:iCs/>
          <w:color w:val="auto"/>
          <w:kern w:val="2"/>
          <w:sz w:val="32"/>
          <w:szCs w:val="24"/>
          <w:highlight w:val="none"/>
          <w:shd w:val="clear" w:color="auto" w:fill="FFFFFF" w:themeFill="background1"/>
          <w:lang w:val="en-US" w:eastAsia="zh-CN" w:bidi="ar-SA"/>
        </w:rPr>
        <w:t>1.《示范文本》中“【】”形式标记的内容，属于提示编制采购文件的注意事项，在交易系统中制作采购文件模板时，有关“【】”内的提示内容应予以删除。</w:t>
      </w:r>
    </w:p>
    <w:p w14:paraId="03D37BD1">
      <w:pPr>
        <w:pStyle w:val="12"/>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default" w:ascii="仿宋" w:hAnsi="仿宋" w:eastAsia="宋体" w:cs="仿宋"/>
          <w:iCs/>
          <w:color w:val="auto"/>
          <w:kern w:val="2"/>
          <w:sz w:val="32"/>
          <w:szCs w:val="24"/>
          <w:highlight w:val="none"/>
          <w:shd w:val="clear" w:color="auto" w:fill="FFFFFF" w:themeFill="background1"/>
          <w:lang w:val="en-US" w:eastAsia="zh-CN" w:bidi="ar-SA"/>
        </w:rPr>
      </w:pPr>
      <w:r>
        <w:rPr>
          <w:rFonts w:hint="eastAsia" w:ascii="仿宋" w:hAnsi="仿宋" w:eastAsia="宋体" w:cs="仿宋"/>
          <w:iCs/>
          <w:color w:val="auto"/>
          <w:kern w:val="2"/>
          <w:sz w:val="32"/>
          <w:szCs w:val="24"/>
          <w:highlight w:val="none"/>
          <w:shd w:val="clear" w:color="auto" w:fill="FFFFFF" w:themeFill="background1"/>
          <w:lang w:val="en-US" w:eastAsia="zh-CN" w:bidi="ar-SA"/>
        </w:rPr>
        <w:t>2.不适用的内容及相关章节应予以删除。</w:t>
      </w:r>
    </w:p>
    <w:p w14:paraId="3A26A745">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lang w:val="en-US" w:eastAsia="zh-CN"/>
        </w:rPr>
      </w:pPr>
      <w:r>
        <w:rPr>
          <w:rFonts w:hint="eastAsia" w:ascii="黑体" w:hAnsi="黑体" w:eastAsia="黑体" w:cs="黑体"/>
          <w:b/>
          <w:bCs/>
          <w:color w:val="auto"/>
          <w:sz w:val="32"/>
          <w:szCs w:val="24"/>
          <w:highlight w:val="none"/>
          <w:lang w:val="en-US" w:eastAsia="zh-CN"/>
        </w:rPr>
        <w:t>四、投标人须知前附表说明</w:t>
      </w:r>
    </w:p>
    <w:p w14:paraId="7942F6BE">
      <w:pPr>
        <w:pStyle w:val="12"/>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仿宋" w:hAnsi="仿宋" w:eastAsia="宋体" w:cs="仿宋"/>
          <w:iCs/>
          <w:color w:val="auto"/>
          <w:kern w:val="2"/>
          <w:sz w:val="32"/>
          <w:szCs w:val="24"/>
          <w:highlight w:val="none"/>
          <w:shd w:val="clear" w:color="auto" w:fill="FFFFFF" w:themeFill="background1"/>
          <w:lang w:val="en-US" w:eastAsia="zh-CN" w:bidi="ar-SA"/>
        </w:rPr>
      </w:pPr>
      <w:r>
        <w:rPr>
          <w:rFonts w:hint="eastAsia" w:ascii="仿宋" w:hAnsi="仿宋" w:eastAsia="宋体" w:cs="仿宋"/>
          <w:iCs/>
          <w:color w:val="auto"/>
          <w:kern w:val="2"/>
          <w:sz w:val="32"/>
          <w:szCs w:val="24"/>
          <w:highlight w:val="none"/>
          <w:shd w:val="clear" w:color="auto" w:fill="FFFFFF" w:themeFill="background1"/>
          <w:lang w:val="en-US" w:eastAsia="zh-CN" w:bidi="ar-SA"/>
        </w:rPr>
        <w:t>1.为了便于投标人高效阅览、避免遗漏重点内容，《示范文本》对第二章“投标人须知”设置了表格形式。“投标人须知前附表”用于进一步明确“投标人须知”正文中的未尽事宜，采购人或采购代理机构在编制采购文件时，应根据采购项目实际需要，对于需要修改和补充的内容在前附表中选择和补充列明。“投标人须知前附表”与“投标人须知”正文内容不一致的，以“投标人须知前附表”为准。</w:t>
      </w:r>
    </w:p>
    <w:p w14:paraId="27B779F7">
      <w:pPr>
        <w:pStyle w:val="12"/>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仿宋" w:hAnsi="仿宋" w:eastAsia="宋体" w:cs="仿宋"/>
          <w:iCs/>
          <w:color w:val="auto"/>
          <w:kern w:val="2"/>
          <w:sz w:val="32"/>
          <w:szCs w:val="24"/>
          <w:highlight w:val="none"/>
          <w:shd w:val="clear" w:color="auto" w:fill="FFFFFF" w:themeFill="background1"/>
          <w:lang w:val="en-US" w:eastAsia="zh-CN" w:bidi="ar-SA"/>
        </w:rPr>
      </w:pPr>
      <w:r>
        <w:rPr>
          <w:rFonts w:hint="eastAsia" w:ascii="仿宋" w:hAnsi="仿宋" w:eastAsia="宋体" w:cs="仿宋"/>
          <w:iCs/>
          <w:color w:val="auto"/>
          <w:kern w:val="2"/>
          <w:sz w:val="32"/>
          <w:szCs w:val="24"/>
          <w:highlight w:val="none"/>
          <w:shd w:val="clear" w:color="auto" w:fill="FFFFFF" w:themeFill="background1"/>
          <w:lang w:val="en-US" w:eastAsia="zh-CN" w:bidi="ar-SA"/>
        </w:rPr>
        <w:t>2.为避免采购文件编制过程中出现的相同内容在文件中前后不一致等错误，采购文件尽量做到相同内容只出现一次，其他章节涉及有关内容的，以标明条款号引用的方式体现。</w:t>
      </w:r>
    </w:p>
    <w:p w14:paraId="59BBA1CA">
      <w:pPr>
        <w:pStyle w:val="12"/>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仿宋" w:hAnsi="仿宋" w:eastAsia="宋体" w:cs="仿宋"/>
          <w:iCs/>
          <w:color w:val="auto"/>
          <w:kern w:val="2"/>
          <w:sz w:val="32"/>
          <w:szCs w:val="24"/>
          <w:highlight w:val="none"/>
          <w:shd w:val="clear" w:color="auto" w:fill="FFFFFF" w:themeFill="background1"/>
          <w:lang w:val="en-US" w:eastAsia="zh-CN" w:bidi="ar-SA"/>
        </w:rPr>
      </w:pPr>
      <w:r>
        <w:rPr>
          <w:rFonts w:hint="eastAsia" w:ascii="仿宋" w:hAnsi="仿宋" w:eastAsia="宋体" w:cs="仿宋"/>
          <w:iCs/>
          <w:color w:val="auto"/>
          <w:kern w:val="2"/>
          <w:sz w:val="32"/>
          <w:szCs w:val="24"/>
          <w:highlight w:val="none"/>
          <w:shd w:val="clear" w:color="auto" w:fill="FFFFFF" w:themeFill="background1"/>
          <w:lang w:val="en-US" w:eastAsia="zh-CN" w:bidi="ar-SA"/>
        </w:rPr>
        <w:t xml:space="preserve">3.《示范文本》第二章中“投标人须知前附表”所列条款号与“投标人须知正文”的序号一一对应。  </w:t>
      </w:r>
    </w:p>
    <w:p w14:paraId="6C447BDE">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lang w:val="en-US" w:eastAsia="zh-CN"/>
        </w:rPr>
      </w:pPr>
      <w:r>
        <w:rPr>
          <w:rFonts w:hint="eastAsia" w:ascii="黑体" w:hAnsi="黑体" w:eastAsia="黑体" w:cs="黑体"/>
          <w:b/>
          <w:bCs/>
          <w:color w:val="auto"/>
          <w:sz w:val="32"/>
          <w:szCs w:val="24"/>
          <w:highlight w:val="none"/>
          <w:lang w:val="en-US" w:eastAsia="zh-CN"/>
        </w:rPr>
        <w:t>五、采购需求</w:t>
      </w:r>
    </w:p>
    <w:p w14:paraId="2F77B775">
      <w:pPr>
        <w:pStyle w:val="12"/>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仿宋" w:hAnsi="仿宋" w:eastAsia="宋体" w:cs="仿宋"/>
          <w:iCs/>
          <w:color w:val="auto"/>
          <w:kern w:val="2"/>
          <w:sz w:val="32"/>
          <w:szCs w:val="24"/>
          <w:highlight w:val="none"/>
          <w:shd w:val="clear" w:color="auto" w:fill="FFFFFF" w:themeFill="background1"/>
          <w:lang w:val="en-US" w:eastAsia="zh-CN" w:bidi="ar-SA"/>
        </w:rPr>
      </w:pPr>
      <w:r>
        <w:rPr>
          <w:rFonts w:hint="eastAsia" w:ascii="仿宋" w:hAnsi="仿宋" w:eastAsia="宋体" w:cs="仿宋"/>
          <w:iCs/>
          <w:color w:val="auto"/>
          <w:kern w:val="2"/>
          <w:sz w:val="32"/>
          <w:szCs w:val="24"/>
          <w:highlight w:val="none"/>
          <w:shd w:val="clear" w:color="auto" w:fill="FFFFFF" w:themeFill="background1"/>
          <w:lang w:val="en-US" w:eastAsia="zh-CN" w:bidi="ar-SA"/>
        </w:rPr>
        <w:t>《示范文本》在第三章“采购需求”部分列出了需求大纲供采购人或采购代理机构参考。采购清单部分格式应按照采购文件的要求进行编制，以保证结构化数据的统一。同一个采购包中的采购清单，应采用统一的价款形式。</w:t>
      </w:r>
    </w:p>
    <w:p w14:paraId="7DCB88FF">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lang w:val="en-US" w:eastAsia="zh-CN"/>
        </w:rPr>
      </w:pPr>
      <w:r>
        <w:rPr>
          <w:rFonts w:hint="eastAsia" w:ascii="黑体" w:hAnsi="黑体" w:eastAsia="黑体" w:cs="黑体"/>
          <w:b/>
          <w:bCs/>
          <w:color w:val="auto"/>
          <w:sz w:val="32"/>
          <w:szCs w:val="24"/>
          <w:highlight w:val="none"/>
          <w:lang w:val="en-US" w:eastAsia="zh-CN"/>
        </w:rPr>
        <w:t>六、合同文本</w:t>
      </w:r>
    </w:p>
    <w:p w14:paraId="7F46068E">
      <w:pPr>
        <w:pStyle w:val="12"/>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仿宋" w:hAnsi="仿宋" w:eastAsia="宋体" w:cs="仿宋"/>
          <w:iCs/>
          <w:color w:val="auto"/>
          <w:kern w:val="2"/>
          <w:sz w:val="32"/>
          <w:szCs w:val="24"/>
          <w:highlight w:val="none"/>
          <w:shd w:val="clear" w:color="auto" w:fill="FFFFFF" w:themeFill="background1"/>
          <w:lang w:val="en-US" w:eastAsia="zh-CN" w:bidi="ar-SA"/>
        </w:rPr>
      </w:pPr>
      <w:r>
        <w:rPr>
          <w:rFonts w:hint="eastAsia" w:ascii="仿宋" w:hAnsi="仿宋" w:eastAsia="宋体" w:cs="仿宋"/>
          <w:iCs/>
          <w:color w:val="auto"/>
          <w:kern w:val="2"/>
          <w:sz w:val="32"/>
          <w:szCs w:val="24"/>
          <w:highlight w:val="none"/>
          <w:shd w:val="clear" w:color="auto" w:fill="FFFFFF" w:themeFill="background1"/>
          <w:lang w:val="en-US" w:eastAsia="zh-CN" w:bidi="ar-SA"/>
        </w:rPr>
        <w:t>《示范文本》中的合同仅用于参考。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14:paraId="655754F7">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lang w:val="en-US" w:eastAsia="zh-CN"/>
        </w:rPr>
      </w:pPr>
      <w:r>
        <w:rPr>
          <w:rFonts w:hint="eastAsia" w:ascii="黑体" w:hAnsi="黑体" w:eastAsia="黑体" w:cs="黑体"/>
          <w:b/>
          <w:bCs/>
          <w:color w:val="auto"/>
          <w:sz w:val="32"/>
          <w:szCs w:val="24"/>
          <w:highlight w:val="none"/>
          <w:lang w:val="en-US" w:eastAsia="zh-CN"/>
        </w:rPr>
        <w:t>七、投标文件格式使用</w:t>
      </w:r>
    </w:p>
    <w:p w14:paraId="785E2B4F">
      <w:pPr>
        <w:pStyle w:val="12"/>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仿宋" w:hAnsi="仿宋" w:eastAsia="宋体" w:cs="仿宋"/>
          <w:iCs/>
          <w:color w:val="auto"/>
          <w:kern w:val="2"/>
          <w:sz w:val="32"/>
          <w:szCs w:val="24"/>
          <w:highlight w:val="none"/>
          <w:shd w:val="clear" w:color="auto" w:fill="FFFFFF" w:themeFill="background1"/>
          <w:lang w:val="en-US" w:eastAsia="zh-CN" w:bidi="ar-SA"/>
        </w:rPr>
      </w:pPr>
      <w:r>
        <w:rPr>
          <w:rFonts w:hint="eastAsia" w:ascii="仿宋" w:hAnsi="仿宋" w:eastAsia="宋体" w:cs="仿宋"/>
          <w:iCs/>
          <w:color w:val="auto"/>
          <w:kern w:val="2"/>
          <w:sz w:val="32"/>
          <w:szCs w:val="24"/>
          <w:highlight w:val="none"/>
          <w:shd w:val="clear" w:color="auto" w:fill="FFFFFF" w:themeFill="background1"/>
          <w:lang w:val="en-US" w:eastAsia="zh-CN" w:bidi="ar-SA"/>
        </w:rPr>
        <w:t>1.为便于投标人制作投标文件，便于评标委员会评审时统一标准，《示范文本》对适宜的内容提供了统一的投标文件参考格式。</w:t>
      </w:r>
    </w:p>
    <w:p w14:paraId="52FCF538">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lang w:val="en-US" w:eastAsia="zh-CN"/>
        </w:rPr>
      </w:pPr>
      <w:r>
        <w:rPr>
          <w:rFonts w:hint="eastAsia" w:ascii="黑体" w:hAnsi="黑体" w:eastAsia="黑体" w:cs="黑体"/>
          <w:b/>
          <w:bCs/>
          <w:color w:val="auto"/>
          <w:sz w:val="32"/>
          <w:szCs w:val="24"/>
          <w:highlight w:val="none"/>
          <w:lang w:val="en-US" w:eastAsia="zh-CN"/>
        </w:rPr>
        <w:t>八、实施及修改</w:t>
      </w:r>
    </w:p>
    <w:p w14:paraId="511C742F">
      <w:pPr>
        <w:pStyle w:val="12"/>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仿宋" w:hAnsi="仿宋" w:eastAsia="宋体" w:cs="仿宋"/>
          <w:iCs/>
          <w:color w:val="auto"/>
          <w:kern w:val="2"/>
          <w:sz w:val="32"/>
          <w:szCs w:val="24"/>
          <w:highlight w:val="none"/>
          <w:shd w:val="clear" w:color="auto" w:fill="FFFFFF" w:themeFill="background1"/>
          <w:lang w:val="en-US" w:eastAsia="zh-CN" w:bidi="ar-SA"/>
        </w:rPr>
      </w:pPr>
      <w:r>
        <w:rPr>
          <w:rFonts w:hint="eastAsia" w:ascii="仿宋" w:hAnsi="仿宋" w:eastAsia="宋体" w:cs="仿宋"/>
          <w:iCs/>
          <w:color w:val="auto"/>
          <w:kern w:val="2"/>
          <w:sz w:val="32"/>
          <w:szCs w:val="24"/>
          <w:highlight w:val="none"/>
          <w:shd w:val="clear" w:color="auto" w:fill="FFFFFF" w:themeFill="background1"/>
          <w:lang w:val="en-US" w:eastAsia="zh-CN" w:bidi="ar-SA"/>
        </w:rPr>
        <w:t>各级预算单位、采购代理机构认真组织好《示范文本》的推广使用。兵团财政局根据《中华人民共和国政府采购法》修法及相关法律法规修订情况及时对《示范文本》进行调整、完善。</w:t>
      </w:r>
    </w:p>
    <w:p w14:paraId="34DEE96E">
      <w:pPr>
        <w:pStyle w:val="12"/>
        <w:keepNext w:val="0"/>
        <w:keepLines w:val="0"/>
        <w:pageBreakBefore w:val="0"/>
        <w:widowControl w:val="0"/>
        <w:kinsoku/>
        <w:overflowPunct/>
        <w:topLinePunct w:val="0"/>
        <w:autoSpaceDE/>
        <w:autoSpaceDN/>
        <w:bidi w:val="0"/>
        <w:adjustRightInd/>
        <w:snapToGrid/>
        <w:spacing w:line="360" w:lineRule="auto"/>
        <w:ind w:firstLine="640" w:firstLineChars="200"/>
        <w:textAlignment w:val="auto"/>
        <w:rPr>
          <w:rFonts w:hint="eastAsia" w:ascii="仿宋" w:hAnsi="仿宋" w:eastAsia="宋体" w:cs="仿宋"/>
          <w:iCs/>
          <w:color w:val="auto"/>
          <w:kern w:val="2"/>
          <w:sz w:val="32"/>
          <w:szCs w:val="24"/>
          <w:highlight w:val="none"/>
          <w:shd w:val="clear" w:color="auto" w:fill="FFFFFF" w:themeFill="background1"/>
          <w:lang w:val="en-US" w:eastAsia="zh-CN" w:bidi="ar-SA"/>
        </w:rPr>
      </w:pPr>
      <w:r>
        <w:rPr>
          <w:rFonts w:hint="eastAsia" w:ascii="仿宋" w:hAnsi="仿宋" w:eastAsia="宋体" w:cs="仿宋"/>
          <w:iCs/>
          <w:color w:val="auto"/>
          <w:kern w:val="2"/>
          <w:sz w:val="32"/>
          <w:szCs w:val="24"/>
          <w:highlight w:val="none"/>
          <w:shd w:val="clear" w:color="auto" w:fill="FFFFFF" w:themeFill="background1"/>
          <w:lang w:val="en-US" w:eastAsia="zh-CN" w:bidi="ar-SA"/>
        </w:rPr>
        <w:t>采购人或代理机构可结合具体项目特点，依法对采购文件进行适当合理调整。</w:t>
      </w:r>
    </w:p>
    <w:p w14:paraId="12A9B852">
      <w:pPr>
        <w:pStyle w:val="36"/>
        <w:ind w:firstLine="640"/>
        <w:rPr>
          <w:color w:val="auto"/>
          <w:highlight w:val="none"/>
        </w:rPr>
      </w:pPr>
    </w:p>
    <w:p w14:paraId="0B372C1D">
      <w:pPr>
        <w:pStyle w:val="35"/>
        <w:rPr>
          <w:rFonts w:hint="eastAsia" w:ascii="黑体" w:hAnsi="黑体" w:eastAsia="黑体"/>
          <w:color w:val="auto"/>
          <w:sz w:val="72"/>
          <w:szCs w:val="72"/>
          <w:highlight w:val="none"/>
        </w:rPr>
        <w:sectPr>
          <w:headerReference r:id="rId5" w:type="default"/>
          <w:pgSz w:w="11906" w:h="16838"/>
          <w:pgMar w:top="1440" w:right="1800" w:bottom="1440" w:left="1800" w:header="851" w:footer="879" w:gutter="0"/>
          <w:pgBorders>
            <w:top w:val="none" w:sz="0" w:space="0"/>
            <w:left w:val="none" w:sz="0" w:space="0"/>
            <w:bottom w:val="none" w:sz="0" w:space="0"/>
            <w:right w:val="none" w:sz="0" w:space="0"/>
          </w:pgBorders>
          <w:cols w:space="0" w:num="1"/>
          <w:rtlGutter w:val="0"/>
          <w:docGrid w:type="lines" w:linePitch="312" w:charSpace="0"/>
        </w:sectPr>
      </w:pPr>
    </w:p>
    <w:p w14:paraId="2E6E0FD2">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目 录</w:t>
      </w:r>
    </w:p>
    <w:p w14:paraId="1454D4D3">
      <w:pPr>
        <w:pStyle w:val="21"/>
        <w:keepNext w:val="0"/>
        <w:keepLines w:val="0"/>
        <w:pageBreakBefore w:val="0"/>
        <w:widowControl w:val="0"/>
        <w:tabs>
          <w:tab w:val="left" w:pos="960"/>
          <w:tab w:val="right" w:leader="dot" w:pos="8296"/>
        </w:tabs>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1"/>
          <w:szCs w:val="21"/>
          <w:highlight w:val="none"/>
        </w:rPr>
      </w:pPr>
    </w:p>
    <w:p w14:paraId="7FFD49EC">
      <w:pPr>
        <w:pStyle w:val="21"/>
        <w:keepNext w:val="0"/>
        <w:keepLines w:val="0"/>
        <w:pageBreakBefore w:val="0"/>
        <w:tabs>
          <w:tab w:val="right" w:leader="dot" w:pos="8306"/>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smallCaps w:val="0"/>
          <w:spacing w:val="0"/>
          <w:sz w:val="24"/>
          <w:szCs w:val="24"/>
          <w:highlight w:val="none"/>
        </w:rPr>
      </w:pPr>
      <w:bookmarkStart w:id="1" w:name="_Toc155185859"/>
      <w:bookmarkStart w:id="2" w:name="_Toc10815"/>
      <w:bookmarkStart w:id="3" w:name="_Hlk130458318"/>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TOC \o "1-2" \h \u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_Toc14348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44"/>
          <w:sz w:val="24"/>
          <w:szCs w:val="24"/>
          <w:highlight w:val="none"/>
          <w:lang w:val="en-US" w:eastAsia="zh-CN" w:bidi="ar-SA"/>
        </w:rPr>
        <w:t xml:space="preserve">第一章 </w:t>
      </w:r>
      <w:r>
        <w:rPr>
          <w:rFonts w:hint="eastAsia" w:ascii="宋体" w:hAnsi="宋体" w:eastAsia="宋体" w:cs="宋体"/>
          <w:caps w:val="0"/>
          <w:smallCaps w:val="0"/>
          <w:spacing w:val="0"/>
          <w:sz w:val="24"/>
          <w:szCs w:val="24"/>
          <w:highlight w:val="none"/>
          <w:lang w:val="en-US" w:eastAsia="zh-CN"/>
        </w:rPr>
        <w:t>招标公告</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_Toc14348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- 1 -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5FE9B28C">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_Toc1290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hr-HR" w:eastAsia="zh-CN" w:bidi="ar-SA"/>
        </w:rPr>
        <w:t>一、项目基本情况</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_Toc1290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- 1 -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06E9856E">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_Toc20613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二、申请</w:t>
      </w:r>
      <w:r>
        <w:rPr>
          <w:rFonts w:hint="eastAsia" w:ascii="宋体" w:hAnsi="宋体" w:eastAsia="宋体" w:cs="宋体"/>
          <w:bCs/>
          <w:caps w:val="0"/>
          <w:smallCaps w:val="0"/>
          <w:spacing w:val="0"/>
          <w:kern w:val="2"/>
          <w:sz w:val="24"/>
          <w:szCs w:val="24"/>
          <w:highlight w:val="none"/>
          <w:lang w:val="hr-HR" w:eastAsia="zh-CN" w:bidi="ar-SA"/>
        </w:rPr>
        <w:t>人</w:t>
      </w:r>
      <w:r>
        <w:rPr>
          <w:rFonts w:hint="eastAsia" w:ascii="宋体" w:hAnsi="宋体" w:eastAsia="宋体" w:cs="宋体"/>
          <w:bCs/>
          <w:caps w:val="0"/>
          <w:smallCaps w:val="0"/>
          <w:spacing w:val="0"/>
          <w:kern w:val="2"/>
          <w:sz w:val="24"/>
          <w:szCs w:val="24"/>
          <w:highlight w:val="none"/>
          <w:lang w:val="en-US" w:eastAsia="zh-CN" w:bidi="ar-SA"/>
        </w:rPr>
        <w:t>的</w:t>
      </w:r>
      <w:r>
        <w:rPr>
          <w:rFonts w:hint="eastAsia" w:ascii="宋体" w:hAnsi="宋体" w:eastAsia="宋体" w:cs="宋体"/>
          <w:bCs/>
          <w:caps w:val="0"/>
          <w:smallCaps w:val="0"/>
          <w:spacing w:val="0"/>
          <w:kern w:val="2"/>
          <w:sz w:val="24"/>
          <w:szCs w:val="24"/>
          <w:highlight w:val="none"/>
          <w:lang w:val="hr-HR" w:eastAsia="zh-CN" w:bidi="ar-SA"/>
        </w:rPr>
        <w:t>资格要求</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_Toc20613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- 1 -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1F28E944">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_Toc19057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三、</w:t>
      </w:r>
      <w:r>
        <w:rPr>
          <w:rFonts w:hint="eastAsia" w:ascii="宋体" w:hAnsi="宋体" w:eastAsia="宋体" w:cs="宋体"/>
          <w:bCs/>
          <w:caps w:val="0"/>
          <w:smallCaps w:val="0"/>
          <w:spacing w:val="0"/>
          <w:kern w:val="2"/>
          <w:sz w:val="24"/>
          <w:szCs w:val="24"/>
          <w:highlight w:val="none"/>
          <w:lang w:val="hr-HR" w:eastAsia="zh-CN" w:bidi="ar-SA"/>
        </w:rPr>
        <w:t>获取招标文件</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_Toc19057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- 2 -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3C3193E5">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_Toc16962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四、</w:t>
      </w:r>
      <w:r>
        <w:rPr>
          <w:rFonts w:hint="eastAsia" w:ascii="宋体" w:hAnsi="宋体" w:eastAsia="宋体" w:cs="宋体"/>
          <w:bCs/>
          <w:caps w:val="0"/>
          <w:smallCaps w:val="0"/>
          <w:spacing w:val="0"/>
          <w:kern w:val="2"/>
          <w:sz w:val="24"/>
          <w:szCs w:val="24"/>
          <w:highlight w:val="none"/>
          <w:lang w:val="hr-HR" w:eastAsia="zh-CN" w:bidi="ar-SA"/>
        </w:rPr>
        <w:t>提交投标文件截止时间</w:t>
      </w:r>
      <w:r>
        <w:rPr>
          <w:rFonts w:hint="eastAsia" w:ascii="宋体" w:hAnsi="宋体" w:eastAsia="宋体" w:cs="宋体"/>
          <w:bCs/>
          <w:caps w:val="0"/>
          <w:smallCaps w:val="0"/>
          <w:spacing w:val="0"/>
          <w:kern w:val="2"/>
          <w:sz w:val="24"/>
          <w:szCs w:val="24"/>
          <w:highlight w:val="none"/>
          <w:lang w:val="en-US" w:eastAsia="zh-CN" w:bidi="ar-SA"/>
        </w:rPr>
        <w:t>/</w:t>
      </w:r>
      <w:r>
        <w:rPr>
          <w:rFonts w:hint="eastAsia" w:ascii="宋体" w:hAnsi="宋体" w:eastAsia="宋体" w:cs="宋体"/>
          <w:bCs/>
          <w:caps w:val="0"/>
          <w:smallCaps w:val="0"/>
          <w:spacing w:val="0"/>
          <w:kern w:val="2"/>
          <w:sz w:val="24"/>
          <w:szCs w:val="24"/>
          <w:highlight w:val="none"/>
          <w:lang w:val="hr-HR" w:eastAsia="zh-CN" w:bidi="ar-SA"/>
        </w:rPr>
        <w:t>开标时间、递交方式和</w:t>
      </w:r>
      <w:r>
        <w:rPr>
          <w:rFonts w:hint="eastAsia" w:ascii="宋体" w:hAnsi="宋体" w:eastAsia="宋体" w:cs="宋体"/>
          <w:bCs/>
          <w:caps w:val="0"/>
          <w:smallCaps w:val="0"/>
          <w:spacing w:val="0"/>
          <w:kern w:val="2"/>
          <w:sz w:val="24"/>
          <w:szCs w:val="24"/>
          <w:highlight w:val="none"/>
          <w:lang w:val="en-US" w:eastAsia="zh-CN" w:bidi="ar-SA"/>
        </w:rPr>
        <w:t>开标</w:t>
      </w:r>
      <w:r>
        <w:rPr>
          <w:rFonts w:hint="eastAsia" w:ascii="宋体" w:hAnsi="宋体" w:eastAsia="宋体" w:cs="宋体"/>
          <w:bCs/>
          <w:caps w:val="0"/>
          <w:smallCaps w:val="0"/>
          <w:spacing w:val="0"/>
          <w:kern w:val="2"/>
          <w:sz w:val="24"/>
          <w:szCs w:val="24"/>
          <w:highlight w:val="none"/>
          <w:lang w:val="hr-HR" w:eastAsia="zh-CN" w:bidi="ar-SA"/>
        </w:rPr>
        <w:t>地点</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_Toc16962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- 2 -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636DA34F">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_Toc31237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五、</w:t>
      </w:r>
      <w:r>
        <w:rPr>
          <w:rFonts w:hint="eastAsia" w:ascii="宋体" w:hAnsi="宋体" w:eastAsia="宋体" w:cs="宋体"/>
          <w:bCs/>
          <w:caps w:val="0"/>
          <w:smallCaps w:val="0"/>
          <w:spacing w:val="0"/>
          <w:kern w:val="2"/>
          <w:sz w:val="24"/>
          <w:szCs w:val="24"/>
          <w:highlight w:val="none"/>
          <w:lang w:val="hr-HR" w:eastAsia="zh-CN" w:bidi="ar-SA"/>
        </w:rPr>
        <w:t>公告期限</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_Toc31237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- 2 -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61758C8E">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_Toc17736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六、</w:t>
      </w:r>
      <w:r>
        <w:rPr>
          <w:rFonts w:hint="eastAsia" w:ascii="宋体" w:hAnsi="宋体" w:eastAsia="宋体" w:cs="宋体"/>
          <w:bCs/>
          <w:caps w:val="0"/>
          <w:smallCaps w:val="0"/>
          <w:spacing w:val="0"/>
          <w:kern w:val="2"/>
          <w:sz w:val="24"/>
          <w:szCs w:val="24"/>
          <w:highlight w:val="none"/>
          <w:lang w:val="hr-HR" w:eastAsia="zh-CN" w:bidi="ar-SA"/>
        </w:rPr>
        <w:t>其他补充事宜</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_Toc17736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- 2 -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60BEB0DD">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_Toc23370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七、</w:t>
      </w:r>
      <w:r>
        <w:rPr>
          <w:rFonts w:hint="eastAsia" w:ascii="宋体" w:hAnsi="宋体" w:eastAsia="宋体" w:cs="宋体"/>
          <w:bCs/>
          <w:caps w:val="0"/>
          <w:smallCaps w:val="0"/>
          <w:spacing w:val="0"/>
          <w:kern w:val="2"/>
          <w:sz w:val="24"/>
          <w:szCs w:val="24"/>
          <w:highlight w:val="none"/>
          <w:lang w:val="hr-HR" w:eastAsia="zh-CN" w:bidi="ar-SA"/>
        </w:rPr>
        <w:t>对本次</w:t>
      </w:r>
      <w:r>
        <w:rPr>
          <w:rFonts w:hint="eastAsia" w:ascii="宋体" w:hAnsi="宋体" w:eastAsia="宋体" w:cs="宋体"/>
          <w:bCs/>
          <w:caps w:val="0"/>
          <w:smallCaps w:val="0"/>
          <w:spacing w:val="0"/>
          <w:kern w:val="2"/>
          <w:sz w:val="24"/>
          <w:szCs w:val="24"/>
          <w:highlight w:val="none"/>
          <w:lang w:val="en-US" w:eastAsia="zh-CN" w:bidi="ar-SA"/>
        </w:rPr>
        <w:t>招标</w:t>
      </w:r>
      <w:r>
        <w:rPr>
          <w:rFonts w:hint="eastAsia" w:ascii="宋体" w:hAnsi="宋体" w:eastAsia="宋体" w:cs="宋体"/>
          <w:bCs/>
          <w:caps w:val="0"/>
          <w:smallCaps w:val="0"/>
          <w:spacing w:val="0"/>
          <w:kern w:val="2"/>
          <w:sz w:val="24"/>
          <w:szCs w:val="24"/>
          <w:highlight w:val="none"/>
          <w:lang w:val="hr-HR" w:eastAsia="zh-CN" w:bidi="ar-SA"/>
        </w:rPr>
        <w:t>提出询问，请按以下方式联系</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_Toc23370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- 3 -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1757B1E7">
      <w:pPr>
        <w:pStyle w:val="21"/>
        <w:keepNext w:val="0"/>
        <w:keepLines w:val="0"/>
        <w:pageBreakBefore w:val="0"/>
        <w:tabs>
          <w:tab w:val="right" w:leader="dot" w:pos="8306"/>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_Toc921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44"/>
          <w:sz w:val="24"/>
          <w:szCs w:val="24"/>
          <w:highlight w:val="none"/>
          <w:lang w:val="en-US" w:eastAsia="zh-CN" w:bidi="ar-SA"/>
        </w:rPr>
        <w:t>第二章 投标人须知</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_Toc921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- 4 -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252177B6">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_Toc5785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一、投标人须知前附表</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_Toc5785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- 4 -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4110E9C9">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_Toc6398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二、投标人须知</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_Toc6398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- 7 -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5B1B42A8">
      <w:pPr>
        <w:pStyle w:val="21"/>
        <w:keepNext w:val="0"/>
        <w:keepLines w:val="0"/>
        <w:pageBreakBefore w:val="0"/>
        <w:tabs>
          <w:tab w:val="right" w:leader="dot" w:pos="8306"/>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_Toc527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44"/>
          <w:sz w:val="24"/>
          <w:szCs w:val="24"/>
          <w:highlight w:val="none"/>
          <w:lang w:val="en-US" w:eastAsia="zh-CN" w:bidi="ar-SA"/>
        </w:rPr>
        <w:t>第三章 采购需求</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_Toc527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- 33 -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5C560043">
      <w:pPr>
        <w:pStyle w:val="21"/>
        <w:keepNext w:val="0"/>
        <w:keepLines w:val="0"/>
        <w:pageBreakBefore w:val="0"/>
        <w:tabs>
          <w:tab w:val="right" w:leader="dot" w:pos="8306"/>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_Toc20175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44"/>
          <w:sz w:val="24"/>
          <w:szCs w:val="24"/>
          <w:highlight w:val="none"/>
          <w:lang w:val="en-US" w:eastAsia="zh-CN" w:bidi="ar-SA"/>
        </w:rPr>
        <w:t>第四章 资格审查</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_Toc20175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- 35 -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43B7137E">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_Toc1697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lang w:val="en-US" w:eastAsia="zh-CN"/>
        </w:rPr>
        <w:t>一、资格审查程序</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_Toc1697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- 35 -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55E98EAC">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_Toc8998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lang w:val="en-US" w:eastAsia="zh-CN"/>
        </w:rPr>
        <w:t>二、资格审查要求</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_Toc8998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- 36 -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71127FBE">
      <w:pPr>
        <w:pStyle w:val="21"/>
        <w:keepNext w:val="0"/>
        <w:keepLines w:val="0"/>
        <w:pageBreakBefore w:val="0"/>
        <w:tabs>
          <w:tab w:val="right" w:leader="dot" w:pos="8306"/>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_Toc26393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44"/>
          <w:sz w:val="24"/>
          <w:szCs w:val="24"/>
          <w:highlight w:val="none"/>
          <w:lang w:val="en-US" w:eastAsia="zh-CN" w:bidi="ar-SA"/>
        </w:rPr>
        <w:t>第五章 评标方法及标准(综合评分法)</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_Toc26393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- 39 -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129BD93C">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_Toc24174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lang w:val="zh-CN" w:eastAsia="zh-CN"/>
        </w:rPr>
        <w:t>一、评标</w:t>
      </w:r>
      <w:r>
        <w:rPr>
          <w:rFonts w:hint="eastAsia" w:ascii="宋体" w:hAnsi="宋体" w:eastAsia="宋体" w:cs="宋体"/>
          <w:caps w:val="0"/>
          <w:smallCaps w:val="0"/>
          <w:spacing w:val="0"/>
          <w:sz w:val="24"/>
          <w:szCs w:val="24"/>
          <w:highlight w:val="none"/>
          <w:lang w:val="en-US" w:eastAsia="zh-CN"/>
        </w:rPr>
        <w:t>方</w:t>
      </w:r>
      <w:r>
        <w:rPr>
          <w:rFonts w:hint="eastAsia" w:ascii="宋体" w:hAnsi="宋体" w:eastAsia="宋体" w:cs="宋体"/>
          <w:caps w:val="0"/>
          <w:smallCaps w:val="0"/>
          <w:spacing w:val="0"/>
          <w:sz w:val="24"/>
          <w:szCs w:val="24"/>
          <w:highlight w:val="none"/>
          <w:lang w:val="zh-CN" w:eastAsia="zh-CN"/>
        </w:rPr>
        <w:t>法</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_Toc24174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- 39 -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1C786B1D">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_Toc16338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lang w:val="en-US" w:eastAsia="zh-CN"/>
        </w:rPr>
        <w:t>二</w:t>
      </w:r>
      <w:r>
        <w:rPr>
          <w:rFonts w:hint="eastAsia" w:ascii="宋体" w:hAnsi="宋体" w:eastAsia="宋体" w:cs="宋体"/>
          <w:caps w:val="0"/>
          <w:smallCaps w:val="0"/>
          <w:spacing w:val="0"/>
          <w:sz w:val="24"/>
          <w:szCs w:val="24"/>
          <w:highlight w:val="none"/>
          <w:lang w:val="zh-CN" w:eastAsia="zh-CN"/>
        </w:rPr>
        <w:t>、评标程序</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_Toc16338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- 39 -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07614AAB">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_Toc3426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lang w:val="zh-CN" w:eastAsia="zh-CN"/>
        </w:rPr>
        <w:t>三、评标</w:t>
      </w:r>
      <w:r>
        <w:rPr>
          <w:rFonts w:hint="eastAsia" w:ascii="宋体" w:hAnsi="宋体" w:eastAsia="宋体" w:cs="宋体"/>
          <w:caps w:val="0"/>
          <w:smallCaps w:val="0"/>
          <w:spacing w:val="0"/>
          <w:sz w:val="24"/>
          <w:szCs w:val="24"/>
          <w:highlight w:val="none"/>
          <w:lang w:val="en-US" w:eastAsia="zh-CN"/>
        </w:rPr>
        <w:t>其他要求</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_Toc3426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- 44 -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22F856C2">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_Toc31252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lang w:val="en-US" w:eastAsia="zh-CN"/>
        </w:rPr>
        <w:t>四</w:t>
      </w:r>
      <w:r>
        <w:rPr>
          <w:rFonts w:hint="eastAsia" w:ascii="宋体" w:hAnsi="宋体" w:eastAsia="宋体" w:cs="宋体"/>
          <w:caps w:val="0"/>
          <w:smallCaps w:val="0"/>
          <w:spacing w:val="0"/>
          <w:sz w:val="24"/>
          <w:szCs w:val="24"/>
          <w:highlight w:val="none"/>
          <w:lang w:val="zh-CN" w:eastAsia="zh-CN"/>
        </w:rPr>
        <w:t>、评标标准</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_Toc31252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- 45 -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0223C059">
      <w:pPr>
        <w:pStyle w:val="21"/>
        <w:keepNext w:val="0"/>
        <w:keepLines w:val="0"/>
        <w:pageBreakBefore w:val="0"/>
        <w:tabs>
          <w:tab w:val="right" w:leader="dot" w:pos="8306"/>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_Toc14749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44"/>
          <w:sz w:val="24"/>
          <w:szCs w:val="24"/>
          <w:highlight w:val="none"/>
          <w:lang w:val="en-US" w:eastAsia="zh-CN" w:bidi="ar-SA"/>
        </w:rPr>
        <w:t>第五章 评标方法及标准(最低评标价法)</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_Toc14749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- 48 -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58392493">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_Toc5721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zh-CN" w:eastAsia="zh-CN" w:bidi="ar-SA"/>
        </w:rPr>
        <w:t>一、评标</w:t>
      </w:r>
      <w:r>
        <w:rPr>
          <w:rFonts w:hint="eastAsia" w:ascii="宋体" w:hAnsi="宋体" w:eastAsia="宋体" w:cs="宋体"/>
          <w:bCs/>
          <w:caps w:val="0"/>
          <w:smallCaps w:val="0"/>
          <w:spacing w:val="0"/>
          <w:kern w:val="2"/>
          <w:sz w:val="24"/>
          <w:szCs w:val="24"/>
          <w:highlight w:val="none"/>
          <w:lang w:val="en-US" w:eastAsia="zh-CN" w:bidi="ar-SA"/>
        </w:rPr>
        <w:t>方</w:t>
      </w:r>
      <w:r>
        <w:rPr>
          <w:rFonts w:hint="eastAsia" w:ascii="宋体" w:hAnsi="宋体" w:eastAsia="宋体" w:cs="宋体"/>
          <w:bCs/>
          <w:caps w:val="0"/>
          <w:smallCaps w:val="0"/>
          <w:spacing w:val="0"/>
          <w:kern w:val="2"/>
          <w:sz w:val="24"/>
          <w:szCs w:val="24"/>
          <w:highlight w:val="none"/>
          <w:lang w:val="zh-CN" w:eastAsia="zh-CN" w:bidi="ar-SA"/>
        </w:rPr>
        <w:t>法</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_Toc5721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- 48 -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192B44E1">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_Toc27021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zh-CN" w:eastAsia="zh-CN" w:bidi="ar-SA"/>
        </w:rPr>
        <w:t>二、评标程序</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_Toc27021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- 48 -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2EBD8385">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_Toc16747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zh-CN" w:eastAsia="zh-CN" w:bidi="ar-SA"/>
        </w:rPr>
        <w:t>三、评标</w:t>
      </w:r>
      <w:r>
        <w:rPr>
          <w:rFonts w:hint="eastAsia" w:ascii="宋体" w:hAnsi="宋体" w:eastAsia="宋体" w:cs="宋体"/>
          <w:bCs/>
          <w:caps w:val="0"/>
          <w:smallCaps w:val="0"/>
          <w:spacing w:val="0"/>
          <w:kern w:val="2"/>
          <w:sz w:val="24"/>
          <w:szCs w:val="24"/>
          <w:highlight w:val="none"/>
          <w:lang w:val="en-US" w:eastAsia="zh-CN" w:bidi="ar-SA"/>
        </w:rPr>
        <w:t>其他要求</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_Toc16747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- 52 -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66893B5B">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_Toc23638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四</w:t>
      </w:r>
      <w:r>
        <w:rPr>
          <w:rFonts w:hint="eastAsia" w:ascii="宋体" w:hAnsi="宋体" w:eastAsia="宋体" w:cs="宋体"/>
          <w:bCs/>
          <w:caps w:val="0"/>
          <w:smallCaps w:val="0"/>
          <w:spacing w:val="0"/>
          <w:kern w:val="2"/>
          <w:sz w:val="24"/>
          <w:szCs w:val="24"/>
          <w:highlight w:val="none"/>
          <w:lang w:val="zh-CN" w:eastAsia="zh-CN" w:bidi="ar-SA"/>
        </w:rPr>
        <w:t>、评标标准</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_Toc23638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- 53 -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316C9C39">
      <w:pPr>
        <w:pStyle w:val="21"/>
        <w:keepNext w:val="0"/>
        <w:keepLines w:val="0"/>
        <w:pageBreakBefore w:val="0"/>
        <w:tabs>
          <w:tab w:val="right" w:leader="dot" w:pos="8306"/>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_Toc7989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44"/>
          <w:sz w:val="24"/>
          <w:szCs w:val="24"/>
          <w:highlight w:val="none"/>
          <w:lang w:val="zh-CN" w:eastAsia="zh-CN" w:bidi="ar-SA"/>
        </w:rPr>
        <w:t>第六章 合同草案</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_Toc7989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- 56 -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325DA0C7">
      <w:pPr>
        <w:pStyle w:val="21"/>
        <w:keepNext w:val="0"/>
        <w:keepLines w:val="0"/>
        <w:pageBreakBefore w:val="0"/>
        <w:tabs>
          <w:tab w:val="right" w:leader="dot" w:pos="8306"/>
        </w:tabs>
        <w:kinsoku/>
        <w:wordWrap/>
        <w:overflowPunct/>
        <w:topLinePunct w:val="0"/>
        <w:autoSpaceDE/>
        <w:autoSpaceDN/>
        <w:bidi w:val="0"/>
        <w:adjustRightInd/>
        <w:snapToGrid/>
        <w:spacing w:before="0" w:after="0"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_Toc21885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44"/>
          <w:sz w:val="24"/>
          <w:szCs w:val="24"/>
          <w:highlight w:val="none"/>
          <w:lang w:val="en-US" w:eastAsia="zh-CN" w:bidi="ar-SA"/>
        </w:rPr>
        <w:t>第七章 投标文件格式</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_Toc21885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- 65 -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5F4A169D">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Style w:val="33"/>
          <w:rFonts w:hint="eastAsia" w:ascii="宋体" w:hAnsi="宋体" w:eastAsia="宋体" w:cs="宋体"/>
          <w:b/>
          <w:bCs/>
          <w:i w:val="0"/>
          <w:iCs w:val="0"/>
          <w:caps w:val="0"/>
          <w:smallCaps w:val="0"/>
          <w:color w:val="auto"/>
          <w:sz w:val="24"/>
          <w:szCs w:val="24"/>
          <w:highlight w:val="none"/>
          <w:lang w:val="zh-CN"/>
        </w:rPr>
        <w:t>投标文件资格证明文件</w:t>
      </w:r>
      <w:r>
        <w:rPr>
          <w:rStyle w:val="33"/>
          <w:rFonts w:hint="eastAsia" w:ascii="宋体" w:hAnsi="宋体" w:eastAsia="宋体" w:cs="宋体"/>
          <w:b/>
          <w:bCs/>
          <w:i w:val="0"/>
          <w:iCs w:val="0"/>
          <w:caps w:val="0"/>
          <w:smallCaps w:val="0"/>
          <w:color w:val="auto"/>
          <w:sz w:val="24"/>
          <w:szCs w:val="24"/>
          <w:highlight w:val="none"/>
          <w:lang w:val="en-US" w:eastAsia="zh-CN"/>
        </w:rPr>
        <w:t>封面</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_Toc28637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- 6</w:t>
      </w:r>
      <w:r>
        <w:rPr>
          <w:rFonts w:hint="eastAsia" w:ascii="宋体" w:hAnsi="宋体" w:eastAsia="宋体" w:cs="宋体"/>
          <w:caps w:val="0"/>
          <w:smallCaps w:val="0"/>
          <w:spacing w:val="0"/>
          <w:sz w:val="24"/>
          <w:szCs w:val="24"/>
          <w:highlight w:val="none"/>
          <w:lang w:val="en-US" w:eastAsia="zh-CN"/>
        </w:rPr>
        <w:t>6</w:t>
      </w:r>
      <w:r>
        <w:rPr>
          <w:rFonts w:hint="eastAsia" w:ascii="宋体" w:hAnsi="宋体" w:eastAsia="宋体" w:cs="宋体"/>
          <w:caps w:val="0"/>
          <w:smallCaps w:val="0"/>
          <w:spacing w:val="0"/>
          <w:sz w:val="24"/>
          <w:szCs w:val="24"/>
          <w:highlight w:val="none"/>
        </w:rPr>
        <w:t xml:space="preserve"> -</w:t>
      </w:r>
      <w:r>
        <w:rPr>
          <w:rFonts w:hint="eastAsia" w:ascii="宋体" w:hAnsi="宋体" w:eastAsia="宋体" w:cs="宋体"/>
          <w:caps w:val="0"/>
          <w:smallCaps w:val="0"/>
          <w:spacing w:val="0"/>
          <w:sz w:val="24"/>
          <w:szCs w:val="24"/>
          <w:highlight w:val="none"/>
        </w:rPr>
        <w:fldChar w:fldCharType="end"/>
      </w:r>
    </w:p>
    <w:p w14:paraId="297A0B26">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_Toc28637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一、满足《中华人民共和国政府采购法》第二十二条规定</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_Toc28637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- 67 -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7BF591C1">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_Toc7882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二、</w:t>
      </w:r>
      <w:r>
        <w:rPr>
          <w:rFonts w:hint="eastAsia" w:ascii="宋体" w:hAnsi="宋体" w:eastAsia="宋体" w:cs="宋体"/>
          <w:bCs/>
          <w:caps w:val="0"/>
          <w:smallCaps w:val="0"/>
          <w:spacing w:val="0"/>
          <w:kern w:val="2"/>
          <w:sz w:val="24"/>
          <w:szCs w:val="24"/>
          <w:highlight w:val="none"/>
          <w:lang w:val="zh-CN" w:eastAsia="zh-CN" w:bidi="ar-SA"/>
        </w:rPr>
        <w:t>联合体协议书</w:t>
      </w:r>
      <w:r>
        <w:rPr>
          <w:rFonts w:hint="eastAsia" w:ascii="宋体" w:hAnsi="宋体" w:eastAsia="宋体" w:cs="宋体"/>
          <w:bCs w:val="0"/>
          <w:caps w:val="0"/>
          <w:smallCaps w:val="0"/>
          <w:spacing w:val="0"/>
          <w:kern w:val="2"/>
          <w:sz w:val="24"/>
          <w:szCs w:val="24"/>
          <w:highlight w:val="none"/>
          <w:lang w:val="zh-CN" w:eastAsia="zh-CN" w:bidi="ar-SA"/>
        </w:rPr>
        <w:t>【如适用】</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_Toc7882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- 70 -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5192DDFB">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_Toc25467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三、</w:t>
      </w:r>
      <w:r>
        <w:rPr>
          <w:rFonts w:hint="eastAsia" w:ascii="宋体" w:hAnsi="宋体" w:eastAsia="宋体" w:cs="宋体"/>
          <w:bCs/>
          <w:caps w:val="0"/>
          <w:smallCaps w:val="0"/>
          <w:spacing w:val="0"/>
          <w:kern w:val="2"/>
          <w:sz w:val="24"/>
          <w:szCs w:val="24"/>
          <w:highlight w:val="none"/>
          <w:lang w:val="zh-CN" w:eastAsia="zh-CN" w:bidi="ar-SA"/>
        </w:rPr>
        <w:t>分包意向协议书</w:t>
      </w:r>
      <w:r>
        <w:rPr>
          <w:rFonts w:hint="eastAsia" w:ascii="宋体" w:hAnsi="宋体" w:eastAsia="宋体" w:cs="宋体"/>
          <w:bCs w:val="0"/>
          <w:caps w:val="0"/>
          <w:smallCaps w:val="0"/>
          <w:spacing w:val="0"/>
          <w:kern w:val="2"/>
          <w:sz w:val="24"/>
          <w:szCs w:val="24"/>
          <w:highlight w:val="none"/>
          <w:lang w:val="zh-CN" w:eastAsia="zh-CN" w:bidi="ar-SA"/>
        </w:rPr>
        <w:t>【如适用】</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_Toc25467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- 72 -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3C60F7EB">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_Toc4279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四、落实政府采购政策相关证明文件</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_Toc4279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- 74 -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301DB561">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_Toc9905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五、不参与围标串标承诺书</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_Toc9905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- 87 -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211FBE65">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_Toc11359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六、</w:t>
      </w:r>
      <w:r>
        <w:rPr>
          <w:rFonts w:hint="eastAsia" w:ascii="宋体" w:hAnsi="宋体" w:eastAsia="宋体" w:cs="宋体"/>
          <w:bCs/>
          <w:caps w:val="0"/>
          <w:smallCaps w:val="0"/>
          <w:spacing w:val="0"/>
          <w:kern w:val="2"/>
          <w:sz w:val="24"/>
          <w:szCs w:val="24"/>
          <w:highlight w:val="none"/>
          <w:lang w:val="zh-CN" w:eastAsia="zh-CN" w:bidi="ar-SA"/>
        </w:rPr>
        <w:t>其他资格证明文件</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_Toc11359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- 88 -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51DA9A3F">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i w:val="0"/>
          <w:iCs w:val="0"/>
          <w:caps w:val="0"/>
          <w:smallCaps w:val="0"/>
          <w:color w:val="auto"/>
          <w:sz w:val="24"/>
          <w:szCs w:val="24"/>
          <w:highlight w:val="none"/>
        </w:rPr>
        <w:fldChar w:fldCharType="begin"/>
      </w:r>
      <w:r>
        <w:rPr>
          <w:rFonts w:hint="eastAsia" w:ascii="宋体" w:hAnsi="宋体" w:eastAsia="宋体" w:cs="宋体"/>
          <w:i w:val="0"/>
          <w:iCs w:val="0"/>
          <w:caps w:val="0"/>
          <w:smallCaps w:val="0"/>
          <w:color w:val="auto"/>
          <w:sz w:val="24"/>
          <w:szCs w:val="24"/>
          <w:highlight w:val="none"/>
        </w:rPr>
        <w:instrText xml:space="preserve"> HYPERLINK \l "_Toc163492914" </w:instrText>
      </w:r>
      <w:r>
        <w:rPr>
          <w:rFonts w:hint="eastAsia" w:ascii="宋体" w:hAnsi="宋体" w:eastAsia="宋体" w:cs="宋体"/>
          <w:i w:val="0"/>
          <w:iCs w:val="0"/>
          <w:caps w:val="0"/>
          <w:smallCaps w:val="0"/>
          <w:color w:val="auto"/>
          <w:sz w:val="24"/>
          <w:szCs w:val="24"/>
          <w:highlight w:val="none"/>
        </w:rPr>
        <w:fldChar w:fldCharType="separate"/>
      </w:r>
      <w:r>
        <w:rPr>
          <w:rStyle w:val="33"/>
          <w:rFonts w:hint="eastAsia" w:ascii="宋体" w:hAnsi="宋体" w:eastAsia="宋体" w:cs="宋体"/>
          <w:b/>
          <w:bCs/>
          <w:i w:val="0"/>
          <w:iCs w:val="0"/>
          <w:caps w:val="0"/>
          <w:smallCaps w:val="0"/>
          <w:color w:val="auto"/>
          <w:sz w:val="24"/>
          <w:szCs w:val="24"/>
          <w:highlight w:val="none"/>
          <w:lang w:val="zh-CN"/>
        </w:rPr>
        <w:t>投标文件</w:t>
      </w:r>
      <w:r>
        <w:rPr>
          <w:rStyle w:val="33"/>
          <w:rFonts w:hint="eastAsia" w:ascii="宋体" w:hAnsi="宋体" w:eastAsia="宋体" w:cs="宋体"/>
          <w:b/>
          <w:bCs/>
          <w:i w:val="0"/>
          <w:iCs w:val="0"/>
          <w:caps w:val="0"/>
          <w:smallCaps w:val="0"/>
          <w:color w:val="auto"/>
          <w:sz w:val="24"/>
          <w:szCs w:val="24"/>
          <w:highlight w:val="none"/>
          <w:lang w:val="en-US" w:eastAsia="zh-CN"/>
        </w:rPr>
        <w:t>报价文件封面</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_Toc16115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xml:space="preserve">- </w:t>
      </w:r>
      <w:r>
        <w:rPr>
          <w:rFonts w:hint="eastAsia" w:ascii="宋体" w:hAnsi="宋体" w:eastAsia="宋体" w:cs="宋体"/>
          <w:caps w:val="0"/>
          <w:smallCaps w:val="0"/>
          <w:spacing w:val="0"/>
          <w:sz w:val="24"/>
          <w:szCs w:val="24"/>
          <w:highlight w:val="none"/>
          <w:lang w:val="en-US" w:eastAsia="zh-CN"/>
        </w:rPr>
        <w:t>89</w:t>
      </w:r>
      <w:r>
        <w:rPr>
          <w:rFonts w:hint="eastAsia" w:ascii="宋体" w:hAnsi="宋体" w:eastAsia="宋体" w:cs="宋体"/>
          <w:caps w:val="0"/>
          <w:smallCaps w:val="0"/>
          <w:spacing w:val="0"/>
          <w:sz w:val="24"/>
          <w:szCs w:val="24"/>
          <w:highlight w:val="none"/>
        </w:rPr>
        <w:t xml:space="preserve">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i w:val="0"/>
          <w:iCs w:val="0"/>
          <w:caps w:val="0"/>
          <w:smallCaps w:val="0"/>
          <w:color w:val="auto"/>
          <w:sz w:val="24"/>
          <w:szCs w:val="24"/>
          <w:highlight w:val="none"/>
        </w:rPr>
        <w:fldChar w:fldCharType="end"/>
      </w:r>
    </w:p>
    <w:p w14:paraId="66E49B83">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_Toc16115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一、开标一览表</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_Toc16115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- 90 -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02ECEF6C">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_Toc27922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二、分项报价表</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_Toc27922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- 91 -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25A7E304">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i w:val="0"/>
          <w:iCs w:val="0"/>
          <w:caps w:val="0"/>
          <w:smallCaps w:val="0"/>
          <w:color w:val="auto"/>
          <w:sz w:val="24"/>
          <w:szCs w:val="24"/>
          <w:highlight w:val="none"/>
        </w:rPr>
        <w:fldChar w:fldCharType="begin"/>
      </w:r>
      <w:r>
        <w:rPr>
          <w:rFonts w:hint="eastAsia" w:ascii="宋体" w:hAnsi="宋体" w:eastAsia="宋体" w:cs="宋体"/>
          <w:i w:val="0"/>
          <w:iCs w:val="0"/>
          <w:caps w:val="0"/>
          <w:smallCaps w:val="0"/>
          <w:color w:val="auto"/>
          <w:sz w:val="24"/>
          <w:szCs w:val="24"/>
          <w:highlight w:val="none"/>
        </w:rPr>
        <w:instrText xml:space="preserve"> HYPERLINK \l "_Toc163492914" </w:instrText>
      </w:r>
      <w:r>
        <w:rPr>
          <w:rFonts w:hint="eastAsia" w:ascii="宋体" w:hAnsi="宋体" w:eastAsia="宋体" w:cs="宋体"/>
          <w:i w:val="0"/>
          <w:iCs w:val="0"/>
          <w:caps w:val="0"/>
          <w:smallCaps w:val="0"/>
          <w:color w:val="auto"/>
          <w:sz w:val="24"/>
          <w:szCs w:val="24"/>
          <w:highlight w:val="none"/>
        </w:rPr>
        <w:fldChar w:fldCharType="separate"/>
      </w:r>
      <w:r>
        <w:rPr>
          <w:rStyle w:val="33"/>
          <w:rFonts w:hint="eastAsia" w:ascii="宋体" w:hAnsi="宋体" w:eastAsia="宋体" w:cs="宋体"/>
          <w:b/>
          <w:bCs/>
          <w:i w:val="0"/>
          <w:iCs w:val="0"/>
          <w:caps w:val="0"/>
          <w:smallCaps w:val="0"/>
          <w:color w:val="auto"/>
          <w:sz w:val="24"/>
          <w:szCs w:val="24"/>
          <w:highlight w:val="none"/>
          <w:lang w:val="zh-CN"/>
        </w:rPr>
        <w:t>投标文件</w:t>
      </w:r>
      <w:r>
        <w:rPr>
          <w:rStyle w:val="33"/>
          <w:rFonts w:hint="eastAsia" w:ascii="宋体" w:hAnsi="宋体" w:eastAsia="宋体" w:cs="宋体"/>
          <w:b/>
          <w:bCs/>
          <w:i w:val="0"/>
          <w:iCs w:val="0"/>
          <w:caps w:val="0"/>
          <w:smallCaps w:val="0"/>
          <w:color w:val="auto"/>
          <w:sz w:val="24"/>
          <w:szCs w:val="24"/>
          <w:highlight w:val="none"/>
          <w:lang w:val="en-US" w:eastAsia="zh-CN"/>
        </w:rPr>
        <w:t>商务技术文件封面</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_Toc32532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- 9</w:t>
      </w:r>
      <w:r>
        <w:rPr>
          <w:rFonts w:hint="eastAsia" w:ascii="宋体" w:hAnsi="宋体" w:eastAsia="宋体" w:cs="宋体"/>
          <w:caps w:val="0"/>
          <w:smallCaps w:val="0"/>
          <w:spacing w:val="0"/>
          <w:sz w:val="24"/>
          <w:szCs w:val="24"/>
          <w:highlight w:val="none"/>
          <w:lang w:val="en-US" w:eastAsia="zh-CN"/>
        </w:rPr>
        <w:t>2</w:t>
      </w:r>
      <w:r>
        <w:rPr>
          <w:rFonts w:hint="eastAsia" w:ascii="宋体" w:hAnsi="宋体" w:eastAsia="宋体" w:cs="宋体"/>
          <w:caps w:val="0"/>
          <w:smallCaps w:val="0"/>
          <w:spacing w:val="0"/>
          <w:sz w:val="24"/>
          <w:szCs w:val="24"/>
          <w:highlight w:val="none"/>
        </w:rPr>
        <w:t xml:space="preserve">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i w:val="0"/>
          <w:iCs w:val="0"/>
          <w:caps w:val="0"/>
          <w:smallCaps w:val="0"/>
          <w:color w:val="auto"/>
          <w:sz w:val="24"/>
          <w:szCs w:val="24"/>
          <w:highlight w:val="none"/>
        </w:rPr>
        <w:fldChar w:fldCharType="end"/>
      </w:r>
    </w:p>
    <w:p w14:paraId="3020C066">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_Toc32532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一、投标函</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_Toc32532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- 93 -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22AA91AC">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_Toc18974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二、法定代表人（单位负责人）身份证明</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_Toc18974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- 95 -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6A734887">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_Toc9024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三、授权委托书</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_Toc9024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- 96 -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4BA41B99">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_Toc28878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四、</w:t>
      </w:r>
      <w:r>
        <w:rPr>
          <w:rFonts w:hint="eastAsia" w:ascii="宋体" w:hAnsi="宋体" w:eastAsia="宋体" w:cs="宋体"/>
          <w:bCs/>
          <w:caps w:val="0"/>
          <w:smallCaps w:val="0"/>
          <w:spacing w:val="0"/>
          <w:kern w:val="2"/>
          <w:sz w:val="24"/>
          <w:szCs w:val="24"/>
          <w:highlight w:val="none"/>
          <w:lang w:val="zh-CN" w:eastAsia="zh-CN" w:bidi="ar-SA"/>
        </w:rPr>
        <w:t>政府采购</w:t>
      </w:r>
      <w:r>
        <w:rPr>
          <w:rFonts w:hint="eastAsia" w:ascii="宋体" w:hAnsi="宋体" w:eastAsia="宋体" w:cs="宋体"/>
          <w:bCs/>
          <w:caps w:val="0"/>
          <w:smallCaps w:val="0"/>
          <w:spacing w:val="0"/>
          <w:kern w:val="2"/>
          <w:sz w:val="24"/>
          <w:szCs w:val="24"/>
          <w:highlight w:val="none"/>
          <w:lang w:val="en-US" w:eastAsia="zh-CN" w:bidi="ar-SA"/>
        </w:rPr>
        <w:t>投标人</w:t>
      </w:r>
      <w:r>
        <w:rPr>
          <w:rFonts w:hint="eastAsia" w:ascii="宋体" w:hAnsi="宋体" w:eastAsia="宋体" w:cs="宋体"/>
          <w:bCs/>
          <w:caps w:val="0"/>
          <w:smallCaps w:val="0"/>
          <w:spacing w:val="0"/>
          <w:kern w:val="2"/>
          <w:sz w:val="24"/>
          <w:szCs w:val="24"/>
          <w:highlight w:val="none"/>
          <w:lang w:val="zh-CN" w:eastAsia="zh-CN" w:bidi="ar-SA"/>
        </w:rPr>
        <w:t>廉洁自律承诺书</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_Toc28878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- 97 -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7C3150F6">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i w:val="0"/>
          <w:iCs w:val="0"/>
          <w:caps w:val="0"/>
          <w:smallCaps w:val="0"/>
          <w:color w:val="auto"/>
          <w:sz w:val="24"/>
          <w:szCs w:val="24"/>
          <w:highlight w:val="none"/>
          <w:lang w:val="en-US" w:eastAsia="zh-CN"/>
        </w:rPr>
        <w:t>五、</w:t>
      </w:r>
      <w:r>
        <w:rPr>
          <w:rFonts w:hint="eastAsia" w:ascii="宋体" w:hAnsi="宋体" w:eastAsia="宋体" w:cs="宋体"/>
          <w:i w:val="0"/>
          <w:iCs w:val="0"/>
          <w:caps w:val="0"/>
          <w:smallCaps w:val="0"/>
          <w:color w:val="auto"/>
          <w:sz w:val="24"/>
          <w:szCs w:val="24"/>
          <w:highlight w:val="none"/>
          <w:lang w:val="zh-CN" w:eastAsia="zh-CN"/>
        </w:rPr>
        <w:t>实质性响应一览表</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_Toc9779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- 9</w:t>
      </w:r>
      <w:r>
        <w:rPr>
          <w:rFonts w:hint="eastAsia" w:ascii="宋体" w:hAnsi="宋体" w:eastAsia="宋体" w:cs="宋体"/>
          <w:caps w:val="0"/>
          <w:smallCaps w:val="0"/>
          <w:spacing w:val="0"/>
          <w:sz w:val="24"/>
          <w:szCs w:val="24"/>
          <w:highlight w:val="none"/>
          <w:lang w:val="en-US" w:eastAsia="zh-CN"/>
        </w:rPr>
        <w:t>8</w:t>
      </w:r>
      <w:r>
        <w:rPr>
          <w:rFonts w:hint="eastAsia" w:ascii="宋体" w:hAnsi="宋体" w:eastAsia="宋体" w:cs="宋体"/>
          <w:caps w:val="0"/>
          <w:smallCaps w:val="0"/>
          <w:spacing w:val="0"/>
          <w:sz w:val="24"/>
          <w:szCs w:val="24"/>
          <w:highlight w:val="none"/>
        </w:rPr>
        <w:t xml:space="preserve"> -</w:t>
      </w:r>
      <w:r>
        <w:rPr>
          <w:rFonts w:hint="eastAsia" w:ascii="宋体" w:hAnsi="宋体" w:eastAsia="宋体" w:cs="宋体"/>
          <w:caps w:val="0"/>
          <w:smallCaps w:val="0"/>
          <w:spacing w:val="0"/>
          <w:sz w:val="24"/>
          <w:szCs w:val="24"/>
          <w:highlight w:val="none"/>
        </w:rPr>
        <w:fldChar w:fldCharType="end"/>
      </w:r>
    </w:p>
    <w:p w14:paraId="4C0F0C08">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_Toc9779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六、商务响应偏离表</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_Toc9779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- 99 -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399AA98C">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_Toc28934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七、业绩证明文件</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_Toc28934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- 100 -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16A241E5">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_Toc16376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八、拟派项目团队</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_Toc16376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- 101 -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6AB904A4">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_Toc13198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九、技术响应偏离表</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_Toc13198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- 102 -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51717D45">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_Toc11129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十、技术方案</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_Toc11129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- 103 -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7746682C">
      <w:pPr>
        <w:pStyle w:val="25"/>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caps w:val="0"/>
          <w:smallCaps w:val="0"/>
          <w:spacing w:val="0"/>
          <w:sz w:val="24"/>
          <w:szCs w:val="24"/>
          <w:highlight w:val="none"/>
        </w:rPr>
      </w:pP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HYPERLINK \l _Toc12261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bCs/>
          <w:caps w:val="0"/>
          <w:smallCaps w:val="0"/>
          <w:spacing w:val="0"/>
          <w:kern w:val="2"/>
          <w:sz w:val="24"/>
          <w:szCs w:val="24"/>
          <w:highlight w:val="none"/>
          <w:lang w:val="en-US" w:eastAsia="zh-CN" w:bidi="ar-SA"/>
        </w:rPr>
        <w:t>十一、其他文件</w:t>
      </w:r>
      <w:r>
        <w:rPr>
          <w:rFonts w:hint="eastAsia" w:ascii="宋体" w:hAnsi="宋体" w:eastAsia="宋体" w:cs="宋体"/>
          <w:caps w:val="0"/>
          <w:smallCaps w:val="0"/>
          <w:spacing w:val="0"/>
          <w:sz w:val="24"/>
          <w:szCs w:val="24"/>
          <w:highlight w:val="none"/>
        </w:rPr>
        <w:tab/>
      </w:r>
      <w:r>
        <w:rPr>
          <w:rFonts w:hint="eastAsia" w:ascii="宋体" w:hAnsi="宋体" w:eastAsia="宋体" w:cs="宋体"/>
          <w:caps w:val="0"/>
          <w:smallCaps w:val="0"/>
          <w:spacing w:val="0"/>
          <w:sz w:val="24"/>
          <w:szCs w:val="24"/>
          <w:highlight w:val="none"/>
        </w:rPr>
        <w:fldChar w:fldCharType="begin"/>
      </w:r>
      <w:r>
        <w:rPr>
          <w:rFonts w:hint="eastAsia" w:ascii="宋体" w:hAnsi="宋体" w:eastAsia="宋体" w:cs="宋体"/>
          <w:caps w:val="0"/>
          <w:smallCaps w:val="0"/>
          <w:spacing w:val="0"/>
          <w:sz w:val="24"/>
          <w:szCs w:val="24"/>
          <w:highlight w:val="none"/>
        </w:rPr>
        <w:instrText xml:space="preserve"> PAGEREF _Toc12261 \h </w:instrText>
      </w:r>
      <w:r>
        <w:rPr>
          <w:rFonts w:hint="eastAsia" w:ascii="宋体" w:hAnsi="宋体" w:eastAsia="宋体" w:cs="宋体"/>
          <w:caps w:val="0"/>
          <w:smallCaps w:val="0"/>
          <w:spacing w:val="0"/>
          <w:sz w:val="24"/>
          <w:szCs w:val="24"/>
          <w:highlight w:val="none"/>
        </w:rPr>
        <w:fldChar w:fldCharType="separate"/>
      </w:r>
      <w:r>
        <w:rPr>
          <w:rFonts w:hint="eastAsia" w:ascii="宋体" w:hAnsi="宋体" w:eastAsia="宋体" w:cs="宋体"/>
          <w:caps w:val="0"/>
          <w:smallCaps w:val="0"/>
          <w:spacing w:val="0"/>
          <w:sz w:val="24"/>
          <w:szCs w:val="24"/>
          <w:highlight w:val="none"/>
        </w:rPr>
        <w:t>- 104 -</w:t>
      </w:r>
      <w:r>
        <w:rPr>
          <w:rFonts w:hint="eastAsia" w:ascii="宋体" w:hAnsi="宋体" w:eastAsia="宋体" w:cs="宋体"/>
          <w:caps w:val="0"/>
          <w:smallCaps w:val="0"/>
          <w:spacing w:val="0"/>
          <w:sz w:val="24"/>
          <w:szCs w:val="24"/>
          <w:highlight w:val="none"/>
        </w:rPr>
        <w:fldChar w:fldCharType="end"/>
      </w:r>
      <w:r>
        <w:rPr>
          <w:rFonts w:hint="eastAsia" w:ascii="宋体" w:hAnsi="宋体" w:eastAsia="宋体" w:cs="宋体"/>
          <w:caps w:val="0"/>
          <w:smallCaps w:val="0"/>
          <w:spacing w:val="0"/>
          <w:sz w:val="24"/>
          <w:szCs w:val="24"/>
          <w:highlight w:val="none"/>
        </w:rPr>
        <w:fldChar w:fldCharType="end"/>
      </w:r>
    </w:p>
    <w:p w14:paraId="0374DAF0">
      <w:pPr>
        <w:keepNext w:val="0"/>
        <w:keepLines w:val="0"/>
        <w:pageBreakBefore w:val="0"/>
        <w:kinsoku/>
        <w:wordWrap/>
        <w:overflowPunct/>
        <w:topLinePunct w:val="0"/>
        <w:autoSpaceDE/>
        <w:autoSpaceDN/>
        <w:bidi w:val="0"/>
        <w:adjustRightInd/>
        <w:snapToGrid/>
        <w:spacing w:before="0" w:after="0" w:line="360" w:lineRule="auto"/>
        <w:textAlignment w:val="auto"/>
        <w:rPr>
          <w:highlight w:val="none"/>
        </w:rPr>
      </w:pPr>
      <w:r>
        <w:rPr>
          <w:rFonts w:hint="eastAsia" w:ascii="宋体" w:hAnsi="宋体" w:eastAsia="宋体" w:cs="宋体"/>
          <w:caps w:val="0"/>
          <w:smallCaps w:val="0"/>
          <w:spacing w:val="0"/>
          <w:sz w:val="24"/>
          <w:szCs w:val="24"/>
          <w:highlight w:val="none"/>
        </w:rPr>
        <w:fldChar w:fldCharType="end"/>
      </w:r>
    </w:p>
    <w:p w14:paraId="70197432">
      <w:pPr>
        <w:pStyle w:val="2"/>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sectPr>
          <w:headerReference r:id="rId6" w:type="default"/>
          <w:footerReference r:id="rId7" w:type="default"/>
          <w:pgSz w:w="11906" w:h="16838"/>
          <w:pgMar w:top="1440" w:right="1800" w:bottom="1440" w:left="1800" w:header="851" w:footer="992" w:gutter="0"/>
          <w:pgBorders>
            <w:top w:val="none" w:sz="0" w:space="0"/>
            <w:left w:val="none" w:sz="0" w:space="0"/>
            <w:bottom w:val="none" w:sz="0" w:space="0"/>
            <w:right w:val="none" w:sz="0" w:space="0"/>
          </w:pgBorders>
          <w:pgNumType w:fmt="numberInDash" w:start="1"/>
          <w:cols w:space="425" w:num="1"/>
          <w:docGrid w:type="lines" w:linePitch="312" w:charSpace="0"/>
        </w:sectPr>
      </w:pPr>
      <w:bookmarkStart w:id="4" w:name="_Toc14348"/>
    </w:p>
    <w:p w14:paraId="29DD1FCB">
      <w:pPr>
        <w:pStyle w:val="2"/>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color w:val="auto"/>
          <w:sz w:val="36"/>
          <w:szCs w:val="36"/>
          <w:highlight w:val="none"/>
          <w:lang w:val="en-US" w:eastAsia="zh-CN"/>
        </w:rPr>
      </w:pPr>
      <w:r>
        <w:rPr>
          <w:rFonts w:hint="eastAsia" w:ascii="宋体" w:hAnsi="宋体" w:eastAsia="宋体" w:cs="宋体"/>
          <w:b/>
          <w:bCs/>
          <w:color w:val="auto"/>
          <w:kern w:val="44"/>
          <w:sz w:val="36"/>
          <w:szCs w:val="36"/>
          <w:highlight w:val="none"/>
          <w:lang w:val="en-US" w:eastAsia="zh-CN" w:bidi="ar-SA"/>
        </w:rPr>
        <w:t xml:space="preserve">第一章 </w:t>
      </w:r>
      <w:bookmarkEnd w:id="1"/>
      <w:r>
        <w:rPr>
          <w:rFonts w:hint="eastAsia" w:ascii="宋体" w:hAnsi="宋体" w:eastAsia="宋体" w:cs="宋体"/>
          <w:color w:val="auto"/>
          <w:sz w:val="36"/>
          <w:szCs w:val="36"/>
          <w:highlight w:val="none"/>
          <w:lang w:val="en-US" w:eastAsia="zh-CN"/>
        </w:rPr>
        <w:t>招标公告</w:t>
      </w:r>
      <w:bookmarkEnd w:id="2"/>
      <w:bookmarkEnd w:id="4"/>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7612E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73D0F96B">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color w:val="auto"/>
                <w:sz w:val="24"/>
                <w:szCs w:val="24"/>
                <w:highlight w:val="none"/>
                <w:lang w:val="en-US" w:eastAsia="zh-CN"/>
              </w:rPr>
            </w:pPr>
            <w:bookmarkStart w:id="5" w:name="_Toc27552"/>
            <w:bookmarkStart w:id="6" w:name="_Toc10915"/>
            <w:bookmarkStart w:id="7" w:name="_Toc155185860"/>
            <w:bookmarkStart w:id="8" w:name="_Toc44583628"/>
            <w:bookmarkStart w:id="9" w:name="_Toc109899410"/>
            <w:bookmarkStart w:id="10" w:name="_Toc109900248"/>
            <w:bookmarkStart w:id="11" w:name="_Toc28359089"/>
            <w:bookmarkStart w:id="12" w:name="_Toc28359012"/>
            <w:bookmarkStart w:id="13" w:name="_Toc35393798"/>
            <w:bookmarkStart w:id="14" w:name="_Toc35393629"/>
            <w:bookmarkStart w:id="15" w:name="_Toc140132745"/>
            <w:bookmarkStart w:id="16" w:name="_Toc109899829"/>
            <w:r>
              <w:rPr>
                <w:rFonts w:hint="eastAsia"/>
                <w:color w:val="auto"/>
                <w:sz w:val="24"/>
                <w:szCs w:val="24"/>
                <w:highlight w:val="none"/>
                <w:lang w:val="en-US" w:eastAsia="zh-CN"/>
              </w:rPr>
              <w:t>项目概况：</w:t>
            </w:r>
            <w:bookmarkEnd w:id="5"/>
            <w:bookmarkEnd w:id="6"/>
          </w:p>
          <w:p w14:paraId="42E3A809">
            <w:pPr>
              <w:spacing w:line="360" w:lineRule="auto"/>
              <w:ind w:firstLine="480" w:firstLineChars="200"/>
              <w:rPr>
                <w:rFonts w:hint="default"/>
                <w:color w:val="auto"/>
                <w:highlight w:val="none"/>
                <w:lang w:val="en-US" w:eastAsia="zh-CN"/>
              </w:rPr>
            </w:pPr>
            <w:r>
              <w:rPr>
                <w:rFonts w:hint="eastAsia" w:ascii="宋体" w:hAnsi="宋体" w:eastAsia="宋体" w:cstheme="minorBidi"/>
                <w:iCs/>
                <w:color w:val="auto"/>
                <w:kern w:val="2"/>
                <w:sz w:val="24"/>
                <w:szCs w:val="24"/>
                <w:highlight w:val="none"/>
                <w:u w:val="single"/>
                <w:shd w:val="clear" w:color="auto" w:fill="FFFFFF" w:themeFill="background1"/>
                <w:lang w:val="hr-HR" w:eastAsia="zh-CN" w:bidi="ar-SA"/>
              </w:rPr>
              <w:t xml:space="preserve"> (采购标的) </w:t>
            </w:r>
            <w:r>
              <w:rPr>
                <w:rFonts w:hint="eastAsia" w:ascii="宋体" w:hAnsi="宋体" w:eastAsia="宋体" w:cstheme="minorBidi"/>
                <w:iCs/>
                <w:color w:val="auto"/>
                <w:kern w:val="2"/>
                <w:sz w:val="24"/>
                <w:szCs w:val="24"/>
                <w:highlight w:val="none"/>
                <w:shd w:val="clear" w:color="auto" w:fill="FFFFFF" w:themeFill="background1"/>
                <w:lang w:val="hr-HR" w:eastAsia="zh-CN" w:bidi="ar-SA"/>
              </w:rPr>
              <w:t>招标项目的潜在投标人应在</w:t>
            </w:r>
            <w:r>
              <w:rPr>
                <w:rFonts w:hint="eastAsia" w:ascii="宋体" w:hAnsi="宋体" w:eastAsia="宋体" w:cstheme="minorBidi"/>
                <w:iCs/>
                <w:color w:val="auto"/>
                <w:kern w:val="2"/>
                <w:sz w:val="24"/>
                <w:szCs w:val="24"/>
                <w:highlight w:val="none"/>
                <w:u w:val="single"/>
                <w:shd w:val="clear" w:color="auto" w:fill="FFFFFF" w:themeFill="background1"/>
                <w:lang w:val="hr-HR" w:eastAsia="zh-CN" w:bidi="ar-SA"/>
              </w:rPr>
              <w:t>（地址）</w:t>
            </w:r>
            <w:r>
              <w:rPr>
                <w:rFonts w:hint="eastAsia" w:ascii="宋体" w:hAnsi="宋体" w:eastAsia="宋体" w:cstheme="minorBidi"/>
                <w:iCs/>
                <w:color w:val="auto"/>
                <w:kern w:val="2"/>
                <w:sz w:val="24"/>
                <w:szCs w:val="24"/>
                <w:highlight w:val="none"/>
                <w:shd w:val="clear" w:color="auto" w:fill="FFFFFF" w:themeFill="background1"/>
                <w:lang w:val="hr-HR" w:eastAsia="zh-CN" w:bidi="ar-SA"/>
              </w:rPr>
              <w:t>获取招标文件，并于</w:t>
            </w:r>
            <w:r>
              <w:rPr>
                <w:rFonts w:hint="eastAsia" w:ascii="宋体" w:hAnsi="宋体" w:eastAsia="宋体" w:cstheme="minorBidi"/>
                <w:iCs/>
                <w:color w:val="auto"/>
                <w:kern w:val="2"/>
                <w:sz w:val="24"/>
                <w:szCs w:val="24"/>
                <w:highlight w:val="none"/>
                <w:u w:val="single"/>
                <w:shd w:val="clear" w:color="auto" w:fill="FFFFFF" w:themeFill="background1"/>
                <w:lang w:val="hr-HR" w:eastAsia="zh-CN" w:bidi="ar-SA"/>
              </w:rPr>
              <w:t xml:space="preserve">年  月  日    </w:t>
            </w:r>
            <w:r>
              <w:rPr>
                <w:rFonts w:hint="eastAsia" w:cstheme="minorBidi"/>
                <w:iCs/>
                <w:color w:val="auto"/>
                <w:kern w:val="2"/>
                <w:sz w:val="24"/>
                <w:szCs w:val="24"/>
                <w:highlight w:val="none"/>
                <w:u w:val="single"/>
                <w:shd w:val="clear" w:color="auto" w:fill="FFFFFF" w:themeFill="background1"/>
                <w:lang w:val="en-US" w:eastAsia="zh-CN" w:bidi="ar-SA"/>
              </w:rPr>
              <w:t>时</w:t>
            </w:r>
            <w:r>
              <w:rPr>
                <w:rFonts w:hint="eastAsia" w:ascii="宋体" w:hAnsi="宋体" w:eastAsia="宋体" w:cstheme="minorBidi"/>
                <w:iCs/>
                <w:color w:val="auto"/>
                <w:kern w:val="2"/>
                <w:sz w:val="24"/>
                <w:szCs w:val="24"/>
                <w:highlight w:val="none"/>
                <w:u w:val="single"/>
                <w:shd w:val="clear" w:color="auto" w:fill="FFFFFF" w:themeFill="background1"/>
                <w:lang w:val="hr-HR" w:eastAsia="zh-CN" w:bidi="ar-SA"/>
              </w:rPr>
              <w:t xml:space="preserve">    分</w:t>
            </w:r>
            <w:r>
              <w:rPr>
                <w:rFonts w:hint="eastAsia" w:ascii="宋体" w:hAnsi="宋体" w:eastAsia="宋体" w:cstheme="minorBidi"/>
                <w:iCs/>
                <w:color w:val="auto"/>
                <w:kern w:val="2"/>
                <w:sz w:val="24"/>
                <w:szCs w:val="24"/>
                <w:highlight w:val="none"/>
                <w:shd w:val="clear" w:color="auto" w:fill="FFFFFF" w:themeFill="background1"/>
                <w:lang w:val="hr-HR" w:eastAsia="zh-CN" w:bidi="ar-SA"/>
              </w:rPr>
              <w:t>（北京时间）前递交投标文件。</w:t>
            </w:r>
          </w:p>
        </w:tc>
      </w:tr>
    </w:tbl>
    <w:p w14:paraId="4072DEF0">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17" w:name="_Toc1290"/>
      <w:bookmarkStart w:id="18" w:name="_Toc25986"/>
      <w:r>
        <w:rPr>
          <w:rFonts w:hint="eastAsia" w:ascii="宋体" w:hAnsi="宋体" w:eastAsia="宋体" w:cs="宋体"/>
          <w:b/>
          <w:bCs/>
          <w:color w:val="auto"/>
          <w:kern w:val="2"/>
          <w:sz w:val="24"/>
          <w:szCs w:val="24"/>
          <w:highlight w:val="none"/>
          <w:lang w:val="hr-HR" w:eastAsia="zh-CN" w:bidi="ar-SA"/>
        </w:rPr>
        <w:t>一、项目基本情况</w:t>
      </w:r>
      <w:bookmarkEnd w:id="7"/>
      <w:bookmarkEnd w:id="8"/>
      <w:bookmarkEnd w:id="9"/>
      <w:bookmarkEnd w:id="10"/>
      <w:bookmarkEnd w:id="11"/>
      <w:bookmarkEnd w:id="12"/>
      <w:bookmarkEnd w:id="13"/>
      <w:bookmarkEnd w:id="14"/>
      <w:bookmarkEnd w:id="15"/>
      <w:bookmarkEnd w:id="16"/>
      <w:bookmarkEnd w:id="17"/>
      <w:bookmarkEnd w:id="18"/>
    </w:p>
    <w:p w14:paraId="590E39A6">
      <w:pPr>
        <w:pStyle w:val="3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hr-HR"/>
        </w:rPr>
        <w:t>1.项目编号</w:t>
      </w:r>
      <w:r>
        <w:rPr>
          <w:rFonts w:hint="eastAsia"/>
          <w:color w:val="auto"/>
          <w:sz w:val="24"/>
          <w:highlight w:val="none"/>
          <w:lang w:val="en-US" w:eastAsia="zh-CN"/>
        </w:rPr>
        <w:t>/包号</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hr-HR"/>
        </w:rPr>
        <w:t xml:space="preserve"> </w:t>
      </w:r>
    </w:p>
    <w:p w14:paraId="544AA4B7">
      <w:pPr>
        <w:pStyle w:val="36"/>
        <w:spacing w:line="360" w:lineRule="auto"/>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hr-HR"/>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hr-HR"/>
        </w:rPr>
        <w:t xml:space="preserve"> </w:t>
      </w:r>
    </w:p>
    <w:p w14:paraId="3CE35A7E">
      <w:pPr>
        <w:pStyle w:val="36"/>
        <w:spacing w:line="360" w:lineRule="auto"/>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.采购方式：公开招标</w:t>
      </w:r>
    </w:p>
    <w:p w14:paraId="78A90596">
      <w:pPr>
        <w:pStyle w:val="36"/>
        <w:spacing w:line="360" w:lineRule="auto"/>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lang w:val="hr-HR"/>
        </w:rPr>
        <w:t>预算金额：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hr-HR"/>
        </w:rPr>
        <w:t>万元</w:t>
      </w:r>
    </w:p>
    <w:p w14:paraId="7851BE2C">
      <w:pPr>
        <w:pStyle w:val="36"/>
        <w:spacing w:line="360" w:lineRule="auto"/>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rPr>
        <w:t>最高限价【如有】</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u w:val="single"/>
          <w:lang w:val="hr-HR"/>
        </w:rPr>
        <w:t xml:space="preserve">         </w:t>
      </w:r>
      <w:r>
        <w:rPr>
          <w:rFonts w:hint="eastAsia" w:ascii="宋体" w:hAnsi="宋体" w:eastAsia="宋体" w:cs="宋体"/>
          <w:color w:val="auto"/>
          <w:sz w:val="24"/>
          <w:szCs w:val="24"/>
          <w:highlight w:val="none"/>
        </w:rPr>
        <w:t>万元</w:t>
      </w:r>
    </w:p>
    <w:p w14:paraId="242750DC">
      <w:pPr>
        <w:pStyle w:val="36"/>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hr-HR"/>
        </w:rPr>
        <w:t>.采购需求：</w:t>
      </w:r>
      <w:bookmarkStart w:id="19" w:name="_Hlk155086750"/>
      <w:r>
        <w:rPr>
          <w:rFonts w:hint="eastAsia" w:ascii="宋体" w:hAnsi="宋体" w:eastAsia="宋体" w:cs="宋体"/>
          <w:color w:val="auto"/>
          <w:sz w:val="24"/>
          <w:szCs w:val="24"/>
          <w:highlight w:val="none"/>
          <w:u w:val="single"/>
        </w:rPr>
        <w:t>【</w:t>
      </w:r>
      <w:bookmarkEnd w:id="19"/>
      <w:r>
        <w:rPr>
          <w:rFonts w:hint="eastAsia" w:ascii="宋体" w:hAnsi="宋体" w:eastAsia="宋体" w:cs="宋体"/>
          <w:color w:val="auto"/>
          <w:sz w:val="24"/>
          <w:szCs w:val="24"/>
          <w:highlight w:val="none"/>
          <w:u w:val="single"/>
        </w:rPr>
        <w:t>包括但不限于</w:t>
      </w:r>
      <w:r>
        <w:rPr>
          <w:rFonts w:hint="eastAsia" w:ascii="宋体" w:hAnsi="宋体" w:eastAsia="宋体" w:cs="宋体"/>
          <w:color w:val="auto"/>
          <w:sz w:val="24"/>
          <w:szCs w:val="24"/>
          <w:highlight w:val="none"/>
          <w:u w:val="single"/>
          <w:lang w:val="en-US" w:eastAsia="zh-CN"/>
        </w:rPr>
        <w:t>标的服务名称、内容</w:t>
      </w:r>
      <w:r>
        <w:rPr>
          <w:rFonts w:hint="eastAsia" w:ascii="宋体" w:hAnsi="宋体" w:eastAsia="宋体" w:cs="宋体"/>
          <w:color w:val="auto"/>
          <w:sz w:val="24"/>
          <w:szCs w:val="24"/>
          <w:highlight w:val="none"/>
          <w:u w:val="single"/>
        </w:rPr>
        <w:t>、简要</w:t>
      </w:r>
      <w:r>
        <w:rPr>
          <w:rFonts w:hint="eastAsia" w:ascii="宋体" w:hAnsi="宋体" w:eastAsia="宋体" w:cs="宋体"/>
          <w:color w:val="auto"/>
          <w:sz w:val="24"/>
          <w:szCs w:val="24"/>
          <w:highlight w:val="none"/>
          <w:u w:val="single"/>
          <w:lang w:val="en-US" w:eastAsia="zh-CN"/>
        </w:rPr>
        <w:t>服务</w:t>
      </w:r>
      <w:r>
        <w:rPr>
          <w:rFonts w:hint="eastAsia" w:ascii="宋体" w:hAnsi="宋体" w:eastAsia="宋体" w:cs="宋体"/>
          <w:color w:val="auto"/>
          <w:sz w:val="24"/>
          <w:szCs w:val="24"/>
          <w:highlight w:val="none"/>
          <w:u w:val="single"/>
        </w:rPr>
        <w:t>需求等】</w:t>
      </w:r>
    </w:p>
    <w:p w14:paraId="56FBF6DA">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.合同</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履行期限：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hr-HR"/>
        </w:rPr>
        <w:t xml:space="preserve"> </w:t>
      </w:r>
    </w:p>
    <w:p w14:paraId="4B098642">
      <w:pPr>
        <w:pStyle w:val="36"/>
        <w:spacing w:line="360" w:lineRule="auto"/>
        <w:rPr>
          <w:rFonts w:hint="eastAsia" w:ascii="宋体" w:hAnsi="宋体" w:eastAsia="宋体" w:cs="宋体"/>
          <w:color w:val="auto"/>
          <w:sz w:val="24"/>
          <w:szCs w:val="24"/>
          <w:highlight w:val="none"/>
          <w:lang w:val="en-US" w:eastAsia="zh-CN"/>
        </w:rPr>
      </w:pPr>
      <w:bookmarkStart w:id="20" w:name="_Toc35393630"/>
      <w:bookmarkStart w:id="21" w:name="_Toc28359013"/>
      <w:bookmarkStart w:id="22" w:name="_Toc28359090"/>
      <w:bookmarkStart w:id="23" w:name="_Toc44583629"/>
      <w:bookmarkStart w:id="24" w:name="_Toc35393799"/>
      <w:r>
        <w:rPr>
          <w:rFonts w:hint="eastAsia" w:ascii="宋体" w:hAnsi="宋体" w:eastAsia="宋体" w:cs="宋体"/>
          <w:color w:val="auto"/>
          <w:sz w:val="24"/>
          <w:szCs w:val="24"/>
          <w:highlight w:val="none"/>
          <w:lang w:val="en-US" w:eastAsia="zh-CN"/>
        </w:rPr>
        <w:t>8.</w:t>
      </w:r>
      <w:bookmarkStart w:id="25" w:name="_Hlk162011358"/>
      <w:r>
        <w:rPr>
          <w:rFonts w:hint="eastAsia" w:ascii="宋体" w:hAnsi="宋体" w:eastAsia="宋体" w:cs="宋体"/>
          <w:color w:val="auto"/>
          <w:sz w:val="24"/>
          <w:szCs w:val="24"/>
          <w:highlight w:val="none"/>
          <w:lang w:val="en-US" w:eastAsia="zh-CN"/>
        </w:rPr>
        <w:t>本项目是否接受联合体投标：□是</w:t>
      </w:r>
      <w:bookmarkEnd w:id="25"/>
      <w:r>
        <w:rPr>
          <w:rFonts w:hint="eastAsia" w:ascii="宋体" w:hAnsi="宋体" w:eastAsia="宋体" w:cs="宋体"/>
          <w:color w:val="auto"/>
          <w:sz w:val="24"/>
          <w:szCs w:val="24"/>
          <w:highlight w:val="none"/>
          <w:lang w:val="en-US" w:eastAsia="zh-CN"/>
        </w:rPr>
        <w:t xml:space="preserve">   □否</w:t>
      </w:r>
    </w:p>
    <w:p w14:paraId="1EEB1622">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26" w:name="_Toc155185861"/>
      <w:bookmarkStart w:id="27" w:name="_Toc20613"/>
      <w:bookmarkStart w:id="28" w:name="_Toc109899830"/>
      <w:bookmarkStart w:id="29" w:name="_Toc17974"/>
      <w:bookmarkStart w:id="30" w:name="_Toc109899411"/>
      <w:bookmarkStart w:id="31" w:name="_Toc109900249"/>
      <w:bookmarkStart w:id="32" w:name="_Toc140132746"/>
      <w:r>
        <w:rPr>
          <w:rFonts w:hint="eastAsia" w:ascii="宋体" w:hAnsi="宋体" w:eastAsia="宋体" w:cs="宋体"/>
          <w:b/>
          <w:bCs/>
          <w:color w:val="auto"/>
          <w:kern w:val="2"/>
          <w:sz w:val="24"/>
          <w:szCs w:val="24"/>
          <w:highlight w:val="none"/>
          <w:lang w:val="en-US" w:eastAsia="zh-CN" w:bidi="ar-SA"/>
        </w:rPr>
        <w:t>二、申请</w:t>
      </w:r>
      <w:r>
        <w:rPr>
          <w:rFonts w:hint="eastAsia" w:ascii="宋体" w:hAnsi="宋体" w:eastAsia="宋体" w:cs="宋体"/>
          <w:b/>
          <w:bCs/>
          <w:color w:val="auto"/>
          <w:kern w:val="2"/>
          <w:sz w:val="24"/>
          <w:szCs w:val="24"/>
          <w:highlight w:val="none"/>
          <w:lang w:val="hr-HR" w:eastAsia="zh-CN" w:bidi="ar-SA"/>
        </w:rPr>
        <w:t>人</w:t>
      </w:r>
      <w:r>
        <w:rPr>
          <w:rFonts w:hint="eastAsia" w:ascii="宋体" w:hAnsi="宋体" w:eastAsia="宋体" w:cs="宋体"/>
          <w:b/>
          <w:bCs/>
          <w:color w:val="auto"/>
          <w:kern w:val="2"/>
          <w:sz w:val="24"/>
          <w:szCs w:val="24"/>
          <w:highlight w:val="none"/>
          <w:lang w:val="en-US" w:eastAsia="zh-CN" w:bidi="ar-SA"/>
        </w:rPr>
        <w:t>的</w:t>
      </w:r>
      <w:r>
        <w:rPr>
          <w:rFonts w:hint="eastAsia" w:ascii="宋体" w:hAnsi="宋体" w:eastAsia="宋体" w:cs="宋体"/>
          <w:b/>
          <w:bCs/>
          <w:color w:val="auto"/>
          <w:kern w:val="2"/>
          <w:sz w:val="24"/>
          <w:szCs w:val="24"/>
          <w:highlight w:val="none"/>
          <w:lang w:val="hr-HR" w:eastAsia="zh-CN" w:bidi="ar-SA"/>
        </w:rPr>
        <w:t>资格要求</w:t>
      </w:r>
      <w:bookmarkEnd w:id="20"/>
      <w:bookmarkEnd w:id="21"/>
      <w:bookmarkEnd w:id="22"/>
      <w:bookmarkEnd w:id="23"/>
      <w:bookmarkEnd w:id="24"/>
      <w:bookmarkEnd w:id="26"/>
      <w:bookmarkEnd w:id="27"/>
      <w:bookmarkEnd w:id="28"/>
      <w:bookmarkEnd w:id="29"/>
      <w:bookmarkEnd w:id="30"/>
      <w:bookmarkEnd w:id="31"/>
      <w:bookmarkEnd w:id="32"/>
    </w:p>
    <w:p w14:paraId="4A6A8664">
      <w:pPr>
        <w:spacing w:line="360" w:lineRule="auto"/>
        <w:ind w:firstLine="480" w:firstLineChars="200"/>
        <w:rPr>
          <w:rFonts w:hint="eastAsia" w:ascii="宋体" w:hAnsi="宋体" w:eastAsia="宋体" w:cs="宋体"/>
          <w:color w:val="auto"/>
          <w:sz w:val="24"/>
          <w:szCs w:val="24"/>
          <w:highlight w:val="none"/>
          <w:lang w:val="en-US" w:eastAsia="zh-CN"/>
        </w:rPr>
      </w:pPr>
      <w:bookmarkStart w:id="33" w:name="_Hlk89807755"/>
      <w:bookmarkStart w:id="34" w:name="_Toc35393800"/>
      <w:bookmarkStart w:id="35" w:name="_Toc44583630"/>
      <w:bookmarkStart w:id="36" w:name="_Toc28359014"/>
      <w:bookmarkStart w:id="37" w:name="_Toc28359091"/>
      <w:bookmarkStart w:id="38" w:name="_Toc35393631"/>
      <w:r>
        <w:rPr>
          <w:rFonts w:hint="eastAsia" w:ascii="宋体" w:hAnsi="宋体" w:eastAsia="宋体" w:cs="宋体"/>
          <w:color w:val="auto"/>
          <w:sz w:val="24"/>
          <w:szCs w:val="24"/>
          <w:highlight w:val="none"/>
          <w:lang w:val="en-US" w:eastAsia="zh-CN"/>
        </w:rPr>
        <w:t>1.满足《中华人民共和国政府采购法》第二十二条规定；</w:t>
      </w:r>
    </w:p>
    <w:p w14:paraId="3632724A">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2.落实政府采购政策需满足的资格要求：</w:t>
      </w:r>
      <w:r>
        <w:rPr>
          <w:rFonts w:hint="eastAsia" w:ascii="宋体" w:hAnsi="宋体" w:eastAsia="宋体" w:cs="宋体"/>
          <w:color w:val="auto"/>
          <w:sz w:val="24"/>
          <w:szCs w:val="24"/>
          <w:highlight w:val="none"/>
          <w:u w:val="single"/>
          <w:lang w:val="en-US" w:eastAsia="zh-CN"/>
        </w:rPr>
        <w:t>【如属于专门面向中小企业采购的项目,供应商应为中小微企业、监狱企业、残疾人福利性单位】</w:t>
      </w:r>
      <w:r>
        <w:rPr>
          <w:rFonts w:hint="eastAsia" w:cs="宋体"/>
          <w:color w:val="auto"/>
          <w:sz w:val="24"/>
          <w:szCs w:val="24"/>
          <w:highlight w:val="none"/>
          <w:u w:val="single"/>
          <w:lang w:val="en-US" w:eastAsia="zh-CN"/>
        </w:rPr>
        <w:t>。</w:t>
      </w:r>
    </w:p>
    <w:p w14:paraId="5AC8ADFE">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3.本项目的特定资格要求：</w:t>
      </w:r>
      <w:r>
        <w:rPr>
          <w:rFonts w:hint="eastAsia" w:ascii="宋体" w:hAnsi="宋体" w:eastAsia="宋体" w:cs="宋体"/>
          <w:color w:val="auto"/>
          <w:sz w:val="24"/>
          <w:szCs w:val="24"/>
          <w:highlight w:val="none"/>
          <w:u w:val="single"/>
          <w:lang w:val="en-US" w:eastAsia="zh-CN"/>
        </w:rPr>
        <w:t>【如项目接受联合体投标，对联合体应提出相关资格要求；如属于特定行业项目,供应商应当具备特定行业法定准入要求】。</w:t>
      </w:r>
    </w:p>
    <w:p w14:paraId="69D2AB04">
      <w:pPr>
        <w:pStyle w:val="36"/>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 其他资格要求：</w:t>
      </w:r>
    </w:p>
    <w:p w14:paraId="040E7358">
      <w:pPr>
        <w:pStyle w:val="36"/>
        <w:spacing w:line="360" w:lineRule="auto"/>
        <w:rPr>
          <w:rFonts w:hint="eastAsia" w:ascii="宋体" w:hAnsi="宋体" w:eastAsia="宋体" w:cs="宋体"/>
          <w:color w:val="auto"/>
          <w:sz w:val="24"/>
          <w:szCs w:val="24"/>
          <w:highlight w:val="none"/>
          <w:lang w:val="hr-HR"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hr-HR"/>
        </w:rPr>
        <w:t>法定代表人或</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lang w:val="hr-HR"/>
        </w:rPr>
        <w:t>负责人为同一人或者存在</w:t>
      </w:r>
      <w:r>
        <w:rPr>
          <w:rFonts w:hint="eastAsia" w:ascii="宋体" w:hAnsi="宋体" w:eastAsia="宋体" w:cs="宋体"/>
          <w:color w:val="auto"/>
          <w:sz w:val="24"/>
          <w:szCs w:val="24"/>
          <w:highlight w:val="none"/>
          <w:lang w:val="en-US" w:eastAsia="zh-CN"/>
        </w:rPr>
        <w:t>直接</w:t>
      </w:r>
      <w:r>
        <w:rPr>
          <w:rFonts w:hint="eastAsia" w:ascii="宋体" w:hAnsi="宋体" w:eastAsia="宋体" w:cs="宋体"/>
          <w:color w:val="auto"/>
          <w:sz w:val="24"/>
          <w:szCs w:val="24"/>
          <w:highlight w:val="none"/>
          <w:lang w:val="hr-HR"/>
        </w:rPr>
        <w:t>控股、管理关系的</w:t>
      </w:r>
      <w:r>
        <w:rPr>
          <w:rFonts w:hint="eastAsia" w:ascii="宋体" w:hAnsi="宋体" w:eastAsia="宋体" w:cs="宋体"/>
          <w:color w:val="auto"/>
          <w:sz w:val="24"/>
          <w:szCs w:val="24"/>
          <w:highlight w:val="none"/>
          <w:lang w:val="en-US" w:eastAsia="zh-CN"/>
        </w:rPr>
        <w:t>不同供应商</w:t>
      </w:r>
      <w:r>
        <w:rPr>
          <w:rFonts w:hint="eastAsia" w:ascii="宋体" w:hAnsi="宋体" w:eastAsia="宋体" w:cs="宋体"/>
          <w:color w:val="auto"/>
          <w:sz w:val="24"/>
          <w:szCs w:val="24"/>
          <w:highlight w:val="none"/>
          <w:lang w:val="hr-HR"/>
        </w:rPr>
        <w:t>，不得参加同一合同项下的政府采购活动。</w:t>
      </w:r>
    </w:p>
    <w:p w14:paraId="68099EEC">
      <w:pPr>
        <w:pStyle w:val="36"/>
        <w:spacing w:line="360" w:lineRule="auto"/>
        <w:rPr>
          <w:rFonts w:hint="eastAsia" w:ascii="宋体" w:hAnsi="宋体" w:eastAsia="宋体" w:cs="宋体"/>
          <w:color w:val="auto"/>
          <w:sz w:val="24"/>
          <w:szCs w:val="24"/>
          <w:highlight w:val="none"/>
          <w:lang w:val="hr-HR"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hr-HR"/>
        </w:rPr>
        <w:t>除单一来源采购项目外，为采购项目提供整体设计、规范编制或者项目管理、监理、检测等服务的供应商，不得再参加该采购项目的其他采购活动。</w:t>
      </w:r>
    </w:p>
    <w:p w14:paraId="1F555688">
      <w:pPr>
        <w:spacing w:line="360" w:lineRule="auto"/>
        <w:ind w:firstLine="480" w:firstLineChars="20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hr-HR"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hr-HR"/>
        </w:rPr>
        <w:t>供应商的信用行为</w:t>
      </w:r>
      <w:r>
        <w:rPr>
          <w:rFonts w:hint="eastAsia" w:ascii="宋体" w:hAnsi="宋体" w:eastAsia="宋体" w:cs="宋体"/>
          <w:color w:val="auto"/>
          <w:sz w:val="24"/>
          <w:szCs w:val="24"/>
          <w:highlight w:val="none"/>
          <w:lang w:val="hr-HR" w:eastAsia="zh-CN"/>
        </w:rPr>
        <w:t>：</w:t>
      </w:r>
      <w:r>
        <w:rPr>
          <w:rFonts w:hint="eastAsia" w:ascii="宋体" w:hAnsi="宋体" w:eastAsia="宋体" w:cs="宋体"/>
          <w:color w:val="auto"/>
          <w:sz w:val="24"/>
          <w:szCs w:val="24"/>
          <w:highlight w:val="none"/>
          <w:lang w:val="hr-HR"/>
        </w:rPr>
        <w:t>在</w:t>
      </w:r>
      <w:r>
        <w:rPr>
          <w:rFonts w:hint="eastAsia" w:ascii="宋体" w:hAnsi="宋体" w:eastAsia="宋体" w:cs="宋体"/>
          <w:color w:val="auto"/>
          <w:sz w:val="24"/>
          <w:szCs w:val="24"/>
          <w:highlight w:val="none"/>
          <w:lang w:val="en-US" w:eastAsia="zh-CN"/>
        </w:rPr>
        <w:t>资格审查阶段经查询，未被列入“失信被执行人”、“重大税收违法失信主体”、“政府采购严重违法失信行为记录名单”其中之一</w:t>
      </w:r>
      <w:r>
        <w:rPr>
          <w:rFonts w:hint="eastAsia" w:ascii="宋体" w:hAnsi="宋体" w:eastAsia="宋体" w:cs="宋体"/>
          <w:color w:val="auto"/>
          <w:sz w:val="24"/>
          <w:szCs w:val="24"/>
          <w:highlight w:val="none"/>
          <w:lang w:val="hr-HR"/>
        </w:rPr>
        <w:t>。如有以上不良信用记录</w:t>
      </w:r>
      <w:r>
        <w:rPr>
          <w:rFonts w:hint="eastAsia" w:ascii="宋体" w:hAnsi="宋体" w:eastAsia="宋体" w:cs="宋体"/>
          <w:color w:val="auto"/>
          <w:sz w:val="24"/>
          <w:szCs w:val="24"/>
          <w:highlight w:val="none"/>
          <w:lang w:val="en-US" w:eastAsia="zh-CN"/>
        </w:rPr>
        <w:t>之一的，</w:t>
      </w:r>
      <w:r>
        <w:rPr>
          <w:rFonts w:hint="eastAsia" w:ascii="宋体" w:hAnsi="宋体" w:eastAsia="宋体" w:cs="宋体"/>
          <w:color w:val="auto"/>
          <w:sz w:val="24"/>
          <w:szCs w:val="24"/>
          <w:highlight w:val="none"/>
          <w:lang w:val="hr-HR"/>
        </w:rPr>
        <w:t>其</w:t>
      </w:r>
      <w:r>
        <w:rPr>
          <w:rFonts w:hint="eastAsia" w:ascii="宋体" w:hAnsi="宋体" w:eastAsia="宋体" w:cs="宋体"/>
          <w:b/>
          <w:bCs/>
          <w:color w:val="auto"/>
          <w:sz w:val="24"/>
          <w:szCs w:val="24"/>
          <w:highlight w:val="none"/>
          <w:lang w:val="hr-HR"/>
        </w:rPr>
        <w:t>投标</w:t>
      </w:r>
      <w:r>
        <w:rPr>
          <w:rFonts w:hint="eastAsia" w:ascii="宋体" w:hAnsi="宋体" w:eastAsia="宋体" w:cs="宋体"/>
          <w:b/>
          <w:bCs/>
          <w:color w:val="auto"/>
          <w:sz w:val="24"/>
          <w:szCs w:val="24"/>
          <w:highlight w:val="none"/>
          <w:lang w:val="en-US" w:eastAsia="zh-CN"/>
        </w:rPr>
        <w:t>无效</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u w:val="none"/>
          <w:lang w:val="en-US" w:eastAsia="zh-CN"/>
        </w:rPr>
        <w:t xml:space="preserve">              </w:t>
      </w:r>
    </w:p>
    <w:bookmarkEnd w:id="33"/>
    <w:p w14:paraId="17F1ED43">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39" w:name="_Toc155185862"/>
      <w:bookmarkStart w:id="40" w:name="_Toc109899831"/>
      <w:bookmarkStart w:id="41" w:name="_Toc24509"/>
      <w:bookmarkStart w:id="42" w:name="_Toc19057"/>
      <w:bookmarkStart w:id="43" w:name="_Toc109899412"/>
      <w:bookmarkStart w:id="44" w:name="_Toc109900250"/>
      <w:bookmarkStart w:id="45" w:name="_Toc140132747"/>
      <w:r>
        <w:rPr>
          <w:rFonts w:hint="eastAsia" w:ascii="宋体" w:hAnsi="宋体" w:eastAsia="宋体" w:cs="宋体"/>
          <w:b/>
          <w:bCs/>
          <w:color w:val="auto"/>
          <w:kern w:val="2"/>
          <w:sz w:val="24"/>
          <w:szCs w:val="24"/>
          <w:highlight w:val="none"/>
          <w:lang w:val="en-US" w:eastAsia="zh-CN" w:bidi="ar-SA"/>
        </w:rPr>
        <w:t>三、</w:t>
      </w:r>
      <w:r>
        <w:rPr>
          <w:rFonts w:hint="eastAsia" w:ascii="宋体" w:hAnsi="宋体" w:eastAsia="宋体" w:cs="宋体"/>
          <w:b/>
          <w:bCs/>
          <w:color w:val="auto"/>
          <w:kern w:val="2"/>
          <w:sz w:val="24"/>
          <w:szCs w:val="24"/>
          <w:highlight w:val="none"/>
          <w:lang w:val="hr-HR" w:eastAsia="zh-CN" w:bidi="ar-SA"/>
        </w:rPr>
        <w:t>获取招标文件</w:t>
      </w:r>
      <w:bookmarkEnd w:id="34"/>
      <w:bookmarkEnd w:id="35"/>
      <w:bookmarkEnd w:id="36"/>
      <w:bookmarkEnd w:id="37"/>
      <w:bookmarkEnd w:id="38"/>
      <w:bookmarkEnd w:id="39"/>
      <w:bookmarkEnd w:id="40"/>
      <w:bookmarkEnd w:id="41"/>
      <w:bookmarkEnd w:id="42"/>
      <w:bookmarkEnd w:id="43"/>
      <w:bookmarkEnd w:id="44"/>
      <w:bookmarkEnd w:id="45"/>
      <w:r>
        <w:rPr>
          <w:rFonts w:hint="eastAsia" w:ascii="宋体" w:hAnsi="宋体" w:eastAsia="宋体" w:cs="宋体"/>
          <w:b/>
          <w:bCs/>
          <w:color w:val="auto"/>
          <w:kern w:val="2"/>
          <w:sz w:val="24"/>
          <w:szCs w:val="24"/>
          <w:highlight w:val="none"/>
          <w:lang w:val="hr-HR" w:eastAsia="zh-CN" w:bidi="ar-SA"/>
        </w:rPr>
        <w:t xml:space="preserve"> </w:t>
      </w:r>
    </w:p>
    <w:p w14:paraId="7F0135DE">
      <w:pPr>
        <w:pStyle w:val="36"/>
        <w:spacing w:line="360" w:lineRule="auto"/>
        <w:rPr>
          <w:rFonts w:hint="eastAsia" w:ascii="宋体" w:hAnsi="宋体" w:eastAsia="宋体" w:cs="宋体"/>
          <w:color w:val="auto"/>
          <w:sz w:val="24"/>
          <w:szCs w:val="24"/>
          <w:highlight w:val="none"/>
          <w:lang w:val="hr-HR"/>
        </w:rPr>
      </w:pPr>
      <w:bookmarkStart w:id="46" w:name="_Hlk130457234"/>
      <w:bookmarkStart w:id="47" w:name="_Hlk130457327"/>
      <w:bookmarkStart w:id="48" w:name="_Hlk130457261"/>
      <w:bookmarkStart w:id="49" w:name="_Toc28359015"/>
      <w:bookmarkStart w:id="50" w:name="_Toc35393632"/>
      <w:bookmarkStart w:id="51" w:name="_Toc28359092"/>
      <w:bookmarkStart w:id="52" w:name="_Toc35393801"/>
      <w:r>
        <w:rPr>
          <w:rFonts w:hint="eastAsia" w:ascii="宋体" w:hAnsi="宋体" w:eastAsia="宋体" w:cs="宋体"/>
          <w:color w:val="auto"/>
          <w:sz w:val="24"/>
          <w:szCs w:val="24"/>
          <w:highlight w:val="none"/>
          <w:lang w:val="hr-HR"/>
        </w:rPr>
        <w:t>1.时间：</w:t>
      </w:r>
      <w:r>
        <w:rPr>
          <w:rFonts w:hint="eastAsia" w:ascii="宋体" w:hAnsi="宋体" w:eastAsia="宋体" w:cs="宋体"/>
          <w:color w:val="auto"/>
          <w:sz w:val="24"/>
          <w:szCs w:val="24"/>
          <w:highlight w:val="none"/>
          <w:u w:val="single"/>
        </w:rPr>
        <w:t xml:space="preserve">  年  月  日  时   分</w:t>
      </w:r>
      <w:r>
        <w:rPr>
          <w:rFonts w:hint="eastAsia" w:ascii="宋体" w:hAnsi="宋体" w:eastAsia="宋体" w:cs="宋体"/>
          <w:color w:val="auto"/>
          <w:sz w:val="24"/>
          <w:szCs w:val="24"/>
          <w:highlight w:val="none"/>
          <w:lang w:val="hr-HR"/>
        </w:rPr>
        <w:t>至</w:t>
      </w:r>
      <w:r>
        <w:rPr>
          <w:rFonts w:hint="eastAsia" w:ascii="宋体" w:hAnsi="宋体" w:eastAsia="宋体" w:cs="宋体"/>
          <w:color w:val="auto"/>
          <w:sz w:val="24"/>
          <w:szCs w:val="24"/>
          <w:highlight w:val="none"/>
          <w:u w:val="single"/>
          <w:lang w:val="hr-HR"/>
        </w:rPr>
        <w:t xml:space="preserve">  </w:t>
      </w:r>
      <w:r>
        <w:rPr>
          <w:rFonts w:hint="eastAsia" w:ascii="宋体" w:hAnsi="宋体" w:eastAsia="宋体" w:cs="宋体"/>
          <w:color w:val="auto"/>
          <w:sz w:val="24"/>
          <w:szCs w:val="24"/>
          <w:highlight w:val="none"/>
          <w:u w:val="single"/>
        </w:rPr>
        <w:t>年  月  日  时   分</w:t>
      </w:r>
      <w:r>
        <w:rPr>
          <w:rFonts w:hint="eastAsia" w:ascii="宋体" w:hAnsi="宋体" w:eastAsia="宋体" w:cs="宋体"/>
          <w:color w:val="auto"/>
          <w:sz w:val="24"/>
          <w:szCs w:val="24"/>
          <w:highlight w:val="none"/>
          <w:lang w:val="hr-HR"/>
        </w:rPr>
        <w:t>（北京时间）。</w:t>
      </w:r>
    </w:p>
    <w:bookmarkEnd w:id="46"/>
    <w:p w14:paraId="34FD69CE">
      <w:pPr>
        <w:pStyle w:val="36"/>
        <w:spacing w:line="360" w:lineRule="auto"/>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hr-HR"/>
        </w:rPr>
        <w:t>2.</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val="hr-HR"/>
        </w:rPr>
        <w:t>：</w:t>
      </w:r>
      <w:bookmarkStart w:id="53" w:name="_Hlk89807779"/>
      <w:r>
        <w:rPr>
          <w:rFonts w:hint="eastAsia" w:ascii="宋体" w:hAnsi="宋体" w:eastAsia="宋体" w:cs="宋体"/>
          <w:color w:val="auto"/>
          <w:sz w:val="24"/>
          <w:szCs w:val="24"/>
          <w:highlight w:val="none"/>
          <w:lang w:val="en-US"/>
        </w:rPr>
        <w:t>兵团</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val="en-US"/>
        </w:rPr>
        <w:t>电子交易云</w:t>
      </w:r>
      <w:r>
        <w:rPr>
          <w:rFonts w:hint="eastAsia" w:ascii="宋体" w:hAnsi="宋体" w:eastAsia="宋体" w:cs="宋体"/>
          <w:color w:val="auto"/>
          <w:sz w:val="24"/>
          <w:szCs w:val="24"/>
          <w:highlight w:val="none"/>
        </w:rPr>
        <w:t>平台</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rPr>
        <w:t>网址</w:t>
      </w:r>
      <w:r>
        <w:rPr>
          <w:rFonts w:hint="eastAsia" w:ascii="宋体" w:hAnsi="宋体" w:eastAsia="宋体" w:cs="宋体"/>
          <w:color w:val="auto"/>
          <w:sz w:val="24"/>
          <w:szCs w:val="24"/>
          <w:highlight w:val="none"/>
          <w:lang w:val="hr-HR"/>
        </w:rPr>
        <w:t>：https://www.zcygov.cn/）</w:t>
      </w:r>
      <w:r>
        <w:rPr>
          <w:rFonts w:hint="eastAsia" w:ascii="宋体" w:hAnsi="宋体" w:eastAsia="宋体" w:cs="宋体"/>
          <w:color w:val="auto"/>
          <w:sz w:val="24"/>
          <w:szCs w:val="24"/>
          <w:highlight w:val="none"/>
        </w:rPr>
        <w:t>。</w:t>
      </w:r>
      <w:bookmarkEnd w:id="53"/>
    </w:p>
    <w:p w14:paraId="5DDD414F">
      <w:pPr>
        <w:pStyle w:val="36"/>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hr-HR"/>
        </w:rPr>
        <w:t>3.</w:t>
      </w:r>
      <w:r>
        <w:rPr>
          <w:rFonts w:hint="eastAsia" w:ascii="宋体" w:hAnsi="宋体" w:eastAsia="宋体" w:cs="宋体"/>
          <w:color w:val="auto"/>
          <w:sz w:val="24"/>
          <w:szCs w:val="24"/>
          <w:highlight w:val="none"/>
        </w:rPr>
        <w:t>方式</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投标供应商登录政采云平台</w:t>
      </w:r>
      <w:r>
        <w:rPr>
          <w:rFonts w:hint="eastAsia" w:ascii="宋体" w:hAnsi="宋体" w:eastAsia="宋体" w:cs="宋体"/>
          <w:color w:val="auto"/>
          <w:sz w:val="24"/>
          <w:szCs w:val="24"/>
          <w:highlight w:val="none"/>
          <w:lang w:val="hr-HR"/>
        </w:rPr>
        <w:t>https://www.zcygov.cn/</w:t>
      </w:r>
      <w:r>
        <w:rPr>
          <w:rFonts w:hint="eastAsia" w:ascii="宋体" w:hAnsi="宋体" w:eastAsia="宋体" w:cs="宋体"/>
          <w:color w:val="auto"/>
          <w:sz w:val="24"/>
          <w:szCs w:val="24"/>
          <w:highlight w:val="none"/>
          <w:lang w:val="en-US"/>
        </w:rPr>
        <w:t>在线申请</w:t>
      </w:r>
      <w:r>
        <w:rPr>
          <w:rFonts w:hint="eastAsia" w:ascii="宋体" w:hAnsi="宋体" w:eastAsia="宋体" w:cs="宋体"/>
          <w:color w:val="auto"/>
          <w:sz w:val="24"/>
          <w:szCs w:val="24"/>
          <w:highlight w:val="none"/>
          <w:lang w:val="en-US" w:eastAsia="zh-CN"/>
        </w:rPr>
        <w:t>，免费</w:t>
      </w:r>
      <w:r>
        <w:rPr>
          <w:rFonts w:hint="eastAsia" w:ascii="宋体" w:hAnsi="宋体" w:eastAsia="宋体" w:cs="宋体"/>
          <w:color w:val="auto"/>
          <w:sz w:val="24"/>
          <w:szCs w:val="24"/>
          <w:highlight w:val="none"/>
          <w:lang w:val="en-US"/>
        </w:rPr>
        <w:t>获取</w:t>
      </w:r>
      <w:r>
        <w:rPr>
          <w:rFonts w:hint="eastAsia" w:ascii="宋体" w:hAnsi="宋体" w:eastAsia="宋体" w:cs="宋体"/>
          <w:color w:val="auto"/>
          <w:sz w:val="24"/>
          <w:szCs w:val="24"/>
          <w:highlight w:val="none"/>
          <w:lang w:val="en-US" w:eastAsia="zh-CN"/>
        </w:rPr>
        <w:t>电子</w:t>
      </w:r>
      <w:r>
        <w:rPr>
          <w:rFonts w:hint="eastAsia" w:ascii="宋体" w:hAnsi="宋体" w:eastAsia="宋体" w:cs="宋体"/>
          <w:color w:val="auto"/>
          <w:sz w:val="24"/>
          <w:szCs w:val="24"/>
          <w:highlight w:val="none"/>
          <w:lang w:val="en-US"/>
        </w:rPr>
        <w:t>采购文件</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进入</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项目采购</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应用</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在获取采购文件菜单中选择项目</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申请获取采购文件</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w:t>
      </w:r>
    </w:p>
    <w:p w14:paraId="42A40251">
      <w:pPr>
        <w:pStyle w:val="36"/>
        <w:spacing w:line="360" w:lineRule="auto"/>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en-US" w:eastAsia="zh-CN"/>
        </w:rPr>
        <w:t>4.售价：0元。</w:t>
      </w:r>
      <w:r>
        <w:rPr>
          <w:rFonts w:hint="eastAsia" w:ascii="宋体" w:hAnsi="宋体" w:eastAsia="宋体" w:cs="宋体"/>
          <w:color w:val="auto"/>
          <w:sz w:val="24"/>
          <w:szCs w:val="24"/>
          <w:highlight w:val="none"/>
          <w:lang w:val="hr-HR"/>
        </w:rPr>
        <w:t xml:space="preserve"> </w:t>
      </w:r>
    </w:p>
    <w:bookmarkEnd w:id="47"/>
    <w:bookmarkEnd w:id="48"/>
    <w:bookmarkEnd w:id="49"/>
    <w:bookmarkEnd w:id="50"/>
    <w:bookmarkEnd w:id="51"/>
    <w:bookmarkEnd w:id="52"/>
    <w:p w14:paraId="62F53623">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54" w:name="_Toc155185863"/>
      <w:bookmarkStart w:id="55" w:name="_Toc140132748"/>
      <w:bookmarkStart w:id="56" w:name="_Toc109900251"/>
      <w:bookmarkStart w:id="57" w:name="_Toc109899413"/>
      <w:bookmarkStart w:id="58" w:name="_Toc109899832"/>
      <w:bookmarkStart w:id="59" w:name="_Toc16962"/>
      <w:bookmarkStart w:id="60" w:name="_Toc11313"/>
      <w:bookmarkStart w:id="61" w:name="_Hlk130457395"/>
      <w:bookmarkStart w:id="62" w:name="_Toc44583633"/>
      <w:bookmarkStart w:id="63" w:name="_Toc35393634"/>
      <w:bookmarkStart w:id="64" w:name="_Toc28359017"/>
      <w:bookmarkStart w:id="65" w:name="_Toc28359094"/>
      <w:bookmarkStart w:id="66" w:name="_Toc35393803"/>
      <w:r>
        <w:rPr>
          <w:rFonts w:hint="eastAsia" w:ascii="宋体" w:hAnsi="宋体" w:eastAsia="宋体" w:cs="宋体"/>
          <w:b/>
          <w:bCs/>
          <w:color w:val="auto"/>
          <w:kern w:val="2"/>
          <w:sz w:val="24"/>
          <w:szCs w:val="24"/>
          <w:highlight w:val="none"/>
          <w:lang w:val="en-US" w:eastAsia="zh-CN" w:bidi="ar-SA"/>
        </w:rPr>
        <w:t>四、</w:t>
      </w:r>
      <w:bookmarkEnd w:id="54"/>
      <w:bookmarkEnd w:id="55"/>
      <w:bookmarkEnd w:id="56"/>
      <w:bookmarkEnd w:id="57"/>
      <w:bookmarkEnd w:id="58"/>
      <w:r>
        <w:rPr>
          <w:rFonts w:hint="eastAsia" w:ascii="宋体" w:hAnsi="宋体" w:eastAsia="宋体" w:cs="宋体"/>
          <w:b/>
          <w:bCs/>
          <w:color w:val="auto"/>
          <w:kern w:val="2"/>
          <w:sz w:val="24"/>
          <w:szCs w:val="24"/>
          <w:highlight w:val="none"/>
          <w:lang w:val="hr-HR" w:eastAsia="zh-CN" w:bidi="ar-SA"/>
        </w:rPr>
        <w:t>提交投标文件截止时间</w:t>
      </w:r>
      <w:r>
        <w:rPr>
          <w:rFonts w:hint="eastAsia" w:ascii="宋体" w:hAnsi="宋体" w:eastAsia="宋体" w:cs="宋体"/>
          <w:b/>
          <w:bCs/>
          <w:color w:val="auto"/>
          <w:kern w:val="2"/>
          <w:sz w:val="24"/>
          <w:szCs w:val="24"/>
          <w:highlight w:val="none"/>
          <w:lang w:val="en-US" w:eastAsia="zh-CN" w:bidi="ar-SA"/>
        </w:rPr>
        <w:t>/</w:t>
      </w:r>
      <w:r>
        <w:rPr>
          <w:rFonts w:hint="eastAsia" w:ascii="宋体" w:hAnsi="宋体" w:eastAsia="宋体" w:cs="宋体"/>
          <w:b/>
          <w:bCs/>
          <w:color w:val="auto"/>
          <w:kern w:val="2"/>
          <w:sz w:val="24"/>
          <w:szCs w:val="24"/>
          <w:highlight w:val="none"/>
          <w:lang w:val="hr-HR" w:eastAsia="zh-CN" w:bidi="ar-SA"/>
        </w:rPr>
        <w:t>开标时间、递交方式和</w:t>
      </w:r>
      <w:r>
        <w:rPr>
          <w:rFonts w:hint="eastAsia" w:ascii="宋体" w:hAnsi="宋体" w:eastAsia="宋体" w:cs="宋体"/>
          <w:b/>
          <w:bCs/>
          <w:color w:val="auto"/>
          <w:kern w:val="2"/>
          <w:sz w:val="24"/>
          <w:szCs w:val="24"/>
          <w:highlight w:val="none"/>
          <w:lang w:val="en-US" w:eastAsia="zh-CN" w:bidi="ar-SA"/>
        </w:rPr>
        <w:t>开标</w:t>
      </w:r>
      <w:r>
        <w:rPr>
          <w:rFonts w:hint="eastAsia" w:ascii="宋体" w:hAnsi="宋体" w:eastAsia="宋体" w:cs="宋体"/>
          <w:b/>
          <w:bCs/>
          <w:color w:val="auto"/>
          <w:kern w:val="2"/>
          <w:sz w:val="24"/>
          <w:szCs w:val="24"/>
          <w:highlight w:val="none"/>
          <w:lang w:val="hr-HR" w:eastAsia="zh-CN" w:bidi="ar-SA"/>
        </w:rPr>
        <w:t>地点</w:t>
      </w:r>
      <w:bookmarkEnd w:id="59"/>
      <w:bookmarkEnd w:id="60"/>
    </w:p>
    <w:p w14:paraId="2D110B47">
      <w:pPr>
        <w:pStyle w:val="3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1.截止时间</w:t>
      </w:r>
      <w:r>
        <w:rPr>
          <w:rFonts w:hint="eastAsia" w:ascii="宋体" w:hAnsi="宋体" w:eastAsia="宋体" w:cs="宋体"/>
          <w:color w:val="auto"/>
          <w:sz w:val="24"/>
          <w:szCs w:val="24"/>
          <w:highlight w:val="none"/>
          <w:lang w:val="en-US"/>
        </w:rPr>
        <w:t>/</w:t>
      </w:r>
      <w:r>
        <w:rPr>
          <w:rFonts w:hint="eastAsia" w:ascii="宋体" w:hAnsi="宋体" w:eastAsia="宋体" w:cs="宋体"/>
          <w:color w:val="auto"/>
          <w:sz w:val="24"/>
          <w:szCs w:val="24"/>
          <w:highlight w:val="none"/>
        </w:rPr>
        <w:t>开标时间：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月</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日</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时</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分</w:t>
      </w:r>
      <w:r>
        <w:rPr>
          <w:rFonts w:hint="eastAsia" w:ascii="宋体" w:hAnsi="宋体" w:eastAsia="宋体" w:cs="宋体"/>
          <w:color w:val="auto"/>
          <w:sz w:val="24"/>
          <w:szCs w:val="24"/>
          <w:highlight w:val="none"/>
        </w:rPr>
        <w:t>（北京时间）。</w:t>
      </w:r>
    </w:p>
    <w:p w14:paraId="51B173F3">
      <w:pPr>
        <w:pStyle w:val="3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2.递交方式：</w:t>
      </w:r>
      <w:bookmarkStart w:id="67" w:name="_Hlk89807823"/>
      <w:r>
        <w:rPr>
          <w:rFonts w:hint="eastAsia" w:ascii="宋体" w:hAnsi="宋体" w:eastAsia="宋体" w:cs="宋体"/>
          <w:color w:val="auto"/>
          <w:sz w:val="24"/>
          <w:szCs w:val="24"/>
          <w:highlight w:val="none"/>
        </w:rPr>
        <w:t>在兵团政府采购电子交易云平台（网址：https://www.zcygov.cn/）进入“项目采购”应用，在投标文件上传菜单中选择项目进行上传。</w:t>
      </w:r>
      <w:bookmarkEnd w:id="67"/>
    </w:p>
    <w:p w14:paraId="276D3E17">
      <w:pPr>
        <w:pStyle w:val="3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3.开标</w:t>
      </w:r>
      <w:r>
        <w:rPr>
          <w:rFonts w:hint="eastAsia" w:ascii="宋体" w:hAnsi="宋体" w:eastAsia="宋体" w:cs="宋体"/>
          <w:color w:val="auto"/>
          <w:sz w:val="24"/>
          <w:szCs w:val="24"/>
          <w:highlight w:val="none"/>
          <w:lang w:val="en-US"/>
        </w:rPr>
        <w:t>地点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投标</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lang w:val="en-US"/>
        </w:rPr>
        <w:t>登录政采云平台https</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//www.zcygov.cn/，进入项目采购</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rPr>
        <w:t>开</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lang w:val="en-US"/>
        </w:rPr>
        <w:t>评标</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rPr>
        <w:t>右边选择对应项目点击“进入项目”进入开标大厅</w:t>
      </w:r>
      <w:r>
        <w:rPr>
          <w:rFonts w:hint="eastAsia" w:ascii="宋体" w:hAnsi="宋体" w:eastAsia="宋体" w:cs="宋体"/>
          <w:color w:val="auto"/>
          <w:sz w:val="24"/>
          <w:szCs w:val="24"/>
          <w:highlight w:val="none"/>
        </w:rPr>
        <w:t>。</w:t>
      </w:r>
    </w:p>
    <w:bookmarkEnd w:id="61"/>
    <w:p w14:paraId="679A69E0">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68" w:name="_Toc109899833"/>
      <w:bookmarkStart w:id="69" w:name="_Toc31237"/>
      <w:bookmarkStart w:id="70" w:name="_Toc140132749"/>
      <w:bookmarkStart w:id="71" w:name="_Toc109900252"/>
      <w:bookmarkStart w:id="72" w:name="_Toc22506"/>
      <w:bookmarkStart w:id="73" w:name="_Toc109899414"/>
      <w:bookmarkStart w:id="74" w:name="_Toc155185864"/>
      <w:r>
        <w:rPr>
          <w:rFonts w:hint="eastAsia" w:ascii="宋体" w:hAnsi="宋体" w:eastAsia="宋体" w:cs="宋体"/>
          <w:b/>
          <w:bCs/>
          <w:color w:val="auto"/>
          <w:kern w:val="2"/>
          <w:sz w:val="24"/>
          <w:szCs w:val="24"/>
          <w:highlight w:val="none"/>
          <w:lang w:val="en-US" w:eastAsia="zh-CN" w:bidi="ar-SA"/>
        </w:rPr>
        <w:t>五、</w:t>
      </w:r>
      <w:r>
        <w:rPr>
          <w:rFonts w:hint="eastAsia" w:ascii="宋体" w:hAnsi="宋体" w:eastAsia="宋体" w:cs="宋体"/>
          <w:b/>
          <w:bCs/>
          <w:color w:val="auto"/>
          <w:kern w:val="2"/>
          <w:sz w:val="24"/>
          <w:szCs w:val="24"/>
          <w:highlight w:val="none"/>
          <w:lang w:val="hr-HR" w:eastAsia="zh-CN" w:bidi="ar-SA"/>
        </w:rPr>
        <w:t>公告期限</w:t>
      </w:r>
      <w:bookmarkEnd w:id="62"/>
      <w:bookmarkEnd w:id="63"/>
      <w:bookmarkEnd w:id="64"/>
      <w:bookmarkEnd w:id="65"/>
      <w:bookmarkEnd w:id="66"/>
      <w:bookmarkEnd w:id="68"/>
      <w:bookmarkEnd w:id="69"/>
      <w:bookmarkEnd w:id="70"/>
      <w:bookmarkEnd w:id="71"/>
      <w:bookmarkEnd w:id="72"/>
      <w:bookmarkEnd w:id="73"/>
      <w:bookmarkEnd w:id="74"/>
    </w:p>
    <w:p w14:paraId="32028F42">
      <w:pPr>
        <w:pStyle w:val="3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自招标公告发布之日起5个工作日。</w:t>
      </w:r>
    </w:p>
    <w:p w14:paraId="20DD1AA0">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75" w:name="_Toc44583634"/>
      <w:bookmarkStart w:id="76" w:name="_Toc109899415"/>
      <w:bookmarkStart w:id="77" w:name="_Toc109899834"/>
      <w:bookmarkStart w:id="78" w:name="_Toc109900253"/>
      <w:bookmarkStart w:id="79" w:name="_Toc140132750"/>
      <w:bookmarkStart w:id="80" w:name="_Toc35393635"/>
      <w:bookmarkStart w:id="81" w:name="_Toc35393804"/>
      <w:bookmarkStart w:id="82" w:name="_Toc155185865"/>
      <w:bookmarkStart w:id="83" w:name="_Toc19698"/>
      <w:bookmarkStart w:id="84" w:name="_Toc17736"/>
      <w:bookmarkStart w:id="85" w:name="_Toc28359096"/>
      <w:bookmarkStart w:id="86" w:name="_Toc35393806"/>
      <w:bookmarkStart w:id="87" w:name="_Toc28359019"/>
      <w:bookmarkStart w:id="88" w:name="_Toc35393637"/>
      <w:r>
        <w:rPr>
          <w:rFonts w:hint="eastAsia" w:ascii="宋体" w:hAnsi="宋体" w:eastAsia="宋体" w:cs="宋体"/>
          <w:b/>
          <w:bCs/>
          <w:color w:val="auto"/>
          <w:kern w:val="2"/>
          <w:sz w:val="24"/>
          <w:szCs w:val="24"/>
          <w:highlight w:val="none"/>
          <w:lang w:val="en-US" w:eastAsia="zh-CN" w:bidi="ar-SA"/>
        </w:rPr>
        <w:t>六、</w:t>
      </w:r>
      <w:r>
        <w:rPr>
          <w:rFonts w:hint="eastAsia" w:ascii="宋体" w:hAnsi="宋体" w:eastAsia="宋体" w:cs="宋体"/>
          <w:b/>
          <w:bCs/>
          <w:color w:val="auto"/>
          <w:kern w:val="2"/>
          <w:sz w:val="24"/>
          <w:szCs w:val="24"/>
          <w:highlight w:val="none"/>
          <w:lang w:val="hr-HR" w:eastAsia="zh-CN" w:bidi="ar-SA"/>
        </w:rPr>
        <w:t>其他补充事宜</w:t>
      </w:r>
      <w:bookmarkEnd w:id="75"/>
      <w:bookmarkEnd w:id="76"/>
      <w:bookmarkEnd w:id="77"/>
      <w:bookmarkEnd w:id="78"/>
      <w:bookmarkEnd w:id="79"/>
      <w:bookmarkEnd w:id="80"/>
      <w:bookmarkEnd w:id="81"/>
      <w:bookmarkEnd w:id="82"/>
      <w:r>
        <w:rPr>
          <w:rFonts w:hint="eastAsia" w:ascii="宋体" w:hAnsi="宋体" w:eastAsia="宋体" w:cs="宋体"/>
          <w:b/>
          <w:bCs/>
          <w:color w:val="auto"/>
          <w:kern w:val="2"/>
          <w:sz w:val="24"/>
          <w:szCs w:val="24"/>
          <w:highlight w:val="none"/>
          <w:lang w:val="hr-HR" w:eastAsia="zh-CN" w:bidi="ar-SA"/>
        </w:rPr>
        <w:t>【如政采云平台信息内容更新，按最新内容自行修改】</w:t>
      </w:r>
      <w:bookmarkEnd w:id="83"/>
      <w:bookmarkEnd w:id="84"/>
    </w:p>
    <w:p w14:paraId="743BCBD0">
      <w:pPr>
        <w:pStyle w:val="36"/>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1、本项目实行网上投标，采用电子投标文件；</w:t>
      </w:r>
    </w:p>
    <w:p w14:paraId="1175B44A">
      <w:pPr>
        <w:pStyle w:val="36"/>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各投标人应在开标前应确保成为政采云平台供应商，并完成CA数字证书（符合国密标准）申领。因未注册入库、未办理CA数字证书等原因造成无法投标或投标失败等后果由投标人自行承担。有意向参与兵团区域电子开评标的投标人，可访问兵团政府采购网-办事指南-操作指南-CA证书办理操作指南或点击链接：http://ccgp-bingtuan.gov.cn/site/detail?parentId=189171&amp;articleId=CZ0bD526ZE+CHX5isJvt0w==&amp;utm=site.site-PC-4840.633-pc-websitegroup-secondlevelpage-front.1.2e96d52081d811eebbd67dd2372c0b9a自行进行申领。</w:t>
      </w:r>
    </w:p>
    <w:p w14:paraId="34AAF104">
      <w:pPr>
        <w:pStyle w:val="36"/>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3、投标人将政采云电子交易客户端下载、安装完成后，可通过账号密码或CA登录客户端进行投标文件的制作。在使用政采云</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投标客户端</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时，建议使用WIN7（64位）及以上操作系统。客户端请至兵团政府采购网（http://ccgp-bingtuan.gov.cn/）下载专区查看，如有问题可拨打政采云客户服务热线95763进行咨询。如因投标人自身原因导致在规定时间内无法正常解密的（如：浏览器故障、未安装相关驱动、网络故障、加密CA与解密CA不一致等），视为投标人自动弃标。</w:t>
      </w:r>
    </w:p>
    <w:p w14:paraId="548B7FB7">
      <w:pPr>
        <w:pStyle w:val="36"/>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bookmarkEnd w:id="3"/>
    <w:bookmarkEnd w:id="85"/>
    <w:bookmarkEnd w:id="86"/>
    <w:bookmarkEnd w:id="87"/>
    <w:bookmarkEnd w:id="88"/>
    <w:p w14:paraId="723251BD">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89" w:name="_Toc155185866"/>
      <w:bookmarkStart w:id="90" w:name="_Toc35393805"/>
      <w:bookmarkStart w:id="91" w:name="_Toc28359018"/>
      <w:bookmarkStart w:id="92" w:name="_Toc140132751"/>
      <w:bookmarkStart w:id="93" w:name="_Toc35393636"/>
      <w:bookmarkStart w:id="94" w:name="_Toc109900254"/>
      <w:bookmarkStart w:id="95" w:name="_Toc109899416"/>
      <w:bookmarkStart w:id="96" w:name="_Toc109899835"/>
      <w:bookmarkStart w:id="97" w:name="_Toc28359095"/>
      <w:bookmarkStart w:id="98" w:name="_Toc44583635"/>
      <w:bookmarkStart w:id="99" w:name="_Toc23370"/>
      <w:bookmarkStart w:id="100" w:name="_Toc17135"/>
      <w:r>
        <w:rPr>
          <w:rFonts w:hint="eastAsia" w:ascii="宋体" w:hAnsi="宋体" w:eastAsia="宋体" w:cs="宋体"/>
          <w:b/>
          <w:bCs/>
          <w:color w:val="auto"/>
          <w:kern w:val="2"/>
          <w:sz w:val="24"/>
          <w:szCs w:val="24"/>
          <w:highlight w:val="none"/>
          <w:lang w:val="en-US" w:eastAsia="zh-CN" w:bidi="ar-SA"/>
        </w:rPr>
        <w:t>七、</w:t>
      </w:r>
      <w:bookmarkEnd w:id="89"/>
      <w:bookmarkEnd w:id="90"/>
      <w:bookmarkEnd w:id="91"/>
      <w:bookmarkEnd w:id="92"/>
      <w:bookmarkEnd w:id="93"/>
      <w:bookmarkEnd w:id="94"/>
      <w:bookmarkEnd w:id="95"/>
      <w:bookmarkEnd w:id="96"/>
      <w:bookmarkEnd w:id="97"/>
      <w:bookmarkEnd w:id="98"/>
      <w:r>
        <w:rPr>
          <w:rFonts w:hint="eastAsia" w:ascii="宋体" w:hAnsi="宋体" w:eastAsia="宋体" w:cs="宋体"/>
          <w:b/>
          <w:bCs/>
          <w:color w:val="auto"/>
          <w:kern w:val="2"/>
          <w:sz w:val="24"/>
          <w:szCs w:val="24"/>
          <w:highlight w:val="none"/>
          <w:lang w:val="hr-HR" w:eastAsia="zh-CN" w:bidi="ar-SA"/>
        </w:rPr>
        <w:t>对本次</w:t>
      </w:r>
      <w:r>
        <w:rPr>
          <w:rFonts w:hint="eastAsia" w:ascii="宋体" w:hAnsi="宋体" w:eastAsia="宋体" w:cs="宋体"/>
          <w:b/>
          <w:bCs/>
          <w:color w:val="auto"/>
          <w:kern w:val="2"/>
          <w:sz w:val="24"/>
          <w:szCs w:val="24"/>
          <w:highlight w:val="none"/>
          <w:lang w:val="en-US" w:eastAsia="zh-CN" w:bidi="ar-SA"/>
        </w:rPr>
        <w:t>招标</w:t>
      </w:r>
      <w:r>
        <w:rPr>
          <w:rFonts w:hint="eastAsia" w:ascii="宋体" w:hAnsi="宋体" w:eastAsia="宋体" w:cs="宋体"/>
          <w:b/>
          <w:bCs/>
          <w:color w:val="auto"/>
          <w:kern w:val="2"/>
          <w:sz w:val="24"/>
          <w:szCs w:val="24"/>
          <w:highlight w:val="none"/>
          <w:lang w:val="hr-HR" w:eastAsia="zh-CN" w:bidi="ar-SA"/>
        </w:rPr>
        <w:t>提出询问，请按以下方式联系</w:t>
      </w:r>
      <w:bookmarkEnd w:id="99"/>
      <w:bookmarkEnd w:id="100"/>
    </w:p>
    <w:p w14:paraId="7B213880">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1.采购人信息</w:t>
      </w:r>
    </w:p>
    <w:p w14:paraId="20D86049">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7666CBE9">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465793B6">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w:t>
      </w:r>
      <w:bookmarkStart w:id="101" w:name="_Hlk46775675"/>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bookmarkEnd w:id="101"/>
    <w:p w14:paraId="5DDC5322">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highlight w:val="none"/>
        </w:rPr>
      </w:pPr>
      <w:bookmarkStart w:id="102" w:name="_Toc35393807"/>
      <w:bookmarkStart w:id="103" w:name="_Toc35393638"/>
      <w:bookmarkStart w:id="104" w:name="_Toc28359097"/>
      <w:bookmarkStart w:id="105" w:name="_Toc28359020"/>
      <w:r>
        <w:rPr>
          <w:rFonts w:hint="eastAsia" w:ascii="宋体" w:hAnsi="宋体" w:eastAsia="宋体" w:cs="宋体"/>
          <w:color w:val="auto"/>
          <w:sz w:val="24"/>
          <w:highlight w:val="none"/>
        </w:rPr>
        <w:t>2.采购代理机构信息</w:t>
      </w:r>
      <w:bookmarkEnd w:id="102"/>
      <w:bookmarkEnd w:id="103"/>
      <w:bookmarkEnd w:id="104"/>
      <w:bookmarkEnd w:id="105"/>
    </w:p>
    <w:p w14:paraId="7C0FE05E">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24791FE6">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08A07A5E">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w:t>
      </w:r>
      <w:r>
        <w:rPr>
          <w:rFonts w:hint="eastAsia" w:ascii="宋体" w:hAnsi="宋体" w:eastAsia="宋体" w:cs="宋体"/>
          <w:color w:val="auto"/>
          <w:sz w:val="24"/>
          <w:highlight w:val="none"/>
          <w:u w:val="single"/>
        </w:rPr>
        <w:t xml:space="preserve">             </w:t>
      </w:r>
    </w:p>
    <w:p w14:paraId="3D50EAA6">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lang w:val="en-US" w:eastAsia="zh-CN"/>
        </w:rPr>
      </w:pPr>
      <w:bookmarkStart w:id="106" w:name="_Toc35393808"/>
      <w:bookmarkStart w:id="107" w:name="_Toc28359098"/>
      <w:bookmarkStart w:id="108" w:name="_Toc35393639"/>
      <w:bookmarkStart w:id="109" w:name="_Toc28359021"/>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项目联系方式</w:t>
      </w:r>
    </w:p>
    <w:p w14:paraId="7E0DF7F6">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lang w:val="en-US" w:eastAsia="zh-CN"/>
        </w:rPr>
        <w:t xml:space="preserve">           </w:t>
      </w:r>
    </w:p>
    <w:bookmarkEnd w:id="106"/>
    <w:bookmarkEnd w:id="107"/>
    <w:bookmarkEnd w:id="108"/>
    <w:bookmarkEnd w:id="109"/>
    <w:p w14:paraId="446FA8D5">
      <w:pPr>
        <w:pStyle w:val="36"/>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电话：</w:t>
      </w:r>
      <w:r>
        <w:rPr>
          <w:rFonts w:hint="eastAsia" w:ascii="宋体" w:hAnsi="宋体" w:eastAsia="宋体" w:cs="宋体"/>
          <w:color w:val="auto"/>
          <w:sz w:val="24"/>
          <w:szCs w:val="24"/>
          <w:highlight w:val="none"/>
          <w:u w:val="single"/>
          <w:lang w:val="en-US" w:eastAsia="zh-CN"/>
        </w:rPr>
        <w:t xml:space="preserve">                 </w:t>
      </w:r>
    </w:p>
    <w:p w14:paraId="3EF17BC4">
      <w:pPr>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p>
    <w:p w14:paraId="3ADF3AE0">
      <w:pPr>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p>
    <w:p w14:paraId="3B793992">
      <w:pPr>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p>
    <w:p w14:paraId="34A5BC61">
      <w:pPr>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p>
    <w:p w14:paraId="004B3597">
      <w:pPr>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sectPr>
          <w:footerReference r:id="rId8" w:type="default"/>
          <w:pgSz w:w="11906" w:h="16838"/>
          <w:pgMar w:top="1440" w:right="1800" w:bottom="1440" w:left="1800" w:header="851" w:footer="992" w:gutter="0"/>
          <w:pgBorders>
            <w:top w:val="none" w:sz="0" w:space="0"/>
            <w:left w:val="none" w:sz="0" w:space="0"/>
            <w:bottom w:val="none" w:sz="0" w:space="0"/>
            <w:right w:val="none" w:sz="0" w:space="0"/>
          </w:pgBorders>
          <w:pgNumType w:fmt="numberInDash" w:start="1"/>
          <w:cols w:space="425" w:num="1"/>
          <w:docGrid w:type="lines" w:linePitch="312" w:charSpace="0"/>
        </w:sectPr>
      </w:pPr>
    </w:p>
    <w:p w14:paraId="6A56ADB8">
      <w:pPr>
        <w:pStyle w:val="2"/>
        <w:keepNext/>
        <w:keepLines/>
        <w:pageBreakBefore w:val="0"/>
        <w:widowControl w:val="0"/>
        <w:numPr>
          <w:ilvl w:val="0"/>
          <w:numId w:val="0"/>
        </w:numPr>
        <w:kinsoku/>
        <w:wordWrap/>
        <w:overflowPunct/>
        <w:topLinePunct w:val="0"/>
        <w:autoSpaceDE/>
        <w:autoSpaceDN/>
        <w:bidi w:val="0"/>
        <w:adjustRightInd/>
        <w:snapToGrid/>
        <w:spacing w:before="220" w:after="220" w:line="36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110" w:name="_Toc26793"/>
      <w:bookmarkStart w:id="111" w:name="_Toc155185867"/>
      <w:bookmarkStart w:id="112" w:name="_Toc921"/>
      <w:r>
        <w:rPr>
          <w:rFonts w:hint="eastAsia" w:ascii="宋体" w:hAnsi="宋体" w:eastAsia="宋体" w:cs="宋体"/>
          <w:b/>
          <w:bCs/>
          <w:color w:val="auto"/>
          <w:kern w:val="44"/>
          <w:sz w:val="36"/>
          <w:szCs w:val="36"/>
          <w:highlight w:val="none"/>
          <w:lang w:val="en-US" w:eastAsia="zh-CN" w:bidi="ar-SA"/>
        </w:rPr>
        <w:t>第二章 投标人须知</w:t>
      </w:r>
      <w:bookmarkEnd w:id="110"/>
      <w:bookmarkEnd w:id="111"/>
      <w:bookmarkEnd w:id="112"/>
    </w:p>
    <w:p w14:paraId="75B79534">
      <w:pPr>
        <w:pStyle w:val="3"/>
        <w:keepNext/>
        <w:keepLines/>
        <w:pageBreakBefore w:val="0"/>
        <w:widowControl w:val="0"/>
        <w:numPr>
          <w:ilvl w:val="0"/>
          <w:numId w:val="0"/>
        </w:numPr>
        <w:kinsoku/>
        <w:wordWrap/>
        <w:overflowPunct/>
        <w:topLinePunct w:val="0"/>
        <w:autoSpaceDE/>
        <w:autoSpaceDN/>
        <w:bidi w:val="0"/>
        <w:adjustRightInd/>
        <w:snapToGrid/>
        <w:spacing w:before="80" w:after="8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113" w:name="_Toc5785"/>
      <w:bookmarkStart w:id="114" w:name="_Toc2970"/>
      <w:bookmarkStart w:id="115" w:name="_Toc155185868"/>
      <w:r>
        <w:rPr>
          <w:rFonts w:hint="eastAsia" w:eastAsia="宋体" w:asciiTheme="majorHAnsi" w:hAnsiTheme="majorHAnsi" w:cstheme="majorBidi"/>
          <w:b/>
          <w:bCs/>
          <w:color w:val="auto"/>
          <w:kern w:val="2"/>
          <w:sz w:val="28"/>
          <w:szCs w:val="28"/>
          <w:highlight w:val="none"/>
          <w:lang w:val="en-US" w:eastAsia="zh-CN" w:bidi="ar-SA"/>
        </w:rPr>
        <w:t>一、投标人须知前附表</w:t>
      </w:r>
      <w:bookmarkEnd w:id="113"/>
      <w:bookmarkEnd w:id="114"/>
      <w:bookmarkEnd w:id="115"/>
    </w:p>
    <w:p w14:paraId="7F3ACB7A">
      <w:pPr>
        <w:pStyle w:val="36"/>
        <w:keepNext w:val="0"/>
        <w:keepLines w:val="0"/>
        <w:pageBreakBefore w:val="0"/>
        <w:widowControl w:val="0"/>
        <w:kinsoku/>
        <w:overflowPunct/>
        <w:topLinePunct w:val="0"/>
        <w:autoSpaceDE/>
        <w:autoSpaceDN/>
        <w:bidi w:val="0"/>
        <w:adjustRightInd/>
        <w:snapToGrid/>
        <w:textAlignment w:val="auto"/>
        <w:rPr>
          <w:rFonts w:hint="default" w:eastAsia="宋体"/>
          <w:color w:val="auto"/>
          <w:highlight w:val="none"/>
          <w:lang w:val="en-US" w:eastAsia="zh-CN"/>
        </w:rPr>
      </w:pPr>
      <w:r>
        <w:rPr>
          <w:rFonts w:hint="eastAsia"/>
          <w:color w:val="auto"/>
          <w:sz w:val="24"/>
          <w:szCs w:val="24"/>
          <w:highlight w:val="none"/>
        </w:rPr>
        <w:t>投标人应仔细阅读本招标文件的第二章“投标人须知”，下面所列资料是对“投标人须知”的具体补充和说明</w:t>
      </w:r>
      <w:r>
        <w:rPr>
          <w:rFonts w:hint="eastAsia"/>
          <w:color w:val="auto"/>
          <w:sz w:val="24"/>
          <w:szCs w:val="24"/>
          <w:highlight w:val="none"/>
          <w:lang w:eastAsia="zh-CN"/>
        </w:rPr>
        <w:t>，</w:t>
      </w:r>
      <w:r>
        <w:rPr>
          <w:rFonts w:hint="eastAsia"/>
          <w:color w:val="auto"/>
          <w:sz w:val="24"/>
          <w:szCs w:val="24"/>
          <w:highlight w:val="none"/>
        </w:rPr>
        <w:t>如有矛盾，应以本表为准。</w:t>
      </w:r>
      <w:r>
        <w:rPr>
          <w:rFonts w:hint="eastAsia"/>
          <w:color w:val="auto"/>
          <w:sz w:val="24"/>
          <w:szCs w:val="24"/>
          <w:highlight w:val="none"/>
          <w:lang w:val="en-US" w:eastAsia="zh-CN"/>
        </w:rPr>
        <w:t>标记“</w:t>
      </w:r>
      <w:r>
        <w:rPr>
          <w:rFonts w:hint="eastAsia" w:ascii="宋体" w:hAnsi="宋体" w:eastAsia="宋体"/>
          <w:color w:val="auto"/>
          <w:sz w:val="24"/>
          <w:szCs w:val="24"/>
          <w:highlight w:val="none"/>
          <w:lang w:val="en-US" w:eastAsia="zh-CN"/>
        </w:rPr>
        <w:t>☑”的选项意为适用于本项目，标记“□”的选项意为不适用于本项目</w:t>
      </w:r>
      <w:r>
        <w:rPr>
          <w:rFonts w:hint="eastAsia" w:ascii="宋体" w:hAnsi="宋体" w:eastAsia="宋体"/>
          <w:color w:val="auto"/>
          <w:highlight w:val="none"/>
          <w:lang w:val="en-US" w:eastAsia="zh-CN"/>
        </w:rPr>
        <w:t>。</w:t>
      </w:r>
    </w:p>
    <w:tbl>
      <w:tblPr>
        <w:tblStyle w:val="29"/>
        <w:tblW w:w="9408" w:type="dxa"/>
        <w:tblInd w:w="-352"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57" w:type="dxa"/>
          <w:left w:w="108" w:type="dxa"/>
          <w:bottom w:w="57" w:type="dxa"/>
          <w:right w:w="108" w:type="dxa"/>
        </w:tblCellMar>
      </w:tblPr>
      <w:tblGrid>
        <w:gridCol w:w="970"/>
        <w:gridCol w:w="1738"/>
        <w:gridCol w:w="6700"/>
      </w:tblGrid>
      <w:tr w14:paraId="1B64B25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373" w:hRule="atLeast"/>
          <w:tblHeader/>
        </w:trPr>
        <w:tc>
          <w:tcPr>
            <w:tcW w:w="97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C4440DB">
            <w:pPr>
              <w:pStyle w:val="4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条款号</w:t>
            </w:r>
          </w:p>
        </w:tc>
        <w:tc>
          <w:tcPr>
            <w:tcW w:w="1738"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B9EABEB">
            <w:pPr>
              <w:pStyle w:val="4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条款名称</w:t>
            </w:r>
          </w:p>
        </w:tc>
        <w:tc>
          <w:tcPr>
            <w:tcW w:w="670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C7B3B70">
            <w:pPr>
              <w:pStyle w:val="4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内  容</w:t>
            </w:r>
          </w:p>
        </w:tc>
      </w:tr>
      <w:tr w14:paraId="46137A4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725" w:hRule="atLeast"/>
        </w:trPr>
        <w:tc>
          <w:tcPr>
            <w:tcW w:w="970" w:type="dxa"/>
            <w:vAlign w:val="center"/>
          </w:tcPr>
          <w:p w14:paraId="60441C76">
            <w:pPr>
              <w:pStyle w:val="4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w:t>
            </w:r>
          </w:p>
        </w:tc>
        <w:tc>
          <w:tcPr>
            <w:tcW w:w="1738" w:type="dxa"/>
            <w:shd w:val="clear" w:color="auto" w:fill="auto"/>
            <w:vAlign w:val="center"/>
          </w:tcPr>
          <w:p w14:paraId="3D9DB5F0">
            <w:pPr>
              <w:pStyle w:val="48"/>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服务包含的内容</w:t>
            </w:r>
          </w:p>
        </w:tc>
        <w:tc>
          <w:tcPr>
            <w:tcW w:w="6700" w:type="dxa"/>
            <w:shd w:val="clear" w:color="auto" w:fill="auto"/>
            <w:vAlign w:val="center"/>
          </w:tcPr>
          <w:p w14:paraId="6A9B68BA">
            <w:pPr>
              <w:pStyle w:val="4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□主要内容：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15D5290A">
            <w:pPr>
              <w:pStyle w:val="48"/>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□其他内容：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w:t>
            </w:r>
          </w:p>
        </w:tc>
      </w:tr>
      <w:tr w14:paraId="25C4682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288" w:hRule="atLeast"/>
        </w:trPr>
        <w:tc>
          <w:tcPr>
            <w:tcW w:w="970" w:type="dxa"/>
            <w:vAlign w:val="center"/>
          </w:tcPr>
          <w:p w14:paraId="3A136892">
            <w:pPr>
              <w:pStyle w:val="4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w:t>
            </w:r>
          </w:p>
        </w:tc>
        <w:tc>
          <w:tcPr>
            <w:tcW w:w="1738" w:type="dxa"/>
            <w:vAlign w:val="center"/>
          </w:tcPr>
          <w:p w14:paraId="117C18AE">
            <w:pPr>
              <w:pStyle w:val="48"/>
              <w:rPr>
                <w:rFonts w:hint="eastAsia" w:ascii="宋体" w:hAnsi="宋体" w:eastAsia="宋体" w:cs="宋体"/>
                <w:color w:val="auto"/>
                <w:sz w:val="24"/>
                <w:szCs w:val="24"/>
                <w:highlight w:val="none"/>
              </w:rPr>
            </w:pPr>
            <w:bookmarkStart w:id="116" w:name="_Hlk143529175"/>
            <w:r>
              <w:rPr>
                <w:rFonts w:hint="eastAsia" w:ascii="宋体" w:hAnsi="宋体" w:eastAsia="宋体" w:cs="宋体"/>
                <w:color w:val="auto"/>
                <w:sz w:val="24"/>
                <w:szCs w:val="24"/>
                <w:highlight w:val="none"/>
              </w:rPr>
              <w:t>现场考察</w:t>
            </w:r>
            <w:bookmarkEnd w:id="116"/>
          </w:p>
        </w:tc>
        <w:tc>
          <w:tcPr>
            <w:tcW w:w="6700" w:type="dxa"/>
            <w:vAlign w:val="center"/>
          </w:tcPr>
          <w:p w14:paraId="36549596">
            <w:pPr>
              <w:pStyle w:val="48"/>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不组织，投标人自行前往</w:t>
            </w:r>
            <w:r>
              <w:rPr>
                <w:rFonts w:hint="eastAsia" w:ascii="宋体" w:hAnsi="宋体" w:eastAsia="宋体" w:cs="宋体"/>
                <w:color w:val="auto"/>
                <w:sz w:val="24"/>
                <w:szCs w:val="24"/>
                <w:highlight w:val="none"/>
                <w:lang w:eastAsia="zh-CN"/>
              </w:rPr>
              <w:t>。</w:t>
            </w:r>
          </w:p>
          <w:p w14:paraId="70F71951">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组织</w:t>
            </w:r>
          </w:p>
          <w:p w14:paraId="0A578DA1">
            <w:pPr>
              <w:pStyle w:val="48"/>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FE8AF39">
            <w:pPr>
              <w:pStyle w:val="48"/>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1938D8F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324" w:hRule="atLeast"/>
        </w:trPr>
        <w:tc>
          <w:tcPr>
            <w:tcW w:w="970" w:type="dxa"/>
            <w:shd w:val="clear" w:color="auto" w:fill="auto"/>
            <w:vAlign w:val="center"/>
          </w:tcPr>
          <w:p w14:paraId="72B7B10E">
            <w:pPr>
              <w:pStyle w:val="48"/>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9.5</w:t>
            </w:r>
          </w:p>
        </w:tc>
        <w:tc>
          <w:tcPr>
            <w:tcW w:w="1738" w:type="dxa"/>
            <w:shd w:val="clear" w:color="auto" w:fill="auto"/>
            <w:vAlign w:val="center"/>
          </w:tcPr>
          <w:p w14:paraId="52021959">
            <w:pPr>
              <w:pStyle w:val="48"/>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答疑会</w:t>
            </w:r>
          </w:p>
        </w:tc>
        <w:tc>
          <w:tcPr>
            <w:tcW w:w="6700" w:type="dxa"/>
            <w:shd w:val="clear" w:color="auto" w:fill="auto"/>
            <w:vAlign w:val="center"/>
          </w:tcPr>
          <w:p w14:paraId="632E2EEB">
            <w:pPr>
              <w:pStyle w:val="48"/>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不组织</w:t>
            </w:r>
          </w:p>
          <w:p w14:paraId="6646290B">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组织</w:t>
            </w:r>
          </w:p>
          <w:p w14:paraId="7A836479">
            <w:pPr>
              <w:pStyle w:val="48"/>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8CC81D0">
            <w:pPr>
              <w:pStyle w:val="48"/>
              <w:ind w:firstLine="240" w:firstLineChars="1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58EAFCE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09017C90">
            <w:pPr>
              <w:pStyle w:val="48"/>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w:t>
            </w:r>
          </w:p>
        </w:tc>
        <w:tc>
          <w:tcPr>
            <w:tcW w:w="1738" w:type="dxa"/>
            <w:vAlign w:val="center"/>
          </w:tcPr>
          <w:p w14:paraId="14B3667D">
            <w:pPr>
              <w:pStyle w:val="48"/>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询问</w:t>
            </w:r>
          </w:p>
        </w:tc>
        <w:tc>
          <w:tcPr>
            <w:tcW w:w="6700" w:type="dxa"/>
            <w:vAlign w:val="center"/>
          </w:tcPr>
          <w:p w14:paraId="611CBA99">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567028D">
            <w:pPr>
              <w:pStyle w:val="4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67C3BC2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1A104107">
            <w:pPr>
              <w:pStyle w:val="4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w:t>
            </w:r>
          </w:p>
        </w:tc>
        <w:tc>
          <w:tcPr>
            <w:tcW w:w="1738" w:type="dxa"/>
            <w:vAlign w:val="center"/>
          </w:tcPr>
          <w:p w14:paraId="79A1D807">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6700" w:type="dxa"/>
            <w:vAlign w:val="center"/>
          </w:tcPr>
          <w:p w14:paraId="41DD7733">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投标截止</w:t>
            </w:r>
            <w:r>
              <w:rPr>
                <w:rFonts w:hint="eastAsia" w:ascii="宋体" w:hAnsi="宋体" w:eastAsia="宋体" w:cs="宋体"/>
                <w:color w:val="auto"/>
                <w:sz w:val="24"/>
                <w:szCs w:val="24"/>
                <w:highlight w:val="none"/>
                <w:lang w:val="en-US" w:eastAsia="zh-CN"/>
              </w:rPr>
              <w:t>时间</w:t>
            </w:r>
            <w:r>
              <w:rPr>
                <w:rFonts w:hint="eastAsia" w:ascii="宋体" w:hAnsi="宋体" w:eastAsia="宋体" w:cs="宋体"/>
                <w:color w:val="auto"/>
                <w:sz w:val="24"/>
                <w:szCs w:val="24"/>
                <w:highlight w:val="none"/>
              </w:rPr>
              <w:t>后</w:t>
            </w: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日历日。</w:t>
            </w:r>
          </w:p>
        </w:tc>
      </w:tr>
      <w:tr w14:paraId="05426BC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3DB59B05">
            <w:pPr>
              <w:pStyle w:val="4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17.1</w:t>
            </w:r>
          </w:p>
        </w:tc>
        <w:tc>
          <w:tcPr>
            <w:tcW w:w="1738" w:type="dxa"/>
            <w:vAlign w:val="center"/>
          </w:tcPr>
          <w:p w14:paraId="02D54664">
            <w:pPr>
              <w:pStyle w:val="4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投标保证金</w:t>
            </w:r>
          </w:p>
        </w:tc>
        <w:tc>
          <w:tcPr>
            <w:tcW w:w="6700" w:type="dxa"/>
            <w:vAlign w:val="center"/>
          </w:tcPr>
          <w:p w14:paraId="3C884172">
            <w:pPr>
              <w:pStyle w:val="52"/>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金额：</w:t>
            </w:r>
          </w:p>
          <w:p w14:paraId="5BD0D880">
            <w:pPr>
              <w:pStyle w:val="52"/>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免收</w:t>
            </w:r>
          </w:p>
          <w:p w14:paraId="5559D2C2">
            <w:pPr>
              <w:pStyle w:val="52"/>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预算金额</w:t>
            </w:r>
            <w:r>
              <w:rPr>
                <w:rFonts w:hint="eastAsia" w:ascii="宋体" w:hAnsi="宋体" w:eastAsia="宋体" w:cs="宋体"/>
                <w:color w:val="auto"/>
                <w:sz w:val="24"/>
                <w:szCs w:val="24"/>
                <w:highlight w:val="none"/>
              </w:rPr>
              <w:t>的   %</w:t>
            </w:r>
            <w:r>
              <w:rPr>
                <w:rFonts w:hint="eastAsia" w:ascii="宋体" w:hAnsi="宋体" w:eastAsia="宋体" w:cs="宋体"/>
                <w:color w:val="auto"/>
                <w:sz w:val="24"/>
                <w:szCs w:val="24"/>
                <w:highlight w:val="none"/>
                <w:lang w:eastAsia="zh-CN"/>
              </w:rPr>
              <w:t>。</w:t>
            </w:r>
          </w:p>
          <w:p w14:paraId="34F4AD60">
            <w:pPr>
              <w:pStyle w:val="52"/>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□定额收取：人民币       元</w:t>
            </w:r>
            <w:r>
              <w:rPr>
                <w:rFonts w:hint="eastAsia" w:ascii="宋体" w:hAnsi="宋体" w:eastAsia="宋体" w:cs="宋体"/>
                <w:color w:val="auto"/>
                <w:sz w:val="24"/>
                <w:szCs w:val="24"/>
                <w:highlight w:val="none"/>
                <w:lang w:eastAsia="zh-CN"/>
              </w:rPr>
              <w:t>。</w:t>
            </w:r>
          </w:p>
          <w:p w14:paraId="4A8F5A6C">
            <w:pPr>
              <w:pStyle w:val="52"/>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支付方式：</w:t>
            </w:r>
          </w:p>
          <w:p w14:paraId="28B7763F">
            <w:pPr>
              <w:pStyle w:val="52"/>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投标人可自主选择以支票、汇票、本票、电汇、转账、网银、保函等非现金形式缴纳或提交保证金。</w:t>
            </w:r>
          </w:p>
          <w:p w14:paraId="5D768E72">
            <w:pPr>
              <w:pStyle w:val="52"/>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收取单位：                            </w:t>
            </w:r>
          </w:p>
          <w:p w14:paraId="07866961">
            <w:pPr>
              <w:pStyle w:val="52"/>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4.收取账号：</w:t>
            </w:r>
            <w:r>
              <w:rPr>
                <w:rFonts w:hint="eastAsia" w:ascii="宋体" w:hAnsi="宋体" w:eastAsia="宋体" w:cs="宋体"/>
                <w:color w:val="auto"/>
                <w:sz w:val="24"/>
                <w:szCs w:val="24"/>
                <w:highlight w:val="none"/>
              </w:rPr>
              <w:t xml:space="preserve">              </w:t>
            </w:r>
          </w:p>
          <w:p w14:paraId="17DF33CB">
            <w:pPr>
              <w:pStyle w:val="52"/>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退还时间：              </w:t>
            </w:r>
          </w:p>
          <w:p w14:paraId="327EF0E4">
            <w:pPr>
              <w:pStyle w:val="52"/>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注意事项：</w:t>
            </w:r>
          </w:p>
          <w:p w14:paraId="61AE35B7">
            <w:pPr>
              <w:pStyle w:val="52"/>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以上各类机构出具的以担保函、保证保险承担责任的方式均须满足无条件见索即付条件。</w:t>
            </w:r>
          </w:p>
          <w:p w14:paraId="3FCC627E">
            <w:pPr>
              <w:pStyle w:val="52"/>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以担保函、保证保险形式缴纳</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保证金的，受益人和收取单位须为采购人。</w:t>
            </w:r>
          </w:p>
        </w:tc>
      </w:tr>
      <w:tr w14:paraId="4501EC8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3337" w:hRule="atLeast"/>
        </w:trPr>
        <w:tc>
          <w:tcPr>
            <w:tcW w:w="970" w:type="dxa"/>
            <w:vAlign w:val="center"/>
          </w:tcPr>
          <w:p w14:paraId="0FAEE6C9">
            <w:pPr>
              <w:pStyle w:val="4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p>
        </w:tc>
        <w:tc>
          <w:tcPr>
            <w:tcW w:w="1738" w:type="dxa"/>
            <w:vAlign w:val="center"/>
          </w:tcPr>
          <w:p w14:paraId="1A5D11C5">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实物样品</w:t>
            </w:r>
          </w:p>
        </w:tc>
        <w:tc>
          <w:tcPr>
            <w:tcW w:w="6700" w:type="dxa"/>
            <w:vAlign w:val="center"/>
          </w:tcPr>
          <w:p w14:paraId="29F70D2B">
            <w:pPr>
              <w:pStyle w:val="48"/>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投标样品递交： </w:t>
            </w:r>
          </w:p>
          <w:p w14:paraId="08448385">
            <w:pPr>
              <w:pStyle w:val="48"/>
              <w:keepNext w:val="0"/>
              <w:keepLines w:val="0"/>
              <w:pageBreakBefore w:val="0"/>
              <w:widowControl w:val="0"/>
              <w:kinsoku/>
              <w:wordWrap/>
              <w:overflowPunct/>
              <w:topLinePunct w:val="0"/>
              <w:autoSpaceDE/>
              <w:autoSpaceDN/>
              <w:bidi w:val="0"/>
              <w:adjustRightInd/>
              <w:snapToGrid/>
              <w:spacing w:line="24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□不需要 </w:t>
            </w:r>
          </w:p>
          <w:p w14:paraId="75ABDCC9">
            <w:pPr>
              <w:pStyle w:val="48"/>
              <w:keepNext w:val="0"/>
              <w:keepLines w:val="0"/>
              <w:pageBreakBefore w:val="0"/>
              <w:widowControl w:val="0"/>
              <w:kinsoku/>
              <w:wordWrap/>
              <w:overflowPunct/>
              <w:topLinePunct w:val="0"/>
              <w:autoSpaceDE/>
              <w:autoSpaceDN/>
              <w:bidi w:val="0"/>
              <w:adjustRightInd/>
              <w:snapToGrid/>
              <w:spacing w:line="24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□需要，具体要求如下： </w:t>
            </w:r>
          </w:p>
          <w:p w14:paraId="45E00831">
            <w:pPr>
              <w:pStyle w:val="48"/>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1.样品制作的标准和要求：_________； </w:t>
            </w:r>
          </w:p>
          <w:p w14:paraId="636410A9">
            <w:pPr>
              <w:pStyle w:val="48"/>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2.是否需要随样品提交相关检测报告： </w:t>
            </w:r>
          </w:p>
          <w:p w14:paraId="4042F79A">
            <w:pPr>
              <w:pStyle w:val="48"/>
              <w:keepNext w:val="0"/>
              <w:keepLines w:val="0"/>
              <w:pageBreakBefore w:val="0"/>
              <w:widowControl w:val="0"/>
              <w:kinsoku/>
              <w:wordWrap/>
              <w:overflowPunct/>
              <w:topLinePunct w:val="0"/>
              <w:autoSpaceDE/>
              <w:autoSpaceDN/>
              <w:bidi w:val="0"/>
              <w:adjustRightInd/>
              <w:snapToGrid/>
              <w:spacing w:line="240" w:lineRule="auto"/>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□不需要 </w:t>
            </w:r>
          </w:p>
          <w:p w14:paraId="69ACDCB3">
            <w:pPr>
              <w:pStyle w:val="48"/>
              <w:keepNext w:val="0"/>
              <w:keepLines w:val="0"/>
              <w:pageBreakBefore w:val="0"/>
              <w:widowControl w:val="0"/>
              <w:kinsoku/>
              <w:wordWrap/>
              <w:overflowPunct/>
              <w:topLinePunct w:val="0"/>
              <w:autoSpaceDE/>
              <w:autoSpaceDN/>
              <w:bidi w:val="0"/>
              <w:adjustRightInd/>
              <w:snapToGrid/>
              <w:spacing w:line="240" w:lineRule="auto"/>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□需要 </w:t>
            </w:r>
          </w:p>
          <w:p w14:paraId="2365C0AF">
            <w:pPr>
              <w:pStyle w:val="48"/>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3.样品递交要求：递交时间：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p w14:paraId="0C201764">
            <w:pPr>
              <w:pStyle w:val="48"/>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递交</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，逾期提供的样品将不予接受。</w:t>
            </w:r>
            <w:r>
              <w:rPr>
                <w:rFonts w:hint="eastAsia" w:ascii="宋体" w:hAnsi="宋体" w:eastAsia="宋体" w:cs="宋体"/>
                <w:color w:val="auto"/>
                <w:sz w:val="24"/>
                <w:szCs w:val="24"/>
                <w:highlight w:val="none"/>
                <w:lang w:val="en-US" w:eastAsia="zh-CN"/>
              </w:rPr>
              <w:t xml:space="preserve"> </w:t>
            </w:r>
          </w:p>
          <w:p w14:paraId="20C6A605">
            <w:pPr>
              <w:pStyle w:val="48"/>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4.未中标人样品退还：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2FA55552">
            <w:pPr>
              <w:pStyle w:val="48"/>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5.中标人样品保管、封存及退还：_________； </w:t>
            </w:r>
          </w:p>
          <w:p w14:paraId="5F60BBB0">
            <w:pPr>
              <w:pStyle w:val="48"/>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6.其他要求（如有）：_________。 </w:t>
            </w:r>
          </w:p>
        </w:tc>
      </w:tr>
      <w:tr w14:paraId="1C643F0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03DA43E2">
            <w:pPr>
              <w:pStyle w:val="4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w:t>
            </w:r>
          </w:p>
        </w:tc>
        <w:tc>
          <w:tcPr>
            <w:tcW w:w="1738" w:type="dxa"/>
            <w:vAlign w:val="center"/>
          </w:tcPr>
          <w:p w14:paraId="22504622">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演示</w:t>
            </w:r>
          </w:p>
        </w:tc>
        <w:tc>
          <w:tcPr>
            <w:tcW w:w="6700" w:type="dxa"/>
            <w:vAlign w:val="center"/>
          </w:tcPr>
          <w:p w14:paraId="7B2FDAC1">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rPr>
              <w:t>不进行</w:t>
            </w:r>
          </w:p>
          <w:p w14:paraId="7B0141AF">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进行，远程线上演示/现场演示</w:t>
            </w:r>
          </w:p>
          <w:p w14:paraId="29D1FB67">
            <w:pPr>
              <w:pStyle w:val="48"/>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1.演示时间不得超过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分钟；</w:t>
            </w:r>
          </w:p>
          <w:p w14:paraId="0D5B188D">
            <w:pPr>
              <w:pStyle w:val="48"/>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2.进行远程线上演示的，投标人应提前自行准备好演示的软硬配置环境和网络环境，做好演示的各项准备工作。因投标人自身原因无法演示或者演示效果不理想的，导致的后果由投标人自行承担；</w:t>
            </w:r>
          </w:p>
          <w:p w14:paraId="34ED7966">
            <w:pPr>
              <w:pStyle w:val="48"/>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3.进行现场演示的，演示人员不得超过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人，演示现场提供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0976428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0" w:hRule="atLeast"/>
        </w:trPr>
        <w:tc>
          <w:tcPr>
            <w:tcW w:w="970" w:type="dxa"/>
            <w:vAlign w:val="center"/>
          </w:tcPr>
          <w:p w14:paraId="4CE72DC4">
            <w:pPr>
              <w:pStyle w:val="4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w:t>
            </w:r>
          </w:p>
        </w:tc>
        <w:tc>
          <w:tcPr>
            <w:tcW w:w="1738" w:type="dxa"/>
            <w:vAlign w:val="center"/>
          </w:tcPr>
          <w:p w14:paraId="35FB661A">
            <w:pPr>
              <w:pStyle w:val="4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解密投标文件的时限</w:t>
            </w:r>
          </w:p>
        </w:tc>
        <w:tc>
          <w:tcPr>
            <w:tcW w:w="6700" w:type="dxa"/>
            <w:vAlign w:val="center"/>
          </w:tcPr>
          <w:p w14:paraId="44601FEC">
            <w:pPr>
              <w:pStyle w:val="4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不见面开标默认解密时长：</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分钟。</w:t>
            </w:r>
            <w:r>
              <w:rPr>
                <w:rFonts w:hint="eastAsia" w:ascii="宋体" w:hAnsi="宋体" w:eastAsia="宋体" w:cs="宋体"/>
                <w:color w:val="auto"/>
                <w:sz w:val="24"/>
                <w:szCs w:val="24"/>
                <w:highlight w:val="none"/>
              </w:rPr>
              <w:t xml:space="preserve"> </w:t>
            </w:r>
          </w:p>
          <w:p w14:paraId="4C7DC32D">
            <w:pPr>
              <w:pStyle w:val="4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除因交易平台发生故障导致投标文件无法按时解密外，投标文件未按时解密的，视为未按规定提交投标文件</w:t>
            </w:r>
            <w:r>
              <w:rPr>
                <w:rFonts w:hint="eastAsia" w:ascii="宋体" w:hAnsi="宋体" w:eastAsia="宋体" w:cs="宋体"/>
                <w:color w:val="auto"/>
                <w:sz w:val="24"/>
                <w:szCs w:val="24"/>
                <w:highlight w:val="none"/>
              </w:rPr>
              <w:t>。</w:t>
            </w:r>
          </w:p>
        </w:tc>
      </w:tr>
      <w:tr w14:paraId="79EC872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676" w:hRule="atLeast"/>
        </w:trPr>
        <w:tc>
          <w:tcPr>
            <w:tcW w:w="970" w:type="dxa"/>
            <w:vAlign w:val="center"/>
          </w:tcPr>
          <w:p w14:paraId="23FC94CD">
            <w:pPr>
              <w:pStyle w:val="4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29.1</w:t>
            </w:r>
          </w:p>
        </w:tc>
        <w:tc>
          <w:tcPr>
            <w:tcW w:w="1738" w:type="dxa"/>
            <w:vAlign w:val="center"/>
          </w:tcPr>
          <w:p w14:paraId="5A1E858C">
            <w:pPr>
              <w:pStyle w:val="48"/>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评标方法</w:t>
            </w:r>
          </w:p>
        </w:tc>
        <w:tc>
          <w:tcPr>
            <w:tcW w:w="6700" w:type="dxa"/>
            <w:vAlign w:val="center"/>
          </w:tcPr>
          <w:p w14:paraId="49F2488F">
            <w:pPr>
              <w:pStyle w:val="48"/>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val="en-US" w:eastAsia="zh-CN"/>
              </w:rPr>
              <w:t>综合评分法</w:t>
            </w:r>
          </w:p>
          <w:p w14:paraId="63A64BEE">
            <w:pPr>
              <w:pStyle w:val="48"/>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val="en-US" w:eastAsia="zh-CN"/>
              </w:rPr>
              <w:t>最低评标价法</w:t>
            </w:r>
          </w:p>
        </w:tc>
      </w:tr>
      <w:tr w14:paraId="5A08727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13" w:hRule="atLeast"/>
        </w:trPr>
        <w:tc>
          <w:tcPr>
            <w:tcW w:w="970" w:type="dxa"/>
            <w:vAlign w:val="center"/>
          </w:tcPr>
          <w:p w14:paraId="42D57B39">
            <w:pPr>
              <w:pStyle w:val="48"/>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p>
        </w:tc>
        <w:tc>
          <w:tcPr>
            <w:tcW w:w="1738" w:type="dxa"/>
            <w:vAlign w:val="center"/>
          </w:tcPr>
          <w:p w14:paraId="109515DE">
            <w:pPr>
              <w:pStyle w:val="48"/>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推荐中标候选人</w:t>
            </w:r>
          </w:p>
        </w:tc>
        <w:tc>
          <w:tcPr>
            <w:tcW w:w="6700" w:type="dxa"/>
            <w:vAlign w:val="center"/>
          </w:tcPr>
          <w:p w14:paraId="0DB0E73E">
            <w:pPr>
              <w:pStyle w:val="4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中标候选人数量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家</w:t>
            </w:r>
          </w:p>
        </w:tc>
      </w:tr>
      <w:tr w14:paraId="176C1C0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4EEEE9B4">
            <w:pPr>
              <w:pStyle w:val="4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w:t>
            </w:r>
          </w:p>
        </w:tc>
        <w:tc>
          <w:tcPr>
            <w:tcW w:w="1738" w:type="dxa"/>
            <w:vAlign w:val="center"/>
          </w:tcPr>
          <w:p w14:paraId="266C355B">
            <w:pPr>
              <w:pStyle w:val="4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确定中标人</w:t>
            </w:r>
          </w:p>
        </w:tc>
        <w:tc>
          <w:tcPr>
            <w:tcW w:w="6700" w:type="dxa"/>
            <w:vAlign w:val="center"/>
          </w:tcPr>
          <w:p w14:paraId="3AF868A2">
            <w:pPr>
              <w:pStyle w:val="4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采购人按评审报告中推荐的中标候选人排序确定中标人。</w:t>
            </w:r>
          </w:p>
          <w:p w14:paraId="0911185A">
            <w:pPr>
              <w:pStyle w:val="48"/>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采购人委托评标委员会直接确定中标人。</w:t>
            </w:r>
          </w:p>
        </w:tc>
      </w:tr>
      <w:tr w14:paraId="16D85FA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shd w:val="clear" w:color="auto" w:fill="auto"/>
            <w:vAlign w:val="center"/>
          </w:tcPr>
          <w:p w14:paraId="1B46F00E">
            <w:pPr>
              <w:pStyle w:val="48"/>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w:t>
            </w:r>
          </w:p>
        </w:tc>
        <w:tc>
          <w:tcPr>
            <w:tcW w:w="1738" w:type="dxa"/>
            <w:shd w:val="clear" w:color="auto" w:fill="auto"/>
            <w:vAlign w:val="center"/>
          </w:tcPr>
          <w:p w14:paraId="2789643E">
            <w:pPr>
              <w:pStyle w:val="48"/>
              <w:spacing w:line="24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履约保证金</w:t>
            </w:r>
          </w:p>
        </w:tc>
        <w:tc>
          <w:tcPr>
            <w:tcW w:w="6700" w:type="dxa"/>
            <w:shd w:val="clear" w:color="auto" w:fill="auto"/>
            <w:vAlign w:val="center"/>
          </w:tcPr>
          <w:p w14:paraId="6976A72E">
            <w:pPr>
              <w:pStyle w:val="48"/>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金额：</w:t>
            </w:r>
          </w:p>
          <w:p w14:paraId="446453BE">
            <w:pPr>
              <w:pStyle w:val="48"/>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□免收</w:t>
            </w:r>
          </w:p>
          <w:p w14:paraId="14858B73">
            <w:pPr>
              <w:pStyle w:val="48"/>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□合同价的   %</w:t>
            </w:r>
          </w:p>
          <w:p w14:paraId="2795CC0D">
            <w:pPr>
              <w:pStyle w:val="48"/>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□定额收取：人民币              元</w:t>
            </w:r>
          </w:p>
          <w:p w14:paraId="172638B8">
            <w:pPr>
              <w:pStyle w:val="48"/>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支付方式：</w:t>
            </w:r>
          </w:p>
          <w:p w14:paraId="0CEDF721">
            <w:pPr>
              <w:pStyle w:val="52"/>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投标人可自主选择以支票、汇票、本票、电汇、转账、网银、保函等非现金形式缴纳或提交保证金。</w:t>
            </w:r>
          </w:p>
          <w:p w14:paraId="782BC737">
            <w:pPr>
              <w:pStyle w:val="48"/>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3.</w:t>
            </w:r>
            <w:r>
              <w:rPr>
                <w:rFonts w:hint="eastAsia" w:ascii="宋体" w:hAnsi="宋体" w:eastAsia="宋体" w:cs="宋体"/>
                <w:color w:val="auto"/>
                <w:sz w:val="24"/>
                <w:szCs w:val="24"/>
                <w:highlight w:val="none"/>
              </w:rPr>
              <w:t xml:space="preserve">收取单位：                            </w:t>
            </w:r>
          </w:p>
          <w:p w14:paraId="221565EA">
            <w:pPr>
              <w:pStyle w:val="48"/>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4.收取账号：</w:t>
            </w:r>
            <w:r>
              <w:rPr>
                <w:rFonts w:hint="eastAsia" w:ascii="宋体" w:hAnsi="宋体" w:eastAsia="宋体" w:cs="宋体"/>
                <w:color w:val="auto"/>
                <w:sz w:val="24"/>
                <w:szCs w:val="24"/>
                <w:highlight w:val="none"/>
              </w:rPr>
              <w:t xml:space="preserve">              </w:t>
            </w:r>
          </w:p>
          <w:p w14:paraId="41B3BE7D">
            <w:pPr>
              <w:pStyle w:val="48"/>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5.</w:t>
            </w:r>
            <w:r>
              <w:rPr>
                <w:rFonts w:hint="eastAsia" w:ascii="宋体" w:hAnsi="宋体" w:eastAsia="宋体" w:cs="宋体"/>
                <w:color w:val="auto"/>
                <w:sz w:val="24"/>
                <w:szCs w:val="24"/>
                <w:highlight w:val="none"/>
              </w:rPr>
              <w:t xml:space="preserve">退还时间：              </w:t>
            </w:r>
          </w:p>
          <w:p w14:paraId="32E52EF0">
            <w:pPr>
              <w:pStyle w:val="48"/>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注意事项：</w:t>
            </w:r>
          </w:p>
          <w:p w14:paraId="1033F0D6">
            <w:pPr>
              <w:pStyle w:val="48"/>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以上各类机构出具的以担保函、保证保险承担责任的方式均须满足无条件见索即付条件。</w:t>
            </w:r>
          </w:p>
          <w:p w14:paraId="257AE723">
            <w:pPr>
              <w:pStyle w:val="48"/>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以担保函、保证保险形式缴纳履约保证金的，受益人和收取单位须为采购人。</w:t>
            </w:r>
          </w:p>
        </w:tc>
      </w:tr>
      <w:tr w14:paraId="6B1F02A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922" w:hRule="atLeast"/>
        </w:trPr>
        <w:tc>
          <w:tcPr>
            <w:tcW w:w="970" w:type="dxa"/>
            <w:vAlign w:val="center"/>
          </w:tcPr>
          <w:p w14:paraId="600814BC">
            <w:pPr>
              <w:pStyle w:val="4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34.5</w:t>
            </w:r>
          </w:p>
        </w:tc>
        <w:tc>
          <w:tcPr>
            <w:tcW w:w="1738" w:type="dxa"/>
            <w:vAlign w:val="center"/>
          </w:tcPr>
          <w:p w14:paraId="74D19386">
            <w:pPr>
              <w:pStyle w:val="48"/>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中标后分包</w:t>
            </w:r>
          </w:p>
        </w:tc>
        <w:tc>
          <w:tcPr>
            <w:tcW w:w="6700" w:type="dxa"/>
            <w:vAlign w:val="center"/>
          </w:tcPr>
          <w:p w14:paraId="4344EC45">
            <w:pPr>
              <w:pStyle w:val="48"/>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本项目的非主体、非关键性工作是否允许分包： </w:t>
            </w:r>
          </w:p>
          <w:p w14:paraId="3D901FC0">
            <w:pPr>
              <w:pStyle w:val="48"/>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□不允许 </w:t>
            </w:r>
          </w:p>
          <w:p w14:paraId="56DFA0F7">
            <w:pPr>
              <w:pStyle w:val="48"/>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□允许，具体要求： </w:t>
            </w:r>
          </w:p>
          <w:p w14:paraId="6C445FF2">
            <w:pPr>
              <w:pStyle w:val="48"/>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1.可以分包履行的具体内容：_____； </w:t>
            </w:r>
          </w:p>
          <w:p w14:paraId="71BE067E">
            <w:pPr>
              <w:pStyle w:val="48"/>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2.允许分包的金额或者比例：_____； </w:t>
            </w:r>
          </w:p>
          <w:p w14:paraId="2F04DF99">
            <w:pPr>
              <w:pStyle w:val="48"/>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3.其他要求：_____。 </w:t>
            </w:r>
          </w:p>
        </w:tc>
      </w:tr>
      <w:tr w14:paraId="19B129A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vAlign w:val="center"/>
          </w:tcPr>
          <w:p w14:paraId="5BFFADC2">
            <w:pPr>
              <w:pStyle w:val="4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35.1</w:t>
            </w:r>
          </w:p>
        </w:tc>
        <w:tc>
          <w:tcPr>
            <w:tcW w:w="1738" w:type="dxa"/>
            <w:vAlign w:val="center"/>
          </w:tcPr>
          <w:p w14:paraId="6B25F509">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质疑</w:t>
            </w:r>
          </w:p>
        </w:tc>
        <w:tc>
          <w:tcPr>
            <w:tcW w:w="6700" w:type="dxa"/>
            <w:vAlign w:val="center"/>
          </w:tcPr>
          <w:p w14:paraId="19F26822">
            <w:pPr>
              <w:pStyle w:val="56"/>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递交方式：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p w14:paraId="33CC548F">
            <w:pPr>
              <w:pStyle w:val="56"/>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接收部门：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p w14:paraId="4E9BBFA0">
            <w:pPr>
              <w:pStyle w:val="56"/>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p w14:paraId="30211831">
            <w:pPr>
              <w:pStyle w:val="56"/>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通讯地址：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tc>
      </w:tr>
      <w:tr w14:paraId="3C8ED12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380" w:hRule="atLeast"/>
        </w:trPr>
        <w:tc>
          <w:tcPr>
            <w:tcW w:w="970" w:type="dxa"/>
            <w:vAlign w:val="center"/>
          </w:tcPr>
          <w:p w14:paraId="422A3CDD">
            <w:pPr>
              <w:pStyle w:val="4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w:t>
            </w:r>
          </w:p>
        </w:tc>
        <w:tc>
          <w:tcPr>
            <w:tcW w:w="1738" w:type="dxa"/>
            <w:vAlign w:val="center"/>
          </w:tcPr>
          <w:p w14:paraId="1782DE51">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采购代理服务费</w:t>
            </w:r>
          </w:p>
        </w:tc>
        <w:tc>
          <w:tcPr>
            <w:tcW w:w="6700" w:type="dxa"/>
            <w:vAlign w:val="center"/>
          </w:tcPr>
          <w:p w14:paraId="572A09AD">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收</w:t>
            </w:r>
            <w:r>
              <w:rPr>
                <w:rFonts w:hint="eastAsia" w:ascii="宋体" w:hAnsi="宋体" w:eastAsia="宋体" w:cs="宋体"/>
                <w:color w:val="auto"/>
                <w:sz w:val="24"/>
                <w:szCs w:val="24"/>
                <w:highlight w:val="none"/>
              </w:rPr>
              <w:t>费</w:t>
            </w:r>
            <w:r>
              <w:rPr>
                <w:rFonts w:hint="eastAsia" w:ascii="宋体" w:hAnsi="宋体" w:eastAsia="宋体" w:cs="宋体"/>
                <w:color w:val="auto"/>
                <w:sz w:val="24"/>
                <w:szCs w:val="24"/>
                <w:highlight w:val="none"/>
                <w:lang w:val="en-US" w:eastAsia="zh-CN"/>
              </w:rPr>
              <w:t>对象</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 xml:space="preserve">采购人支付 </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 xml:space="preserve">中标人支付 </w:t>
            </w:r>
          </w:p>
          <w:p w14:paraId="75684927">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收费</w:t>
            </w:r>
            <w:r>
              <w:rPr>
                <w:rFonts w:hint="eastAsia" w:ascii="宋体" w:hAnsi="宋体" w:eastAsia="宋体" w:cs="宋体"/>
                <w:color w:val="auto"/>
                <w:sz w:val="24"/>
                <w:szCs w:val="24"/>
                <w:highlight w:val="none"/>
              </w:rPr>
              <w:t>标准：</w:t>
            </w:r>
            <w:r>
              <w:rPr>
                <w:rFonts w:hint="eastAsia" w:ascii="宋体" w:hAnsi="宋体" w:eastAsia="宋体" w:cs="宋体"/>
                <w:color w:val="auto"/>
                <w:sz w:val="24"/>
                <w:szCs w:val="24"/>
                <w:highlight w:val="none"/>
                <w:u w:val="single"/>
              </w:rPr>
              <w:t xml:space="preserve">             </w:t>
            </w:r>
          </w:p>
          <w:p w14:paraId="1368AF2C">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收取</w:t>
            </w: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single"/>
              </w:rPr>
              <w:t xml:space="preserve">             </w:t>
            </w:r>
          </w:p>
          <w:p w14:paraId="76384588">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收取</w:t>
            </w:r>
            <w:r>
              <w:rPr>
                <w:rFonts w:hint="eastAsia" w:ascii="宋体" w:hAnsi="宋体" w:eastAsia="宋体" w:cs="宋体"/>
                <w:color w:val="auto"/>
                <w:sz w:val="24"/>
                <w:szCs w:val="24"/>
                <w:highlight w:val="none"/>
              </w:rPr>
              <w:t>方式：</w:t>
            </w:r>
            <w:r>
              <w:rPr>
                <w:rFonts w:hint="eastAsia" w:ascii="宋体" w:hAnsi="宋体" w:eastAsia="宋体" w:cs="宋体"/>
                <w:color w:val="auto"/>
                <w:sz w:val="24"/>
                <w:szCs w:val="24"/>
                <w:highlight w:val="none"/>
                <w:u w:val="single"/>
              </w:rPr>
              <w:t xml:space="preserve">             </w:t>
            </w:r>
          </w:p>
        </w:tc>
      </w:tr>
      <w:tr w14:paraId="30DE59A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751" w:hRule="atLeast"/>
        </w:trPr>
        <w:tc>
          <w:tcPr>
            <w:tcW w:w="970" w:type="dxa"/>
            <w:vAlign w:val="center"/>
          </w:tcPr>
          <w:p w14:paraId="6F1BF374">
            <w:pPr>
              <w:pStyle w:val="4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w:t>
            </w:r>
          </w:p>
        </w:tc>
        <w:tc>
          <w:tcPr>
            <w:tcW w:w="1738" w:type="dxa"/>
            <w:vAlign w:val="center"/>
          </w:tcPr>
          <w:p w14:paraId="5D860FC6">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是否接受进口产品</w:t>
            </w:r>
          </w:p>
        </w:tc>
        <w:tc>
          <w:tcPr>
            <w:tcW w:w="6700" w:type="dxa"/>
            <w:vAlign w:val="center"/>
          </w:tcPr>
          <w:p w14:paraId="438B47DA">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不接受</w:t>
            </w:r>
          </w:p>
          <w:p w14:paraId="1481386A">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val="zh-CN"/>
              </w:rPr>
              <w:t>接受</w:t>
            </w:r>
          </w:p>
        </w:tc>
      </w:tr>
      <w:tr w14:paraId="2539FC1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924" w:hRule="atLeast"/>
        </w:trPr>
        <w:tc>
          <w:tcPr>
            <w:tcW w:w="970" w:type="dxa"/>
            <w:vAlign w:val="center"/>
          </w:tcPr>
          <w:p w14:paraId="06648806">
            <w:pPr>
              <w:pStyle w:val="4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2</w:t>
            </w:r>
          </w:p>
        </w:tc>
        <w:tc>
          <w:tcPr>
            <w:tcW w:w="1738" w:type="dxa"/>
            <w:vAlign w:val="center"/>
          </w:tcPr>
          <w:p w14:paraId="34AA4482">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支持中小企业政策</w:t>
            </w:r>
            <w:r>
              <w:rPr>
                <w:rStyle w:val="32"/>
                <w:rFonts w:hint="eastAsia" w:ascii="宋体" w:hAnsi="宋体" w:eastAsia="宋体" w:cs="宋体"/>
                <w:b w:val="0"/>
                <w:color w:val="auto"/>
                <w:sz w:val="24"/>
                <w:szCs w:val="24"/>
                <w:highlight w:val="none"/>
                <w:lang w:val="en-US" w:eastAsia="zh-CN"/>
              </w:rPr>
              <w:t>（非专门面向中小企业采购项目适用）</w:t>
            </w:r>
          </w:p>
        </w:tc>
        <w:tc>
          <w:tcPr>
            <w:tcW w:w="6700" w:type="dxa"/>
            <w:vAlign w:val="center"/>
          </w:tcPr>
          <w:p w14:paraId="736B9D94">
            <w:pPr>
              <w:pStyle w:val="69"/>
              <w:widowControl w:val="0"/>
              <w:spacing w:before="0" w:beforeAutospacing="0" w:after="0" w:afterAutospacing="0" w:line="240" w:lineRule="auto"/>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小型和微型企业价格扣除：</w:t>
            </w:r>
            <w:r>
              <w:rPr>
                <w:rFonts w:hint="eastAsia" w:ascii="宋体"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w:t>
            </w:r>
          </w:p>
          <w:p w14:paraId="3A14D5AD">
            <w:pPr>
              <w:pStyle w:val="69"/>
              <w:widowControl w:val="0"/>
              <w:spacing w:before="0" w:beforeAutospacing="0" w:after="0" w:afterAutospacing="0" w:line="240" w:lineRule="auto"/>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监狱企业价格扣除：</w:t>
            </w:r>
            <w:r>
              <w:rPr>
                <w:rFonts w:hint="eastAsia" w:ascii="宋体" w:hAnsi="宋体" w:eastAsia="宋体" w:cs="宋体"/>
                <w:b w:val="0"/>
                <w:color w:val="auto"/>
                <w:sz w:val="24"/>
                <w:szCs w:val="24"/>
                <w:highlight w:val="none"/>
                <w:u w:val="none"/>
              </w:rPr>
              <w:t>同小型和微型企业</w:t>
            </w:r>
            <w:r>
              <w:rPr>
                <w:rFonts w:hint="eastAsia" w:ascii="宋体" w:hAnsi="宋体" w:eastAsia="宋体" w:cs="宋体"/>
                <w:b w:val="0"/>
                <w:color w:val="auto"/>
                <w:sz w:val="24"/>
                <w:szCs w:val="24"/>
                <w:highlight w:val="none"/>
              </w:rPr>
              <w:t>。</w:t>
            </w:r>
          </w:p>
          <w:p w14:paraId="5CF7AA8F">
            <w:pPr>
              <w:pStyle w:val="69"/>
              <w:widowControl w:val="0"/>
              <w:spacing w:before="0" w:beforeAutospacing="0" w:after="0" w:afterAutospacing="0" w:line="240" w:lineRule="auto"/>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3</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残疾人福利性单位价格扣除：</w:t>
            </w:r>
            <w:r>
              <w:rPr>
                <w:rFonts w:hint="eastAsia" w:ascii="宋体" w:hAnsi="宋体" w:eastAsia="宋体" w:cs="宋体"/>
                <w:b w:val="0"/>
                <w:color w:val="auto"/>
                <w:sz w:val="24"/>
                <w:szCs w:val="24"/>
                <w:highlight w:val="none"/>
                <w:u w:val="none"/>
              </w:rPr>
              <w:t>同小型和微型企业</w:t>
            </w:r>
            <w:r>
              <w:rPr>
                <w:rFonts w:hint="eastAsia" w:ascii="宋体" w:hAnsi="宋体" w:eastAsia="宋体" w:cs="宋体"/>
                <w:b w:val="0"/>
                <w:color w:val="auto"/>
                <w:sz w:val="24"/>
                <w:szCs w:val="24"/>
                <w:highlight w:val="none"/>
              </w:rPr>
              <w:t>。</w:t>
            </w:r>
          </w:p>
          <w:p w14:paraId="529022C4">
            <w:pPr>
              <w:pStyle w:val="69"/>
              <w:widowControl w:val="0"/>
              <w:spacing w:before="0" w:beforeAutospacing="0" w:after="0" w:afterAutospacing="0" w:line="240" w:lineRule="auto"/>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4</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符合条件的联合体价格扣除：</w:t>
            </w:r>
            <w:r>
              <w:rPr>
                <w:rFonts w:hint="eastAsia" w:ascii="宋体"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w:t>
            </w:r>
          </w:p>
          <w:p w14:paraId="1B996B16">
            <w:pPr>
              <w:pStyle w:val="69"/>
              <w:widowControl w:val="0"/>
              <w:spacing w:before="0" w:beforeAutospacing="0" w:after="0" w:afterAutospacing="0" w:line="240" w:lineRule="auto"/>
              <w:jc w:val="both"/>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color w:val="auto"/>
                <w:sz w:val="24"/>
                <w:szCs w:val="24"/>
                <w:highlight w:val="none"/>
              </w:rPr>
              <w:t>5</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符合条件的向小微企业分包的大中型企业价格扣除：</w:t>
            </w:r>
            <w:r>
              <w:rPr>
                <w:rFonts w:hint="eastAsia" w:ascii="宋体"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w:t>
            </w:r>
            <w:r>
              <w:rPr>
                <w:rFonts w:hint="eastAsia" w:ascii="宋体" w:hAnsi="宋体" w:eastAsia="宋体" w:cs="宋体"/>
                <w:b w:val="0"/>
                <w:i w:val="0"/>
                <w:iCs/>
                <w:color w:val="auto"/>
                <w:sz w:val="24"/>
                <w:szCs w:val="24"/>
                <w:highlight w:val="none"/>
              </w:rPr>
              <w:t>（允许大中型企业向小微企业分包的项目适用）</w:t>
            </w:r>
          </w:p>
        </w:tc>
      </w:tr>
      <w:tr w14:paraId="707AAB8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478" w:hRule="atLeast"/>
        </w:trPr>
        <w:tc>
          <w:tcPr>
            <w:tcW w:w="970" w:type="dxa"/>
            <w:vAlign w:val="center"/>
          </w:tcPr>
          <w:p w14:paraId="3AAFC5B3">
            <w:pPr>
              <w:pStyle w:val="48"/>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42.5</w:t>
            </w:r>
          </w:p>
        </w:tc>
        <w:tc>
          <w:tcPr>
            <w:tcW w:w="1738" w:type="dxa"/>
            <w:vAlign w:val="center"/>
          </w:tcPr>
          <w:p w14:paraId="59931474">
            <w:pPr>
              <w:pStyle w:val="4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标的所属行业</w:t>
            </w:r>
          </w:p>
          <w:p w14:paraId="27995733">
            <w:pPr>
              <w:pStyle w:val="48"/>
              <w:rPr>
                <w:rFonts w:hint="eastAsia" w:ascii="宋体" w:hAnsi="宋体" w:eastAsia="宋体" w:cs="宋体"/>
                <w:color w:val="auto"/>
                <w:sz w:val="24"/>
                <w:szCs w:val="24"/>
                <w:highlight w:val="none"/>
                <w:lang w:val="en-US" w:eastAsia="zh-CN"/>
              </w:rPr>
            </w:pPr>
            <w:r>
              <w:rPr>
                <w:rStyle w:val="32"/>
                <w:rFonts w:hint="eastAsia" w:ascii="宋体" w:hAnsi="宋体" w:eastAsia="宋体" w:cs="宋体"/>
                <w:b w:val="0"/>
                <w:color w:val="auto"/>
                <w:sz w:val="24"/>
                <w:szCs w:val="24"/>
                <w:highlight w:val="none"/>
                <w:lang w:val="en-US" w:eastAsia="zh-CN"/>
              </w:rPr>
              <w:t>参照后附</w:t>
            </w:r>
            <w:r>
              <w:rPr>
                <w:rStyle w:val="32"/>
                <w:rFonts w:hint="eastAsia" w:ascii="宋体" w:hAnsi="宋体" w:eastAsia="宋体" w:cs="宋体"/>
                <w:b w:val="0"/>
                <w:color w:val="auto"/>
                <w:sz w:val="24"/>
                <w:szCs w:val="24"/>
                <w:highlight w:val="none"/>
                <w:lang w:eastAsia="zh-CN"/>
              </w:rPr>
              <w:t>《</w:t>
            </w:r>
            <w:r>
              <w:rPr>
                <w:rStyle w:val="32"/>
                <w:rFonts w:hint="eastAsia" w:ascii="宋体" w:hAnsi="宋体" w:eastAsia="宋体" w:cs="宋体"/>
                <w:b w:val="0"/>
                <w:color w:val="auto"/>
                <w:sz w:val="24"/>
                <w:szCs w:val="24"/>
                <w:highlight w:val="none"/>
              </w:rPr>
              <w:t>工信部联企业〔2011〕300号</w:t>
            </w:r>
            <w:r>
              <w:rPr>
                <w:rStyle w:val="32"/>
                <w:rFonts w:hint="eastAsia" w:ascii="宋体" w:hAnsi="宋体" w:eastAsia="宋体" w:cs="宋体"/>
                <w:b w:val="0"/>
                <w:color w:val="auto"/>
                <w:sz w:val="24"/>
                <w:szCs w:val="24"/>
                <w:highlight w:val="none"/>
                <w:lang w:eastAsia="zh-CN"/>
              </w:rPr>
              <w:t>》</w:t>
            </w:r>
          </w:p>
        </w:tc>
        <w:tc>
          <w:tcPr>
            <w:tcW w:w="6700" w:type="dxa"/>
            <w:vAlign w:val="center"/>
          </w:tcPr>
          <w:p w14:paraId="6804F69E">
            <w:pPr>
              <w:keepNext w:val="0"/>
              <w:keepLines w:val="0"/>
              <w:widowControl/>
              <w:suppressLineNumbers w:val="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本项目采购标的对应的中小企业划分标准所属行业： </w:t>
            </w:r>
          </w:p>
          <w:tbl>
            <w:tblPr>
              <w:tblStyle w:val="30"/>
              <w:tblW w:w="61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7"/>
              <w:gridCol w:w="1824"/>
              <w:gridCol w:w="3245"/>
            </w:tblGrid>
            <w:tr w14:paraId="1CAAD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7059451F">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lang w:val="en-US" w:eastAsia="zh-CN" w:bidi="ar"/>
                    </w:rPr>
                    <w:t>包号</w:t>
                  </w:r>
                </w:p>
              </w:tc>
              <w:tc>
                <w:tcPr>
                  <w:tcW w:w="1824" w:type="dxa"/>
                  <w:vAlign w:val="center"/>
                </w:tcPr>
                <w:p w14:paraId="334359A5">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lang w:val="en-US" w:eastAsia="zh-CN" w:bidi="ar"/>
                    </w:rPr>
                    <w:t>标的名称</w:t>
                  </w:r>
                </w:p>
              </w:tc>
              <w:tc>
                <w:tcPr>
                  <w:tcW w:w="3245" w:type="dxa"/>
                  <w:vAlign w:val="center"/>
                </w:tcPr>
                <w:p w14:paraId="6E9115BA">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lang w:val="en-US" w:eastAsia="zh-CN" w:bidi="ar"/>
                    </w:rPr>
                    <w:t>中小企业划分标准所属行业</w:t>
                  </w:r>
                </w:p>
              </w:tc>
            </w:tr>
            <w:tr w14:paraId="585F9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4BD03589">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vertAlign w:val="baseline"/>
                      <w:lang w:val="en-US" w:eastAsia="zh-CN" w:bidi="ar"/>
                    </w:rPr>
                    <w:t>第1包</w:t>
                  </w:r>
                </w:p>
              </w:tc>
              <w:tc>
                <w:tcPr>
                  <w:tcW w:w="1824" w:type="dxa"/>
                  <w:vAlign w:val="center"/>
                </w:tcPr>
                <w:p w14:paraId="402B250B">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p>
              </w:tc>
              <w:tc>
                <w:tcPr>
                  <w:tcW w:w="3245" w:type="dxa"/>
                  <w:vAlign w:val="center"/>
                </w:tcPr>
                <w:p w14:paraId="6A9C8731">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p>
              </w:tc>
            </w:tr>
            <w:tr w14:paraId="12394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0F8AAE75">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vertAlign w:val="baseline"/>
                      <w:lang w:val="en-US" w:eastAsia="zh-CN" w:bidi="ar"/>
                    </w:rPr>
                    <w:t>第2包</w:t>
                  </w:r>
                </w:p>
              </w:tc>
              <w:tc>
                <w:tcPr>
                  <w:tcW w:w="1824" w:type="dxa"/>
                  <w:vAlign w:val="center"/>
                </w:tcPr>
                <w:p w14:paraId="1C0A0773">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p>
              </w:tc>
              <w:tc>
                <w:tcPr>
                  <w:tcW w:w="3245" w:type="dxa"/>
                  <w:vAlign w:val="center"/>
                </w:tcPr>
                <w:p w14:paraId="22AB6EE5">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p>
              </w:tc>
            </w:tr>
            <w:tr w14:paraId="2218C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32031D65">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vertAlign w:val="baseline"/>
                      <w:lang w:val="en-US" w:eastAsia="zh-CN" w:bidi="ar"/>
                    </w:rPr>
                    <w:t>…</w:t>
                  </w:r>
                </w:p>
              </w:tc>
              <w:tc>
                <w:tcPr>
                  <w:tcW w:w="1824" w:type="dxa"/>
                  <w:vAlign w:val="center"/>
                </w:tcPr>
                <w:p w14:paraId="3B09B61D">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p>
              </w:tc>
              <w:tc>
                <w:tcPr>
                  <w:tcW w:w="3245" w:type="dxa"/>
                  <w:vAlign w:val="center"/>
                </w:tcPr>
                <w:p w14:paraId="29DDAD95">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p>
              </w:tc>
            </w:tr>
          </w:tbl>
          <w:p w14:paraId="56AC7DD6">
            <w:pPr>
              <w:pStyle w:val="48"/>
              <w:rPr>
                <w:rFonts w:hint="eastAsia" w:ascii="宋体" w:hAnsi="宋体" w:eastAsia="宋体" w:cs="宋体"/>
                <w:color w:val="auto"/>
                <w:sz w:val="24"/>
                <w:szCs w:val="24"/>
                <w:highlight w:val="none"/>
              </w:rPr>
            </w:pPr>
          </w:p>
        </w:tc>
      </w:tr>
      <w:tr w14:paraId="4C8E5A4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172" w:hRule="atLeast"/>
        </w:trPr>
        <w:tc>
          <w:tcPr>
            <w:tcW w:w="970" w:type="dxa"/>
            <w:shd w:val="clear" w:color="auto" w:fill="auto"/>
            <w:vAlign w:val="center"/>
          </w:tcPr>
          <w:p w14:paraId="213F4586">
            <w:pPr>
              <w:pStyle w:val="48"/>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43.5</w:t>
            </w:r>
          </w:p>
        </w:tc>
        <w:tc>
          <w:tcPr>
            <w:tcW w:w="1738" w:type="dxa"/>
            <w:shd w:val="clear" w:color="auto" w:fill="auto"/>
            <w:vAlign w:val="center"/>
          </w:tcPr>
          <w:p w14:paraId="7C0C8321">
            <w:pPr>
              <w:pStyle w:val="48"/>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优先采购创新节能环保产品</w:t>
            </w:r>
          </w:p>
        </w:tc>
        <w:tc>
          <w:tcPr>
            <w:tcW w:w="6700" w:type="dxa"/>
            <w:shd w:val="clear" w:color="auto" w:fill="auto"/>
            <w:vAlign w:val="center"/>
          </w:tcPr>
          <w:p w14:paraId="1D89079E">
            <w:pPr>
              <w:pStyle w:val="48"/>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所</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产品纳入创新产品应用示范推荐目录内企业、所</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产品获得节能产品或环境标志产品认证证书的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lang w:val="en-US" w:eastAsia="zh-CN"/>
              </w:rPr>
              <w:t>评审优惠</w:t>
            </w:r>
            <w:r>
              <w:rPr>
                <w:rFonts w:hint="eastAsia" w:ascii="宋体" w:hAnsi="宋体" w:eastAsia="宋体" w:cs="宋体"/>
                <w:color w:val="auto"/>
                <w:sz w:val="24"/>
                <w:szCs w:val="24"/>
                <w:highlight w:val="none"/>
              </w:rPr>
              <w:t>。</w:t>
            </w:r>
          </w:p>
        </w:tc>
      </w:tr>
      <w:tr w14:paraId="140D505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3774" w:hRule="atLeast"/>
        </w:trPr>
        <w:tc>
          <w:tcPr>
            <w:tcW w:w="970" w:type="dxa"/>
            <w:tcBorders>
              <w:right w:val="single" w:color="auto" w:sz="4" w:space="0"/>
            </w:tcBorders>
            <w:vAlign w:val="center"/>
          </w:tcPr>
          <w:p w14:paraId="08D3F63A">
            <w:pPr>
              <w:pStyle w:val="4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w:t>
            </w:r>
          </w:p>
        </w:tc>
        <w:tc>
          <w:tcPr>
            <w:tcW w:w="1738" w:type="dxa"/>
            <w:tcBorders>
              <w:left w:val="single" w:color="auto" w:sz="4" w:space="0"/>
              <w:right w:val="single" w:color="auto" w:sz="4" w:space="0"/>
            </w:tcBorders>
            <w:vAlign w:val="center"/>
          </w:tcPr>
          <w:p w14:paraId="651753DB">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w:t>
            </w:r>
          </w:p>
          <w:p w14:paraId="5E3751DF">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合同融资政策</w:t>
            </w:r>
          </w:p>
        </w:tc>
        <w:tc>
          <w:tcPr>
            <w:tcW w:w="6700" w:type="dxa"/>
            <w:tcBorders>
              <w:left w:val="single" w:color="auto" w:sz="4" w:space="0"/>
            </w:tcBorders>
            <w:vAlign w:val="center"/>
          </w:tcPr>
          <w:p w14:paraId="4377B3EE">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有融资需求的中标人在获得政府采购中标通知书后，即可向开展“政采贷”业务的金融机构提出申请，金融机构依据政府采购中标通知书和政府采购合同，为中小微企业提供融资服务。</w:t>
            </w:r>
          </w:p>
          <w:p w14:paraId="247FAD72">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渠道和方式：</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根据项目情况自行补充</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w:t>
            </w:r>
          </w:p>
          <w:p w14:paraId="5D7FBF5F">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“政采贷”融资指引：在取得政府采购中标通知书后，可访问“</w:t>
            </w:r>
            <w:r>
              <w:rPr>
                <w:rFonts w:hint="eastAsia" w:ascii="宋体" w:hAnsi="宋体" w:eastAsia="宋体" w:cs="宋体"/>
                <w:color w:val="auto"/>
                <w:sz w:val="24"/>
                <w:szCs w:val="24"/>
                <w:highlight w:val="none"/>
                <w:lang w:val="en-US" w:eastAsia="zh-CN"/>
              </w:rPr>
              <w:t>兵团</w:t>
            </w:r>
            <w:r>
              <w:rPr>
                <w:rFonts w:hint="eastAsia" w:ascii="宋体" w:hAnsi="宋体" w:eastAsia="宋体" w:cs="宋体"/>
                <w:color w:val="auto"/>
                <w:sz w:val="24"/>
                <w:szCs w:val="24"/>
                <w:highlight w:val="none"/>
                <w:lang w:eastAsia="zh-CN"/>
              </w:rPr>
              <w:t>政采贷</w:t>
            </w:r>
            <w:r>
              <w:rPr>
                <w:rFonts w:hint="eastAsia" w:ascii="宋体" w:hAnsi="宋体" w:eastAsia="宋体" w:cs="宋体"/>
                <w:color w:val="auto"/>
                <w:sz w:val="24"/>
                <w:szCs w:val="24"/>
                <w:highlight w:val="none"/>
                <w:lang w:val="en-US" w:eastAsia="zh-CN"/>
              </w:rPr>
              <w:t>融资服务平台”</w:t>
            </w:r>
            <w:r>
              <w:rPr>
                <w:rFonts w:hint="eastAsia" w:ascii="宋体" w:hAnsi="宋体" w:eastAsia="宋体" w:cs="宋体"/>
                <w:color w:val="auto"/>
                <w:sz w:val="24"/>
                <w:szCs w:val="24"/>
                <w:highlight w:val="none"/>
                <w:lang w:eastAsia="zh-CN"/>
              </w:rPr>
              <w:t>，查看和联系第三方平台或者金融机构，商洽融资事项，确定融资意向。中标人签署政府采购中标合同后，登录“</w:t>
            </w:r>
            <w:r>
              <w:rPr>
                <w:rFonts w:hint="eastAsia" w:ascii="宋体" w:hAnsi="宋体" w:eastAsia="宋体" w:cs="宋体"/>
                <w:color w:val="auto"/>
                <w:sz w:val="24"/>
                <w:szCs w:val="24"/>
                <w:highlight w:val="none"/>
                <w:lang w:val="en-US" w:eastAsia="zh-CN"/>
              </w:rPr>
              <w:t>兵团</w:t>
            </w:r>
            <w:r>
              <w:rPr>
                <w:rFonts w:hint="eastAsia" w:ascii="宋体" w:hAnsi="宋体" w:eastAsia="宋体" w:cs="宋体"/>
                <w:color w:val="auto"/>
                <w:sz w:val="24"/>
                <w:szCs w:val="24"/>
                <w:highlight w:val="none"/>
                <w:lang w:eastAsia="zh-CN"/>
              </w:rPr>
              <w:t>政采贷</w:t>
            </w:r>
            <w:r>
              <w:rPr>
                <w:rFonts w:hint="eastAsia" w:ascii="宋体" w:hAnsi="宋体" w:eastAsia="宋体" w:cs="宋体"/>
                <w:color w:val="auto"/>
                <w:sz w:val="24"/>
                <w:szCs w:val="24"/>
                <w:highlight w:val="none"/>
                <w:lang w:val="en-US" w:eastAsia="zh-CN"/>
              </w:rPr>
              <w:t>融资服务平台”</w:t>
            </w:r>
            <w:r>
              <w:rPr>
                <w:rFonts w:hint="eastAsia" w:ascii="宋体" w:hAnsi="宋体" w:eastAsia="宋体" w:cs="宋体"/>
                <w:color w:val="auto"/>
                <w:sz w:val="24"/>
                <w:szCs w:val="24"/>
                <w:highlight w:val="none"/>
                <w:lang w:eastAsia="zh-CN"/>
              </w:rPr>
              <w:t>，选择意向产品进行申请，并填写相关信息，“</w:t>
            </w:r>
            <w:r>
              <w:rPr>
                <w:rFonts w:hint="eastAsia" w:ascii="宋体" w:hAnsi="宋体" w:eastAsia="宋体" w:cs="宋体"/>
                <w:color w:val="auto"/>
                <w:sz w:val="24"/>
                <w:szCs w:val="24"/>
                <w:highlight w:val="none"/>
                <w:lang w:val="en-US" w:eastAsia="zh-CN"/>
              </w:rPr>
              <w:t>兵团</w:t>
            </w:r>
            <w:r>
              <w:rPr>
                <w:rFonts w:hint="eastAsia" w:ascii="宋体" w:hAnsi="宋体" w:eastAsia="宋体" w:cs="宋体"/>
                <w:color w:val="auto"/>
                <w:sz w:val="24"/>
                <w:szCs w:val="24"/>
                <w:highlight w:val="none"/>
                <w:lang w:eastAsia="zh-CN"/>
              </w:rPr>
              <w:t>政采贷</w:t>
            </w:r>
            <w:r>
              <w:rPr>
                <w:rFonts w:hint="eastAsia" w:ascii="宋体" w:hAnsi="宋体" w:eastAsia="宋体" w:cs="宋体"/>
                <w:color w:val="auto"/>
                <w:sz w:val="24"/>
                <w:szCs w:val="24"/>
                <w:highlight w:val="none"/>
                <w:lang w:val="en-US" w:eastAsia="zh-CN"/>
              </w:rPr>
              <w:t>融资服务平台”</w:t>
            </w:r>
            <w:r>
              <w:rPr>
                <w:rFonts w:hint="eastAsia" w:ascii="宋体" w:hAnsi="宋体" w:eastAsia="宋体" w:cs="宋体"/>
                <w:color w:val="auto"/>
                <w:sz w:val="24"/>
                <w:szCs w:val="24"/>
                <w:highlight w:val="none"/>
                <w:lang w:eastAsia="zh-CN"/>
              </w:rPr>
              <w:t>将中标人融资申请信息推送第三方平台、意向金融机构。</w:t>
            </w:r>
          </w:p>
        </w:tc>
      </w:tr>
      <w:tr w14:paraId="48C9FD1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346" w:hRule="atLeast"/>
        </w:trPr>
        <w:tc>
          <w:tcPr>
            <w:tcW w:w="970" w:type="dxa"/>
            <w:tcBorders>
              <w:right w:val="single" w:color="auto" w:sz="4" w:space="0"/>
            </w:tcBorders>
            <w:vAlign w:val="center"/>
          </w:tcPr>
          <w:p w14:paraId="59449E7E">
            <w:pPr>
              <w:pStyle w:val="4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w:t>
            </w:r>
          </w:p>
        </w:tc>
        <w:tc>
          <w:tcPr>
            <w:tcW w:w="1738" w:type="dxa"/>
            <w:tcBorders>
              <w:right w:val="single" w:color="auto" w:sz="4" w:space="0"/>
            </w:tcBorders>
            <w:vAlign w:val="center"/>
          </w:tcPr>
          <w:p w14:paraId="7068A1E1">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需要补充的其他内容</w:t>
            </w:r>
          </w:p>
        </w:tc>
        <w:tc>
          <w:tcPr>
            <w:tcW w:w="6700" w:type="dxa"/>
            <w:tcBorders>
              <w:left w:val="single" w:color="auto" w:sz="4" w:space="0"/>
            </w:tcBorders>
            <w:vAlign w:val="center"/>
          </w:tcPr>
          <w:p w14:paraId="48509A24">
            <w:pPr>
              <w:pStyle w:val="48"/>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根据项目情况自行补充</w:t>
            </w:r>
            <w:r>
              <w:rPr>
                <w:rFonts w:hint="eastAsia" w:ascii="宋体" w:hAnsi="宋体" w:eastAsia="宋体" w:cs="宋体"/>
                <w:color w:val="auto"/>
                <w:sz w:val="24"/>
                <w:szCs w:val="24"/>
                <w:highlight w:val="none"/>
                <w:lang w:eastAsia="zh-CN"/>
              </w:rPr>
              <w:t>】</w:t>
            </w:r>
          </w:p>
        </w:tc>
      </w:tr>
      <w:tr w14:paraId="0C22694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408" w:type="dxa"/>
            <w:gridSpan w:val="3"/>
            <w:vAlign w:val="center"/>
          </w:tcPr>
          <w:p w14:paraId="16CF3F9F">
            <w:pPr>
              <w:pStyle w:val="4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w:t>
            </w:r>
          </w:p>
          <w:p w14:paraId="1ECD6A03">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除本招标文件另有规定外，招标文件中出现的类似于“近三年”或“前三年”、“近五年”或“前五年”均指递交投标文件</w:t>
            </w:r>
            <w:r>
              <w:rPr>
                <w:rFonts w:hint="eastAsia" w:ascii="宋体" w:hAnsi="宋体" w:eastAsia="宋体" w:cs="宋体"/>
                <w:color w:val="auto"/>
                <w:sz w:val="24"/>
                <w:szCs w:val="24"/>
                <w:highlight w:val="none"/>
                <w:lang w:val="en-US" w:eastAsia="zh-CN"/>
              </w:rPr>
              <w:t>截止</w:t>
            </w: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val="en-US" w:eastAsia="zh-CN"/>
              </w:rPr>
              <w:t>之</w:t>
            </w:r>
            <w:r>
              <w:rPr>
                <w:rFonts w:hint="eastAsia" w:ascii="宋体" w:hAnsi="宋体" w:eastAsia="宋体" w:cs="宋体"/>
                <w:color w:val="auto"/>
                <w:sz w:val="24"/>
                <w:szCs w:val="24"/>
                <w:highlight w:val="none"/>
              </w:rPr>
              <w:t>前三年或前五年，以此类推。如：递交投标文件时间为  年  月  日，则“近三年”是指  年  月  日至  年  月  日。</w:t>
            </w:r>
          </w:p>
          <w:p w14:paraId="6F66C892">
            <w:pPr>
              <w:pStyle w:val="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本招标文件所称的“以上”、“以下”、“内”、“以内”，包括本数；所称的“不足”，不包括本数。</w:t>
            </w:r>
          </w:p>
        </w:tc>
      </w:tr>
    </w:tbl>
    <w:p w14:paraId="0E38519F">
      <w:pPr>
        <w:rPr>
          <w:color w:val="auto"/>
          <w:highlight w:val="none"/>
        </w:rPr>
      </w:pPr>
    </w:p>
    <w:p w14:paraId="410914FC">
      <w:pPr>
        <w:pStyle w:val="3"/>
        <w:keepNext/>
        <w:keepLines/>
        <w:pageBreakBefore w:val="0"/>
        <w:widowControl w:val="0"/>
        <w:numPr>
          <w:ilvl w:val="0"/>
          <w:numId w:val="0"/>
        </w:numPr>
        <w:kinsoku/>
        <w:wordWrap/>
        <w:overflowPunct/>
        <w:topLinePunct w:val="0"/>
        <w:autoSpaceDE/>
        <w:autoSpaceDN/>
        <w:bidi w:val="0"/>
        <w:adjustRightInd/>
        <w:snapToGrid/>
        <w:spacing w:before="80" w:after="8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117" w:name="_Toc155185869"/>
      <w:bookmarkStart w:id="118" w:name="_Toc9440"/>
      <w:bookmarkStart w:id="119" w:name="_Toc6398"/>
      <w:r>
        <w:rPr>
          <w:rFonts w:hint="eastAsia" w:eastAsia="宋体" w:asciiTheme="majorHAnsi" w:hAnsiTheme="majorHAnsi" w:cstheme="majorBidi"/>
          <w:b/>
          <w:bCs/>
          <w:color w:val="auto"/>
          <w:kern w:val="2"/>
          <w:sz w:val="28"/>
          <w:szCs w:val="28"/>
          <w:highlight w:val="none"/>
          <w:lang w:val="en-US" w:eastAsia="zh-CN" w:bidi="ar-SA"/>
        </w:rPr>
        <w:t>二、投标人须知</w:t>
      </w:r>
      <w:bookmarkEnd w:id="117"/>
      <w:bookmarkEnd w:id="118"/>
      <w:bookmarkEnd w:id="119"/>
    </w:p>
    <w:p w14:paraId="604D77A9">
      <w:pPr>
        <w:pStyle w:val="4"/>
        <w:keepNext w:val="0"/>
        <w:keepLines w:val="0"/>
        <w:pageBreakBefore w:val="0"/>
        <w:widowControl w:val="0"/>
        <w:numPr>
          <w:ilvl w:val="0"/>
          <w:numId w:val="0"/>
        </w:numPr>
        <w:kinsoku/>
        <w:wordWrap/>
        <w:overflowPunct/>
        <w:topLinePunct w:val="0"/>
        <w:autoSpaceDE/>
        <w:autoSpaceDN/>
        <w:bidi w:val="0"/>
        <w:adjustRightInd/>
        <w:snapToGrid/>
        <w:spacing w:before="120" w:after="12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20" w:name="_Toc155185870"/>
      <w:bookmarkStart w:id="121" w:name="_Toc163492822"/>
      <w:bookmarkStart w:id="122" w:name="_Toc22384"/>
      <w:r>
        <w:rPr>
          <w:rFonts w:hint="eastAsia" w:ascii="宋体" w:hAnsi="宋体" w:eastAsia="宋体" w:cs="宋体"/>
          <w:b/>
          <w:bCs/>
          <w:color w:val="auto"/>
          <w:kern w:val="2"/>
          <w:sz w:val="24"/>
          <w:szCs w:val="24"/>
          <w:highlight w:val="none"/>
          <w:lang w:val="en-US" w:eastAsia="zh-CN" w:bidi="ar-SA"/>
        </w:rPr>
        <w:t>（一）总则</w:t>
      </w:r>
      <w:bookmarkEnd w:id="120"/>
      <w:bookmarkEnd w:id="121"/>
      <w:bookmarkEnd w:id="122"/>
    </w:p>
    <w:p w14:paraId="788765C9">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23" w:name="_Toc109900050"/>
      <w:bookmarkStart w:id="124" w:name="_Toc30340"/>
      <w:bookmarkStart w:id="125" w:name="_Toc109900469"/>
      <w:bookmarkStart w:id="126" w:name="_Toc109899631"/>
      <w:bookmarkStart w:id="127" w:name="_Toc163492823"/>
      <w:bookmarkStart w:id="128" w:name="_Toc155095689"/>
      <w:bookmarkStart w:id="129" w:name="_Toc109897532"/>
      <w:bookmarkStart w:id="130" w:name="_Toc31233"/>
      <w:r>
        <w:rPr>
          <w:rFonts w:hint="eastAsia" w:ascii="宋体" w:hAnsi="宋体" w:eastAsia="宋体" w:cs="宋体"/>
          <w:b/>
          <w:bCs/>
          <w:color w:val="auto"/>
          <w:kern w:val="2"/>
          <w:sz w:val="24"/>
          <w:szCs w:val="24"/>
          <w:highlight w:val="none"/>
          <w:lang w:val="en-US" w:eastAsia="zh-CN" w:bidi="ar-SA"/>
        </w:rPr>
        <w:t>1.适用范围</w:t>
      </w:r>
      <w:bookmarkEnd w:id="123"/>
      <w:bookmarkEnd w:id="124"/>
      <w:bookmarkEnd w:id="125"/>
      <w:bookmarkEnd w:id="126"/>
      <w:bookmarkEnd w:id="127"/>
      <w:bookmarkEnd w:id="128"/>
      <w:bookmarkEnd w:id="129"/>
      <w:bookmarkEnd w:id="130"/>
    </w:p>
    <w:p w14:paraId="38963635">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1.1本招标文件仅适用于本项目的采购活动。</w:t>
      </w:r>
    </w:p>
    <w:p w14:paraId="34F08411">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31" w:name="_Toc163492824"/>
      <w:bookmarkStart w:id="132" w:name="_Toc7979"/>
      <w:r>
        <w:rPr>
          <w:rFonts w:hint="eastAsia" w:ascii="宋体" w:hAnsi="宋体" w:eastAsia="宋体" w:cs="宋体"/>
          <w:b/>
          <w:bCs/>
          <w:color w:val="auto"/>
          <w:kern w:val="2"/>
          <w:sz w:val="24"/>
          <w:szCs w:val="24"/>
          <w:highlight w:val="none"/>
          <w:lang w:val="en-US" w:eastAsia="zh-CN" w:bidi="ar-SA"/>
        </w:rPr>
        <w:t>2.基本定义</w:t>
      </w:r>
      <w:bookmarkEnd w:id="131"/>
      <w:bookmarkEnd w:id="132"/>
    </w:p>
    <w:p w14:paraId="768D70C2">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2.1根据《中华人民共和国政府采购法》及其实施条例等有关法律、法规和规章的规定，制定本招标文件。</w:t>
      </w:r>
    </w:p>
    <w:p w14:paraId="342EC44E">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2.2采购人：</w:t>
      </w:r>
      <w:r>
        <w:rPr>
          <w:rFonts w:hint="eastAsia" w:ascii="宋体" w:hAnsi="宋体" w:eastAsia="宋体" w:cs="宋体"/>
          <w:color w:val="auto"/>
          <w:kern w:val="0"/>
          <w:sz w:val="24"/>
          <w:szCs w:val="24"/>
          <w:highlight w:val="none"/>
          <w:lang w:val="en-US" w:eastAsia="zh-CN" w:bidi="ar"/>
        </w:rPr>
        <w:t>指依法进行政府采购的国家机关、事业单位、团体组织</w:t>
      </w:r>
      <w:r>
        <w:rPr>
          <w:rFonts w:hint="eastAsia" w:ascii="宋体" w:hAnsi="宋体" w:eastAsia="宋体" w:cs="宋体"/>
          <w:color w:val="auto"/>
          <w:sz w:val="24"/>
          <w:szCs w:val="24"/>
          <w:highlight w:val="none"/>
        </w:rPr>
        <w:t>。</w:t>
      </w:r>
    </w:p>
    <w:p w14:paraId="429A3EF6">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2.3采购代理机构：</w:t>
      </w:r>
      <w:r>
        <w:rPr>
          <w:rFonts w:hint="eastAsia" w:ascii="宋体" w:hAnsi="宋体" w:eastAsia="宋体" w:cs="宋体"/>
          <w:color w:val="auto"/>
          <w:kern w:val="0"/>
          <w:sz w:val="24"/>
          <w:szCs w:val="24"/>
          <w:highlight w:val="none"/>
          <w:lang w:val="en-US" w:eastAsia="zh-CN" w:bidi="ar"/>
        </w:rPr>
        <w:t>指依法进行政府采购的国家机关、事业单位、团体组织</w:t>
      </w:r>
      <w:r>
        <w:rPr>
          <w:rFonts w:hint="eastAsia" w:ascii="宋体" w:hAnsi="宋体" w:eastAsia="宋体" w:cs="宋体"/>
          <w:color w:val="auto"/>
          <w:sz w:val="24"/>
          <w:szCs w:val="24"/>
          <w:highlight w:val="none"/>
          <w:lang w:val="en-US" w:eastAsia="zh-CN"/>
        </w:rPr>
        <w:t>委托的采购代理机构</w:t>
      </w:r>
      <w:r>
        <w:rPr>
          <w:rFonts w:hint="eastAsia" w:ascii="宋体" w:hAnsi="宋体" w:eastAsia="宋体" w:cs="宋体"/>
          <w:color w:val="auto"/>
          <w:sz w:val="24"/>
          <w:szCs w:val="24"/>
          <w:highlight w:val="none"/>
        </w:rPr>
        <w:t>。</w:t>
      </w:r>
    </w:p>
    <w:p w14:paraId="26D50742">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2.4政府采购监督管理部门：各级人民政府财政部门是负责政府采购监督管理的部门，依法履行对政府采购活动的监督管理职责。各级人民政府其他有关部门依法履行与政府采购活动有关的监督管理职责。</w:t>
      </w:r>
    </w:p>
    <w:p w14:paraId="18E21DAA">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 服务包含的内容见</w:t>
      </w:r>
      <w:r>
        <w:rPr>
          <w:rFonts w:hint="eastAsia" w:ascii="宋体" w:hAnsi="宋体" w:eastAsia="宋体" w:cs="宋体"/>
          <w:color w:val="auto"/>
          <w:sz w:val="24"/>
          <w:szCs w:val="24"/>
          <w:highlight w:val="none"/>
        </w:rPr>
        <w:t>“投标人须知前附表”</w:t>
      </w:r>
      <w:r>
        <w:rPr>
          <w:rFonts w:hint="eastAsia" w:ascii="宋体" w:hAnsi="宋体" w:eastAsia="宋体" w:cs="宋体"/>
          <w:color w:val="auto"/>
          <w:sz w:val="24"/>
          <w:szCs w:val="24"/>
          <w:highlight w:val="none"/>
          <w:lang w:val="en-US" w:eastAsia="zh-CN"/>
        </w:rPr>
        <w:t>。</w:t>
      </w:r>
    </w:p>
    <w:p w14:paraId="214DD75F">
      <w:pPr>
        <w:ind w:firstLine="480" w:firstLineChars="200"/>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shd w:val="clear" w:color="auto" w:fill="FFFFFF" w:themeFill="background1"/>
        </w:rPr>
        <w:t>2.6投标人（也称“供应商”、“申请人”）：指向采购人提供货物、工程或者服务的法人、其他组织或者自然人。</w:t>
      </w:r>
      <w:r>
        <w:rPr>
          <w:rFonts w:hint="eastAsia" w:ascii="宋体" w:hAnsi="宋体" w:eastAsia="宋体" w:cs="宋体"/>
          <w:color w:val="auto"/>
          <w:sz w:val="24"/>
          <w:szCs w:val="24"/>
          <w:highlight w:val="none"/>
        </w:rPr>
        <w:t>分支机构不得参加政府采购活动，但银行、保险、石油石化、电力、电信等</w:t>
      </w:r>
      <w:r>
        <w:rPr>
          <w:rFonts w:hint="eastAsia" w:ascii="宋体" w:hAnsi="宋体" w:eastAsia="宋体" w:cs="宋体"/>
          <w:color w:val="auto"/>
          <w:sz w:val="24"/>
          <w:szCs w:val="24"/>
          <w:highlight w:val="none"/>
          <w:lang w:val="en-US" w:eastAsia="zh-CN"/>
        </w:rPr>
        <w:t>有</w:t>
      </w:r>
      <w:r>
        <w:rPr>
          <w:rFonts w:hint="eastAsia" w:ascii="宋体" w:hAnsi="宋体" w:eastAsia="宋体" w:cs="宋体"/>
          <w:color w:val="auto"/>
          <w:sz w:val="24"/>
          <w:szCs w:val="24"/>
          <w:highlight w:val="none"/>
        </w:rPr>
        <w:t>行业特殊</w:t>
      </w:r>
      <w:r>
        <w:rPr>
          <w:rFonts w:hint="eastAsia" w:ascii="宋体" w:hAnsi="宋体" w:eastAsia="宋体" w:cs="宋体"/>
          <w:color w:val="auto"/>
          <w:sz w:val="24"/>
          <w:szCs w:val="24"/>
          <w:highlight w:val="none"/>
          <w:lang w:val="en-US" w:eastAsia="zh-CN"/>
        </w:rPr>
        <w:t>情况的</w:t>
      </w:r>
      <w:r>
        <w:rPr>
          <w:rFonts w:hint="eastAsia" w:ascii="宋体" w:hAnsi="宋体" w:eastAsia="宋体" w:cs="宋体"/>
          <w:color w:val="auto"/>
          <w:sz w:val="24"/>
          <w:szCs w:val="24"/>
          <w:highlight w:val="none"/>
        </w:rPr>
        <w:t>除外。本项目的投标人须满足以下条件：</w:t>
      </w:r>
    </w:p>
    <w:p w14:paraId="2518C535">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2.6.1具备《中华人民共和国政府采购法》第二十二条规定的条件，遵守本项目采购人本级和上级财政部门政府采购的有关规定。</w:t>
      </w:r>
    </w:p>
    <w:p w14:paraId="76745163">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2.6.2以招标公告中发布的方式依法获得了本项目的招标文件。</w:t>
      </w:r>
    </w:p>
    <w:p w14:paraId="0DE24F0D">
      <w:pPr>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2.6.3符合本招标文件规定并参加投标的供应商。</w:t>
      </w:r>
    </w:p>
    <w:p w14:paraId="5FC27D1B">
      <w:pPr>
        <w:pStyle w:val="36"/>
        <w:keepNext w:val="0"/>
        <w:keepLines w:val="0"/>
        <w:pageBreakBefore w:val="0"/>
        <w:widowControl w:val="0"/>
        <w:kinsoku/>
        <w:overflowPunct/>
        <w:topLinePunct w:val="0"/>
        <w:autoSpaceDE/>
        <w:autoSpaceDN/>
        <w:bidi w:val="0"/>
        <w:adjustRightInd/>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w:t>
      </w:r>
      <w:r>
        <w:rPr>
          <w:rFonts w:hint="eastAsia" w:ascii="宋体" w:hAnsi="宋体" w:eastAsia="宋体" w:cs="宋体"/>
          <w:iCs/>
          <w:color w:val="auto"/>
          <w:sz w:val="24"/>
          <w:szCs w:val="24"/>
          <w:highlight w:val="none"/>
          <w:shd w:val="clear" w:color="auto" w:fill="FFFFFF" w:themeFill="background1"/>
        </w:rPr>
        <w:t>潜在投标人、潜在供应商</w:t>
      </w:r>
      <w:r>
        <w:rPr>
          <w:rFonts w:hint="eastAsia" w:ascii="宋体" w:hAnsi="宋体" w:eastAsia="宋体" w:cs="宋体"/>
          <w:iCs/>
          <w:color w:val="auto"/>
          <w:sz w:val="24"/>
          <w:szCs w:val="24"/>
          <w:highlight w:val="none"/>
          <w:shd w:val="clear" w:color="auto" w:fill="FFFFFF" w:themeFill="background1"/>
          <w:lang w:eastAsia="zh-CN"/>
        </w:rPr>
        <w:t>：</w:t>
      </w:r>
      <w:r>
        <w:rPr>
          <w:rFonts w:hint="eastAsia" w:ascii="宋体" w:hAnsi="宋体" w:eastAsia="宋体" w:cs="宋体"/>
          <w:iCs/>
          <w:color w:val="auto"/>
          <w:sz w:val="24"/>
          <w:szCs w:val="24"/>
          <w:highlight w:val="none"/>
          <w:shd w:val="clear" w:color="auto" w:fill="FFFFFF" w:themeFill="background1"/>
          <w:lang w:val="en-US" w:eastAsia="zh-CN"/>
        </w:rPr>
        <w:t>指</w:t>
      </w:r>
      <w:r>
        <w:rPr>
          <w:rFonts w:hint="eastAsia" w:ascii="宋体" w:hAnsi="宋体" w:eastAsia="宋体" w:cs="宋体"/>
          <w:color w:val="auto"/>
          <w:sz w:val="24"/>
          <w:szCs w:val="24"/>
          <w:highlight w:val="none"/>
          <w:lang w:val="en-US" w:eastAsia="zh-CN"/>
        </w:rPr>
        <w:t>符合本招标文件规定的供应商</w:t>
      </w:r>
      <w:r>
        <w:rPr>
          <w:rFonts w:hint="eastAsia" w:ascii="宋体" w:hAnsi="宋体" w:eastAsia="宋体" w:cs="宋体"/>
          <w:color w:val="auto"/>
          <w:sz w:val="24"/>
          <w:szCs w:val="24"/>
          <w:highlight w:val="none"/>
        </w:rPr>
        <w:t>。</w:t>
      </w:r>
    </w:p>
    <w:p w14:paraId="7BECD896">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33" w:name="_Toc163492825"/>
      <w:bookmarkStart w:id="134" w:name="_Toc140132758"/>
      <w:bookmarkStart w:id="135" w:name="_Toc21761"/>
      <w:r>
        <w:rPr>
          <w:rFonts w:hint="eastAsia" w:ascii="宋体" w:hAnsi="宋体" w:eastAsia="宋体" w:cs="宋体"/>
          <w:b/>
          <w:bCs/>
          <w:color w:val="auto"/>
          <w:kern w:val="2"/>
          <w:sz w:val="24"/>
          <w:szCs w:val="24"/>
          <w:highlight w:val="none"/>
          <w:lang w:val="en-US" w:eastAsia="zh-CN" w:bidi="ar-SA"/>
        </w:rPr>
        <w:t>3.资金来源</w:t>
      </w:r>
      <w:bookmarkEnd w:id="133"/>
      <w:bookmarkEnd w:id="134"/>
      <w:bookmarkEnd w:id="135"/>
    </w:p>
    <w:p w14:paraId="76E8C14F">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3.1资金来源：</w:t>
      </w:r>
      <w:r>
        <w:rPr>
          <w:rFonts w:hint="eastAsia" w:ascii="宋体" w:hAnsi="宋体" w:eastAsia="宋体" w:cs="宋体"/>
          <w:color w:val="auto"/>
          <w:sz w:val="24"/>
          <w:szCs w:val="24"/>
          <w:highlight w:val="none"/>
          <w:lang w:val="en-US" w:eastAsia="zh-CN"/>
        </w:rPr>
        <w:t>为财政性资金即</w:t>
      </w:r>
      <w:r>
        <w:rPr>
          <w:rFonts w:hint="eastAsia" w:ascii="宋体" w:hAnsi="宋体" w:eastAsia="宋体" w:cs="宋体"/>
          <w:color w:val="auto"/>
          <w:sz w:val="24"/>
          <w:szCs w:val="24"/>
          <w:highlight w:val="none"/>
        </w:rPr>
        <w:t>纳入预算管理的资金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以财政性资金作为还款来源的借贷资金，视同财政性资金。财政性资金与非财政性资金无法分割采购的，统一适用《中华人民共和国政府采购法》及其实施条例。</w:t>
      </w:r>
    </w:p>
    <w:p w14:paraId="17722C40">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36" w:name="_Toc163492826"/>
      <w:bookmarkStart w:id="137" w:name="_Toc140132760"/>
      <w:bookmarkStart w:id="138" w:name="_Toc8143"/>
      <w:r>
        <w:rPr>
          <w:rFonts w:hint="eastAsia" w:ascii="宋体" w:hAnsi="宋体" w:eastAsia="宋体" w:cs="宋体"/>
          <w:b/>
          <w:bCs/>
          <w:color w:val="auto"/>
          <w:kern w:val="2"/>
          <w:sz w:val="24"/>
          <w:szCs w:val="24"/>
          <w:highlight w:val="none"/>
          <w:lang w:val="en-US" w:eastAsia="zh-CN" w:bidi="ar-SA"/>
        </w:rPr>
        <w:t>4.投标人资格要求</w:t>
      </w:r>
      <w:bookmarkEnd w:id="136"/>
      <w:bookmarkEnd w:id="137"/>
      <w:bookmarkEnd w:id="138"/>
    </w:p>
    <w:p w14:paraId="522AD9C1">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4.1投标人资格要求：见“</w:t>
      </w:r>
      <w:r>
        <w:rPr>
          <w:rFonts w:hint="eastAsia" w:ascii="宋体" w:hAnsi="宋体" w:eastAsia="宋体" w:cs="宋体"/>
          <w:color w:val="auto"/>
          <w:sz w:val="24"/>
          <w:szCs w:val="24"/>
          <w:highlight w:val="none"/>
          <w:lang w:val="en-US" w:eastAsia="zh-CN"/>
        </w:rPr>
        <w:t>第一章 招标公告</w:t>
      </w:r>
      <w:r>
        <w:rPr>
          <w:rFonts w:hint="eastAsia" w:ascii="宋体" w:hAnsi="宋体" w:eastAsia="宋体" w:cs="宋体"/>
          <w:color w:val="auto"/>
          <w:sz w:val="24"/>
          <w:szCs w:val="24"/>
          <w:highlight w:val="none"/>
        </w:rPr>
        <w:t>”；</w:t>
      </w:r>
    </w:p>
    <w:p w14:paraId="3B57853B">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第一章 招标公告</w:t>
      </w:r>
      <w:r>
        <w:rPr>
          <w:rFonts w:hint="eastAsia" w:ascii="宋体" w:hAnsi="宋体" w:eastAsia="宋体" w:cs="宋体"/>
          <w:color w:val="auto"/>
          <w:sz w:val="24"/>
          <w:szCs w:val="24"/>
          <w:highlight w:val="none"/>
          <w:lang w:val="zh-CN" w:eastAsia="zh-CN"/>
        </w:rPr>
        <w:t>”规定接受联合体投标的，还应遵守以下规定：</w:t>
      </w:r>
    </w:p>
    <w:p w14:paraId="512308FF">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1两个以上的自然人、法人或者其他组织可以组成一个联合体，以一个</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zh-CN" w:eastAsia="zh-CN"/>
        </w:rPr>
        <w:t>的身份共同参加政府采购。</w:t>
      </w:r>
      <w:r>
        <w:rPr>
          <w:rFonts w:hint="eastAsia" w:ascii="宋体" w:hAnsi="宋体" w:eastAsia="宋体" w:cs="宋体"/>
          <w:iCs/>
          <w:color w:val="auto"/>
          <w:kern w:val="2"/>
          <w:sz w:val="24"/>
          <w:szCs w:val="24"/>
          <w:highlight w:val="none"/>
          <w:shd w:val="clear" w:color="auto" w:fill="FFFFFF" w:themeFill="background1"/>
          <w:lang w:val="zh-CN" w:eastAsia="zh-CN" w:bidi="ar-SA"/>
        </w:rPr>
        <w:t>以联合体形式进行政府采购的，参加联合体的供应商均应当具备《</w:t>
      </w:r>
      <w:r>
        <w:rPr>
          <w:rFonts w:hint="eastAsia" w:ascii="宋体" w:hAnsi="宋体" w:eastAsia="宋体" w:cs="宋体"/>
          <w:color w:val="auto"/>
          <w:sz w:val="24"/>
          <w:szCs w:val="24"/>
          <w:highlight w:val="none"/>
        </w:rPr>
        <w:t>中华人民共和国政府采购法</w:t>
      </w:r>
      <w:r>
        <w:rPr>
          <w:rFonts w:hint="eastAsia" w:ascii="宋体" w:hAnsi="宋体" w:eastAsia="宋体" w:cs="宋体"/>
          <w:iCs/>
          <w:color w:val="auto"/>
          <w:kern w:val="2"/>
          <w:sz w:val="24"/>
          <w:szCs w:val="24"/>
          <w:highlight w:val="none"/>
          <w:shd w:val="clear" w:color="auto" w:fill="FFFFFF" w:themeFill="background1"/>
          <w:lang w:val="zh-CN" w:eastAsia="zh-CN" w:bidi="ar-SA"/>
        </w:rPr>
        <w:t>》第二十二条规定的条件。</w:t>
      </w:r>
    </w:p>
    <w:p w14:paraId="7EFB49B3">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2.2</w:t>
      </w:r>
      <w:r>
        <w:rPr>
          <w:rFonts w:hint="eastAsia" w:ascii="宋体" w:hAnsi="宋体" w:eastAsia="宋体" w:cs="宋体"/>
          <w:iCs/>
          <w:color w:val="auto"/>
          <w:kern w:val="2"/>
          <w:sz w:val="24"/>
          <w:szCs w:val="24"/>
          <w:highlight w:val="none"/>
          <w:shd w:val="clear" w:color="auto" w:fill="FFFFFF" w:themeFill="background1"/>
          <w:lang w:val="zh-CN" w:eastAsia="zh-CN" w:bidi="ar-SA"/>
        </w:rPr>
        <w:t>联合体各方应按招标文件提供的格式签订联合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w:t>
      </w:r>
      <w:r>
        <w:rPr>
          <w:rFonts w:hint="eastAsia" w:ascii="宋体" w:hAnsi="宋体" w:eastAsia="宋体" w:cs="宋体"/>
          <w:iCs/>
          <w:color w:val="auto"/>
          <w:kern w:val="2"/>
          <w:sz w:val="24"/>
          <w:szCs w:val="24"/>
          <w:highlight w:val="none"/>
          <w:shd w:val="clear" w:color="auto" w:fill="FFFFFF" w:themeFill="background1"/>
          <w:lang w:val="zh-CN" w:eastAsia="zh-CN" w:bidi="ar-SA"/>
        </w:rPr>
        <w:t>协议</w:t>
      </w:r>
      <w:r>
        <w:rPr>
          <w:rFonts w:hint="eastAsia" w:ascii="宋体" w:hAnsi="宋体" w:eastAsia="宋体" w:cs="宋体"/>
          <w:iCs/>
          <w:color w:val="auto"/>
          <w:kern w:val="2"/>
          <w:sz w:val="24"/>
          <w:szCs w:val="24"/>
          <w:highlight w:val="none"/>
          <w:shd w:val="clear" w:color="auto" w:fill="FFFFFF" w:themeFill="background1"/>
          <w:lang w:val="en-US" w:eastAsia="zh-CN" w:bidi="ar-SA"/>
        </w:rPr>
        <w:t>书</w:t>
      </w:r>
      <w:r>
        <w:rPr>
          <w:rFonts w:hint="eastAsia" w:ascii="宋体" w:hAnsi="宋体" w:eastAsia="宋体" w:cs="宋体"/>
          <w:iCs/>
          <w:color w:val="auto"/>
          <w:kern w:val="2"/>
          <w:sz w:val="24"/>
          <w:szCs w:val="24"/>
          <w:highlight w:val="none"/>
          <w:shd w:val="clear" w:color="auto" w:fill="FFFFFF" w:themeFill="background1"/>
          <w:lang w:val="zh-CN" w:eastAsia="zh-CN" w:bidi="ar-SA"/>
        </w:rPr>
        <w:t>，明确约定联合体各方承担的工作和相应的责任，并将联合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w:t>
      </w:r>
      <w:r>
        <w:rPr>
          <w:rFonts w:hint="eastAsia" w:ascii="宋体" w:hAnsi="宋体" w:eastAsia="宋体" w:cs="宋体"/>
          <w:iCs/>
          <w:color w:val="auto"/>
          <w:kern w:val="2"/>
          <w:sz w:val="24"/>
          <w:szCs w:val="24"/>
          <w:highlight w:val="none"/>
          <w:shd w:val="clear" w:color="auto" w:fill="FFFFFF" w:themeFill="background1"/>
          <w:lang w:val="zh-CN" w:eastAsia="zh-CN" w:bidi="ar-SA"/>
        </w:rPr>
        <w:t>协议</w:t>
      </w:r>
      <w:r>
        <w:rPr>
          <w:rFonts w:hint="eastAsia" w:ascii="宋体" w:hAnsi="宋体" w:eastAsia="宋体" w:cs="宋体"/>
          <w:iCs/>
          <w:color w:val="auto"/>
          <w:kern w:val="2"/>
          <w:sz w:val="24"/>
          <w:szCs w:val="24"/>
          <w:highlight w:val="none"/>
          <w:shd w:val="clear" w:color="auto" w:fill="FFFFFF" w:themeFill="background1"/>
          <w:lang w:val="en-US" w:eastAsia="zh-CN" w:bidi="ar-SA"/>
        </w:rPr>
        <w:t>书</w:t>
      </w:r>
      <w:r>
        <w:rPr>
          <w:rFonts w:hint="eastAsia" w:ascii="宋体" w:hAnsi="宋体" w:eastAsia="宋体" w:cs="宋体"/>
          <w:iCs/>
          <w:color w:val="auto"/>
          <w:kern w:val="2"/>
          <w:sz w:val="24"/>
          <w:szCs w:val="24"/>
          <w:highlight w:val="none"/>
          <w:shd w:val="clear" w:color="auto" w:fill="FFFFFF" w:themeFill="background1"/>
          <w:lang w:val="zh-CN" w:eastAsia="zh-CN" w:bidi="ar-SA"/>
        </w:rPr>
        <w:t>作为投标文件的一部分提交，该协议书对联合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体所有成员</w:t>
      </w:r>
      <w:r>
        <w:rPr>
          <w:rFonts w:hint="eastAsia" w:ascii="宋体" w:hAnsi="宋体" w:eastAsia="宋体" w:cs="宋体"/>
          <w:iCs/>
          <w:color w:val="auto"/>
          <w:kern w:val="2"/>
          <w:sz w:val="24"/>
          <w:szCs w:val="24"/>
          <w:highlight w:val="none"/>
          <w:shd w:val="clear" w:color="auto" w:fill="FFFFFF" w:themeFill="background1"/>
          <w:lang w:val="zh-CN" w:eastAsia="zh-CN" w:bidi="ar-SA"/>
        </w:rPr>
        <w:t>均具有法律约束力。</w:t>
      </w:r>
    </w:p>
    <w:p w14:paraId="5343E5B5">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4.2.3</w:t>
      </w:r>
      <w:r>
        <w:rPr>
          <w:rFonts w:hint="eastAsia" w:ascii="宋体" w:hAnsi="宋体" w:eastAsia="宋体" w:cs="宋体"/>
          <w:iCs/>
          <w:color w:val="auto"/>
          <w:kern w:val="2"/>
          <w:sz w:val="24"/>
          <w:szCs w:val="24"/>
          <w:highlight w:val="none"/>
          <w:shd w:val="clear" w:color="auto" w:fill="FFFFFF" w:themeFill="background1"/>
          <w:lang w:val="zh-CN" w:eastAsia="zh-CN" w:bidi="ar-SA"/>
        </w:rPr>
        <w:t>联合体中有同类资质的供应商按照联合体分工承担相同工作的，应当按照资质等级较低的供应商确定资质等级。</w:t>
      </w:r>
    </w:p>
    <w:p w14:paraId="21D444C4">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4.2</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4</w:t>
      </w:r>
      <w:r>
        <w:rPr>
          <w:rFonts w:hint="eastAsia" w:ascii="宋体" w:hAnsi="宋体" w:eastAsia="宋体" w:cs="宋体"/>
          <w:iCs/>
          <w:color w:val="auto"/>
          <w:kern w:val="2"/>
          <w:sz w:val="24"/>
          <w:szCs w:val="24"/>
          <w:highlight w:val="none"/>
          <w:shd w:val="clear" w:color="auto" w:fill="FFFFFF" w:themeFill="background1"/>
          <w:lang w:val="zh-CN" w:eastAsia="zh-CN" w:bidi="ar-SA"/>
        </w:rPr>
        <w:t>以联合体形式参加政府采购活动的，联合体各方不得再单独参加或者与其他供应商另外组成联合体参加</w:t>
      </w:r>
      <w:r>
        <w:rPr>
          <w:rFonts w:hint="eastAsia" w:ascii="宋体" w:hAnsi="宋体" w:eastAsia="宋体" w:cs="宋体"/>
          <w:iCs/>
          <w:color w:val="auto"/>
          <w:kern w:val="2"/>
          <w:sz w:val="24"/>
          <w:szCs w:val="24"/>
          <w:highlight w:val="none"/>
          <w:shd w:val="clear" w:color="auto" w:fill="FFFFFF" w:themeFill="background1"/>
          <w:lang w:val="en-US" w:eastAsia="zh-CN" w:bidi="ar-SA"/>
        </w:rPr>
        <w:t>同一合同项下的</w:t>
      </w:r>
      <w:r>
        <w:rPr>
          <w:rFonts w:hint="eastAsia" w:ascii="宋体" w:hAnsi="宋体" w:eastAsia="宋体" w:cs="宋体"/>
          <w:iCs/>
          <w:color w:val="auto"/>
          <w:kern w:val="2"/>
          <w:sz w:val="24"/>
          <w:szCs w:val="24"/>
          <w:highlight w:val="none"/>
          <w:shd w:val="clear" w:color="auto" w:fill="FFFFFF" w:themeFill="background1"/>
          <w:lang w:val="zh-CN" w:eastAsia="zh-CN" w:bidi="ar-SA"/>
        </w:rPr>
        <w:t>投标，否则相关投标将被认定为</w:t>
      </w:r>
      <w:r>
        <w:rPr>
          <w:rFonts w:hint="eastAsia" w:ascii="宋体" w:hAnsi="宋体" w:eastAsia="宋体" w:cs="宋体"/>
          <w:b/>
          <w:bCs/>
          <w:iCs/>
          <w:color w:val="auto"/>
          <w:kern w:val="2"/>
          <w:sz w:val="24"/>
          <w:szCs w:val="24"/>
          <w:highlight w:val="none"/>
          <w:shd w:val="clear" w:color="auto" w:fill="FFFFFF" w:themeFill="background1"/>
          <w:lang w:val="zh-CN" w:eastAsia="zh-CN" w:bidi="ar-SA"/>
        </w:rPr>
        <w:t>投标无效</w:t>
      </w:r>
      <w:r>
        <w:rPr>
          <w:rFonts w:hint="eastAsia" w:ascii="宋体" w:hAnsi="宋体" w:eastAsia="宋体" w:cs="宋体"/>
          <w:iCs/>
          <w:color w:val="auto"/>
          <w:kern w:val="2"/>
          <w:sz w:val="24"/>
          <w:szCs w:val="24"/>
          <w:highlight w:val="none"/>
          <w:shd w:val="clear" w:color="auto" w:fill="FFFFFF" w:themeFill="background1"/>
          <w:lang w:val="zh-CN" w:eastAsia="zh-CN" w:bidi="ar-SA"/>
        </w:rPr>
        <w:t>。</w:t>
      </w:r>
    </w:p>
    <w:p w14:paraId="2E60D00D">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4.2</w:t>
      </w:r>
      <w:r>
        <w:rPr>
          <w:rFonts w:hint="eastAsia" w:ascii="宋体" w:hAnsi="宋体" w:eastAsia="宋体" w:cs="宋体"/>
          <w:iCs/>
          <w:color w:val="auto"/>
          <w:kern w:val="2"/>
          <w:sz w:val="24"/>
          <w:szCs w:val="24"/>
          <w:highlight w:val="none"/>
          <w:shd w:val="clear" w:color="auto" w:fill="FFFFFF" w:themeFill="background1"/>
          <w:lang w:val="zh-CN" w:eastAsia="zh-CN" w:bidi="ar-SA"/>
        </w:rPr>
        <w:t>.5大中型企业、其他自然人、法人或者非法人组织与小型、微型企业组成联合体共同参加投标</w:t>
      </w:r>
      <w:r>
        <w:rPr>
          <w:rFonts w:hint="eastAsia" w:ascii="宋体" w:hAnsi="宋体" w:eastAsia="宋体" w:cs="宋体"/>
          <w:iCs/>
          <w:color w:val="auto"/>
          <w:kern w:val="2"/>
          <w:sz w:val="24"/>
          <w:szCs w:val="24"/>
          <w:highlight w:val="none"/>
          <w:shd w:val="clear" w:color="auto" w:fill="FFFFFF" w:themeFill="background1"/>
          <w:lang w:val="en-US" w:eastAsia="zh-CN" w:bidi="ar-SA"/>
        </w:rPr>
        <w:t>的</w:t>
      </w:r>
      <w:r>
        <w:rPr>
          <w:rFonts w:hint="eastAsia" w:ascii="宋体" w:hAnsi="宋体" w:eastAsia="宋体" w:cs="宋体"/>
          <w:iCs/>
          <w:color w:val="auto"/>
          <w:kern w:val="2"/>
          <w:sz w:val="24"/>
          <w:szCs w:val="24"/>
          <w:highlight w:val="none"/>
          <w:shd w:val="clear" w:color="auto" w:fill="FFFFFF" w:themeFill="background1"/>
          <w:lang w:val="zh-CN" w:eastAsia="zh-CN" w:bidi="ar-SA"/>
        </w:rPr>
        <w:t>，联合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w:t>
      </w:r>
      <w:r>
        <w:rPr>
          <w:rFonts w:hint="eastAsia" w:ascii="宋体" w:hAnsi="宋体" w:eastAsia="宋体" w:cs="宋体"/>
          <w:iCs/>
          <w:color w:val="auto"/>
          <w:kern w:val="2"/>
          <w:sz w:val="24"/>
          <w:szCs w:val="24"/>
          <w:highlight w:val="none"/>
          <w:shd w:val="clear" w:color="auto" w:fill="FFFFFF" w:themeFill="background1"/>
          <w:lang w:val="zh-CN" w:eastAsia="zh-CN" w:bidi="ar-SA"/>
        </w:rPr>
        <w:t>协议</w:t>
      </w:r>
      <w:r>
        <w:rPr>
          <w:rFonts w:hint="eastAsia" w:ascii="宋体" w:hAnsi="宋体" w:eastAsia="宋体" w:cs="宋体"/>
          <w:iCs/>
          <w:color w:val="auto"/>
          <w:kern w:val="2"/>
          <w:sz w:val="24"/>
          <w:szCs w:val="24"/>
          <w:highlight w:val="none"/>
          <w:shd w:val="clear" w:color="auto" w:fill="FFFFFF" w:themeFill="background1"/>
          <w:lang w:val="en-US" w:eastAsia="zh-CN" w:bidi="ar-SA"/>
        </w:rPr>
        <w:t>书</w:t>
      </w:r>
      <w:r>
        <w:rPr>
          <w:rFonts w:hint="eastAsia" w:ascii="宋体" w:hAnsi="宋体" w:eastAsia="宋体" w:cs="宋体"/>
          <w:iCs/>
          <w:color w:val="auto"/>
          <w:kern w:val="2"/>
          <w:sz w:val="24"/>
          <w:szCs w:val="24"/>
          <w:highlight w:val="none"/>
          <w:shd w:val="clear" w:color="auto" w:fill="FFFFFF" w:themeFill="background1"/>
          <w:lang w:val="zh-CN" w:eastAsia="zh-CN" w:bidi="ar-SA"/>
        </w:rPr>
        <w:t>中应写明小型、微型企业的合同金额占到联合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w:t>
      </w:r>
      <w:r>
        <w:rPr>
          <w:rFonts w:hint="eastAsia" w:ascii="宋体" w:hAnsi="宋体" w:eastAsia="宋体" w:cs="宋体"/>
          <w:iCs/>
          <w:color w:val="auto"/>
          <w:kern w:val="2"/>
          <w:sz w:val="24"/>
          <w:szCs w:val="24"/>
          <w:highlight w:val="none"/>
          <w:shd w:val="clear" w:color="auto" w:fill="FFFFFF" w:themeFill="background1"/>
          <w:lang w:val="zh-CN" w:eastAsia="zh-CN" w:bidi="ar-SA"/>
        </w:rPr>
        <w:t>投标</w:t>
      </w:r>
      <w:r>
        <w:rPr>
          <w:rFonts w:hint="eastAsia" w:ascii="宋体" w:hAnsi="宋体" w:eastAsia="宋体" w:cs="宋体"/>
          <w:iCs/>
          <w:color w:val="auto"/>
          <w:kern w:val="2"/>
          <w:sz w:val="24"/>
          <w:szCs w:val="24"/>
          <w:highlight w:val="none"/>
          <w:shd w:val="clear" w:color="auto" w:fill="FFFFFF" w:themeFill="background1"/>
          <w:lang w:val="en-US" w:eastAsia="zh-CN" w:bidi="ar-SA"/>
        </w:rPr>
        <w:t>合同</w:t>
      </w:r>
      <w:r>
        <w:rPr>
          <w:rFonts w:hint="eastAsia" w:ascii="宋体" w:hAnsi="宋体" w:eastAsia="宋体" w:cs="宋体"/>
          <w:iCs/>
          <w:color w:val="auto"/>
          <w:kern w:val="2"/>
          <w:sz w:val="24"/>
          <w:szCs w:val="24"/>
          <w:highlight w:val="none"/>
          <w:shd w:val="clear" w:color="auto" w:fill="FFFFFF" w:themeFill="background1"/>
          <w:lang w:val="zh-CN" w:eastAsia="zh-CN" w:bidi="ar-SA"/>
        </w:rPr>
        <w:t>总金额的比例。</w:t>
      </w:r>
    </w:p>
    <w:p w14:paraId="7127D169">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zh-CN" w:eastAsia="zh-CN" w:bidi="ar-SA"/>
        </w:rPr>
        <w:t>4.2</w:t>
      </w:r>
      <w:r>
        <w:rPr>
          <w:rFonts w:hint="eastAsia" w:ascii="宋体" w:hAnsi="宋体" w:eastAsia="宋体" w:cs="宋体"/>
          <w:iCs/>
          <w:color w:val="auto"/>
          <w:kern w:val="2"/>
          <w:sz w:val="24"/>
          <w:szCs w:val="24"/>
          <w:highlight w:val="none"/>
          <w:shd w:val="clear" w:color="auto" w:fill="FFFFFF" w:themeFill="background1"/>
          <w:lang w:val="en-US" w:eastAsia="zh-CN" w:bidi="ar-SA"/>
        </w:rPr>
        <w:t>.6</w:t>
      </w:r>
      <w:r>
        <w:rPr>
          <w:rFonts w:hint="eastAsia" w:ascii="宋体" w:hAnsi="宋体" w:eastAsia="宋体" w:cs="宋体"/>
          <w:iCs/>
          <w:color w:val="auto"/>
          <w:kern w:val="2"/>
          <w:sz w:val="24"/>
          <w:szCs w:val="24"/>
          <w:highlight w:val="none"/>
          <w:shd w:val="clear" w:color="auto" w:fill="FFFFFF" w:themeFill="background1"/>
          <w:lang w:val="zh-CN" w:eastAsia="zh-CN" w:bidi="ar-SA"/>
        </w:rPr>
        <w:t>联合体中标</w:t>
      </w:r>
      <w:r>
        <w:rPr>
          <w:rFonts w:hint="eastAsia" w:ascii="宋体" w:hAnsi="宋体" w:eastAsia="宋体" w:cs="宋体"/>
          <w:iCs/>
          <w:color w:val="auto"/>
          <w:kern w:val="2"/>
          <w:sz w:val="24"/>
          <w:szCs w:val="24"/>
          <w:highlight w:val="none"/>
          <w:shd w:val="clear" w:color="auto" w:fill="FFFFFF" w:themeFill="background1"/>
          <w:lang w:val="en-US" w:eastAsia="zh-CN" w:bidi="ar-SA"/>
        </w:rPr>
        <w:t>的</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采购</w:t>
      </w:r>
      <w:r>
        <w:rPr>
          <w:rFonts w:hint="eastAsia" w:ascii="宋体" w:hAnsi="宋体" w:eastAsia="宋体" w:cs="宋体"/>
          <w:iCs/>
          <w:color w:val="auto"/>
          <w:kern w:val="2"/>
          <w:sz w:val="24"/>
          <w:szCs w:val="24"/>
          <w:highlight w:val="none"/>
          <w:shd w:val="clear" w:color="auto" w:fill="FFFFFF" w:themeFill="background1"/>
          <w:lang w:val="zh-CN" w:eastAsia="zh-CN" w:bidi="ar-SA"/>
        </w:rPr>
        <w:t>合同应由</w:t>
      </w:r>
      <w:r>
        <w:rPr>
          <w:rFonts w:hint="eastAsia" w:ascii="宋体" w:hAnsi="宋体" w:eastAsia="宋体" w:cs="宋体"/>
          <w:iCs/>
          <w:color w:val="auto"/>
          <w:kern w:val="2"/>
          <w:sz w:val="24"/>
          <w:szCs w:val="24"/>
          <w:highlight w:val="none"/>
          <w:shd w:val="clear" w:color="auto" w:fill="FFFFFF" w:themeFill="background1"/>
          <w:lang w:val="en-US" w:eastAsia="zh-CN" w:bidi="ar-SA"/>
        </w:rPr>
        <w:t>联合体</w:t>
      </w:r>
      <w:r>
        <w:rPr>
          <w:rFonts w:hint="eastAsia" w:ascii="宋体" w:hAnsi="宋体" w:eastAsia="宋体" w:cs="宋体"/>
          <w:iCs/>
          <w:color w:val="auto"/>
          <w:kern w:val="2"/>
          <w:sz w:val="24"/>
          <w:szCs w:val="24"/>
          <w:highlight w:val="none"/>
          <w:shd w:val="clear" w:color="auto" w:fill="FFFFFF" w:themeFill="background1"/>
          <w:lang w:val="zh-CN" w:eastAsia="zh-CN" w:bidi="ar-SA"/>
        </w:rPr>
        <w:t>各成员的合法授权代表签字</w:t>
      </w:r>
      <w:r>
        <w:rPr>
          <w:rFonts w:hint="eastAsia" w:ascii="宋体" w:hAnsi="宋体" w:eastAsia="宋体" w:cs="宋体"/>
          <w:iCs/>
          <w:color w:val="auto"/>
          <w:kern w:val="2"/>
          <w:sz w:val="24"/>
          <w:szCs w:val="24"/>
          <w:highlight w:val="none"/>
          <w:shd w:val="clear" w:color="auto" w:fill="FFFFFF" w:themeFill="background1"/>
          <w:lang w:val="en-US" w:eastAsia="zh-CN" w:bidi="ar-SA"/>
        </w:rPr>
        <w:t>及</w:t>
      </w:r>
      <w:r>
        <w:rPr>
          <w:rFonts w:hint="eastAsia" w:ascii="宋体" w:hAnsi="宋体" w:eastAsia="宋体" w:cs="宋体"/>
          <w:iCs/>
          <w:color w:val="auto"/>
          <w:kern w:val="2"/>
          <w:sz w:val="24"/>
          <w:szCs w:val="24"/>
          <w:highlight w:val="none"/>
          <w:shd w:val="clear" w:color="auto" w:fill="FFFFFF" w:themeFill="background1"/>
          <w:lang w:val="zh-CN" w:eastAsia="zh-CN" w:bidi="ar-SA"/>
        </w:rPr>
        <w:t>加盖</w:t>
      </w:r>
      <w:r>
        <w:rPr>
          <w:rFonts w:hint="eastAsia" w:ascii="宋体" w:hAnsi="宋体" w:eastAsia="宋体" w:cs="宋体"/>
          <w:iCs/>
          <w:color w:val="auto"/>
          <w:kern w:val="2"/>
          <w:sz w:val="24"/>
          <w:szCs w:val="24"/>
          <w:highlight w:val="none"/>
          <w:shd w:val="clear" w:color="auto" w:fill="FFFFFF" w:themeFill="background1"/>
          <w:lang w:val="en-US" w:eastAsia="zh-CN" w:bidi="ar-SA"/>
        </w:rPr>
        <w:t>联合体</w:t>
      </w:r>
      <w:r>
        <w:rPr>
          <w:rFonts w:hint="eastAsia" w:ascii="宋体" w:hAnsi="宋体" w:eastAsia="宋体" w:cs="宋体"/>
          <w:iCs/>
          <w:color w:val="auto"/>
          <w:kern w:val="2"/>
          <w:sz w:val="24"/>
          <w:szCs w:val="24"/>
          <w:highlight w:val="none"/>
          <w:shd w:val="clear" w:color="auto" w:fill="FFFFFF" w:themeFill="background1"/>
          <w:lang w:val="zh-CN" w:eastAsia="zh-CN" w:bidi="ar-SA"/>
        </w:rPr>
        <w:t>各成员公章，</w:t>
      </w:r>
      <w:r>
        <w:rPr>
          <w:rFonts w:hint="eastAsia" w:ascii="宋体" w:hAnsi="宋体" w:eastAsia="宋体" w:cs="宋体"/>
          <w:iCs/>
          <w:color w:val="auto"/>
          <w:kern w:val="2"/>
          <w:sz w:val="24"/>
          <w:szCs w:val="24"/>
          <w:highlight w:val="none"/>
          <w:shd w:val="clear" w:color="auto" w:fill="FFFFFF" w:themeFill="background1"/>
          <w:lang w:val="en-US" w:eastAsia="zh-CN" w:bidi="ar-SA"/>
        </w:rPr>
        <w:t>并</w:t>
      </w:r>
      <w:r>
        <w:rPr>
          <w:rFonts w:hint="eastAsia" w:ascii="宋体" w:hAnsi="宋体" w:eastAsia="宋体" w:cs="宋体"/>
          <w:iCs/>
          <w:color w:val="auto"/>
          <w:kern w:val="2"/>
          <w:sz w:val="24"/>
          <w:szCs w:val="24"/>
          <w:highlight w:val="none"/>
          <w:shd w:val="clear" w:color="auto" w:fill="FFFFFF" w:themeFill="background1"/>
          <w:lang w:val="zh-CN" w:eastAsia="zh-CN" w:bidi="ar-SA"/>
        </w:rPr>
        <w:t>对联合体成员作为整体和他们各自作为独立体均具有法律约束力，但若该签字或公章不齐全或缺乏，该联合体的牵头人的签署或类似的意思表示人具有代表该联合体的签署或意思表示的法律效力，并且据此各成员为履行合同应向采购人与采购代理机构承担连带责任。</w:t>
      </w:r>
    </w:p>
    <w:p w14:paraId="72C3CFE0">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zh-CN" w:eastAsia="zh-CN" w:bidi="ar-SA"/>
        </w:rPr>
        <w:t>4.2</w:t>
      </w:r>
      <w:r>
        <w:rPr>
          <w:rFonts w:hint="eastAsia" w:ascii="宋体" w:hAnsi="宋体" w:eastAsia="宋体" w:cs="宋体"/>
          <w:iCs/>
          <w:color w:val="auto"/>
          <w:kern w:val="2"/>
          <w:sz w:val="24"/>
          <w:szCs w:val="24"/>
          <w:highlight w:val="none"/>
          <w:shd w:val="clear" w:color="auto" w:fill="FFFFFF" w:themeFill="background1"/>
          <w:lang w:val="en-US" w:eastAsia="zh-CN" w:bidi="ar-SA"/>
        </w:rPr>
        <w:t>.7</w:t>
      </w:r>
      <w:r>
        <w:rPr>
          <w:rFonts w:hint="eastAsia" w:ascii="宋体" w:hAnsi="宋体" w:eastAsia="宋体" w:cs="宋体"/>
          <w:iCs/>
          <w:color w:val="auto"/>
          <w:kern w:val="2"/>
          <w:sz w:val="24"/>
          <w:szCs w:val="24"/>
          <w:highlight w:val="none"/>
          <w:shd w:val="clear" w:color="auto" w:fill="FFFFFF" w:themeFill="background1"/>
          <w:lang w:val="zh-CN" w:eastAsia="zh-CN" w:bidi="ar-SA"/>
        </w:rPr>
        <w:t>联合体或其成员不得将其在合同项下的权利或义务全部或部分转让给第三人，有关分包事项须事先取得采购</w:t>
      </w:r>
      <w:r>
        <w:rPr>
          <w:rFonts w:hint="eastAsia" w:ascii="宋体" w:hAnsi="宋体" w:eastAsia="宋体" w:cs="宋体"/>
          <w:iCs/>
          <w:color w:val="auto"/>
          <w:kern w:val="2"/>
          <w:sz w:val="24"/>
          <w:szCs w:val="24"/>
          <w:highlight w:val="none"/>
          <w:shd w:val="clear" w:color="auto" w:fill="FFFFFF" w:themeFill="background1"/>
          <w:lang w:val="en-US" w:eastAsia="zh-CN" w:bidi="ar-SA"/>
        </w:rPr>
        <w:t>人</w:t>
      </w:r>
      <w:r>
        <w:rPr>
          <w:rFonts w:hint="eastAsia" w:ascii="宋体" w:hAnsi="宋体" w:eastAsia="宋体" w:cs="宋体"/>
          <w:iCs/>
          <w:color w:val="auto"/>
          <w:kern w:val="2"/>
          <w:sz w:val="24"/>
          <w:szCs w:val="24"/>
          <w:highlight w:val="none"/>
          <w:shd w:val="clear" w:color="auto" w:fill="FFFFFF" w:themeFill="background1"/>
          <w:lang w:val="zh-CN" w:eastAsia="zh-CN" w:bidi="ar-SA"/>
        </w:rPr>
        <w:t>书面同意并且须遵守相关法律、法规、本次招标的全部相关规定。</w:t>
      </w:r>
    </w:p>
    <w:p w14:paraId="7D2803AB">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4.2</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8</w:t>
      </w:r>
      <w:r>
        <w:rPr>
          <w:rFonts w:hint="eastAsia" w:ascii="宋体" w:hAnsi="宋体" w:eastAsia="宋体" w:cs="宋体"/>
          <w:iCs/>
          <w:color w:val="auto"/>
          <w:kern w:val="2"/>
          <w:sz w:val="24"/>
          <w:szCs w:val="24"/>
          <w:highlight w:val="none"/>
          <w:shd w:val="clear" w:color="auto" w:fill="FFFFFF" w:themeFill="background1"/>
          <w:lang w:val="zh-CN" w:eastAsia="zh-CN" w:bidi="ar-SA"/>
        </w:rPr>
        <w:t>对联合体投标的其他资格要求见</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第一章 招标公告</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中的“二、</w:t>
      </w:r>
      <w:r>
        <w:rPr>
          <w:rFonts w:hint="eastAsia" w:ascii="宋体" w:hAnsi="宋体" w:eastAsia="宋体" w:cs="宋体"/>
          <w:iCs/>
          <w:color w:val="auto"/>
          <w:kern w:val="2"/>
          <w:sz w:val="24"/>
          <w:szCs w:val="24"/>
          <w:highlight w:val="none"/>
          <w:shd w:val="clear" w:color="auto" w:fill="FFFFFF" w:themeFill="background1"/>
          <w:lang w:val="en-US" w:eastAsia="zh-CN" w:bidi="ar-SA"/>
        </w:rPr>
        <w:t>申请人的</w:t>
      </w:r>
      <w:r>
        <w:rPr>
          <w:rFonts w:hint="eastAsia" w:ascii="宋体" w:hAnsi="宋体" w:eastAsia="宋体" w:cs="宋体"/>
          <w:iCs/>
          <w:color w:val="auto"/>
          <w:kern w:val="2"/>
          <w:sz w:val="24"/>
          <w:szCs w:val="24"/>
          <w:highlight w:val="none"/>
          <w:shd w:val="clear" w:color="auto" w:fill="FFFFFF" w:themeFill="background1"/>
          <w:lang w:val="zh-CN" w:eastAsia="zh-CN" w:bidi="ar-SA"/>
        </w:rPr>
        <w:t>资格</w:t>
      </w:r>
      <w:r>
        <w:rPr>
          <w:rFonts w:hint="eastAsia" w:ascii="宋体" w:hAnsi="宋体" w:eastAsia="宋体" w:cs="宋体"/>
          <w:iCs/>
          <w:color w:val="auto"/>
          <w:kern w:val="2"/>
          <w:sz w:val="24"/>
          <w:szCs w:val="24"/>
          <w:highlight w:val="none"/>
          <w:shd w:val="clear" w:color="auto" w:fill="FFFFFF" w:themeFill="background1"/>
          <w:lang w:val="en-US" w:eastAsia="zh-CN" w:bidi="ar-SA"/>
        </w:rPr>
        <w:t>要求”</w:t>
      </w:r>
      <w:r>
        <w:rPr>
          <w:rFonts w:hint="eastAsia" w:ascii="宋体" w:hAnsi="宋体" w:eastAsia="宋体" w:cs="宋体"/>
          <w:iCs/>
          <w:color w:val="auto"/>
          <w:kern w:val="2"/>
          <w:sz w:val="24"/>
          <w:szCs w:val="24"/>
          <w:highlight w:val="none"/>
          <w:shd w:val="clear" w:color="auto" w:fill="FFFFFF" w:themeFill="background1"/>
          <w:lang w:val="zh-CN" w:eastAsia="zh-CN" w:bidi="ar-SA"/>
        </w:rPr>
        <w:t>。</w:t>
      </w:r>
    </w:p>
    <w:p w14:paraId="4DE6446D">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39" w:name="_Toc163492827"/>
      <w:bookmarkStart w:id="140" w:name="_Toc18281"/>
      <w:r>
        <w:rPr>
          <w:rFonts w:hint="eastAsia" w:ascii="宋体" w:hAnsi="宋体" w:eastAsia="宋体" w:cs="宋体"/>
          <w:b/>
          <w:bCs/>
          <w:color w:val="auto"/>
          <w:kern w:val="2"/>
          <w:sz w:val="24"/>
          <w:szCs w:val="24"/>
          <w:highlight w:val="none"/>
          <w:lang w:val="en-US" w:eastAsia="zh-CN" w:bidi="ar-SA"/>
        </w:rPr>
        <w:t>5.费用承担</w:t>
      </w:r>
      <w:bookmarkEnd w:id="139"/>
      <w:bookmarkEnd w:id="140"/>
    </w:p>
    <w:p w14:paraId="3C6741ED">
      <w:pPr>
        <w:pStyle w:val="36"/>
        <w:keepNext w:val="0"/>
        <w:keepLines w:val="0"/>
        <w:pageBreakBefore w:val="0"/>
        <w:widowControl w:val="0"/>
        <w:kinsoku/>
        <w:overflowPunct/>
        <w:topLinePunct w:val="0"/>
        <w:autoSpaceDE/>
        <w:autoSpaceDN/>
        <w:bidi w:val="0"/>
        <w:adjustRightInd/>
        <w:snapToGri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w:t>
      </w:r>
      <w:r>
        <w:rPr>
          <w:rFonts w:hint="eastAsia" w:ascii="宋体" w:hAnsi="宋体" w:eastAsia="宋体" w:cs="宋体"/>
          <w:color w:val="auto"/>
          <w:sz w:val="24"/>
          <w:szCs w:val="24"/>
          <w:highlight w:val="none"/>
          <w:lang w:val="en-US" w:eastAsia="zh-CN"/>
        </w:rPr>
        <w:t>不论投标的结果如何，投标人应承担所有与准备和参加投标有关的费用。</w:t>
      </w:r>
    </w:p>
    <w:p w14:paraId="0CE9ACA3">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41" w:name="_Toc4542"/>
      <w:bookmarkStart w:id="142" w:name="_Toc163492828"/>
      <w:bookmarkStart w:id="143" w:name="_Toc140132761"/>
      <w:r>
        <w:rPr>
          <w:rFonts w:hint="eastAsia" w:ascii="宋体" w:hAnsi="宋体" w:eastAsia="宋体" w:cs="宋体"/>
          <w:b/>
          <w:bCs/>
          <w:color w:val="auto"/>
          <w:kern w:val="2"/>
          <w:sz w:val="24"/>
          <w:szCs w:val="24"/>
          <w:highlight w:val="none"/>
          <w:lang w:val="en-US" w:eastAsia="zh-CN" w:bidi="ar-SA"/>
        </w:rPr>
        <w:t>6.保密</w:t>
      </w:r>
      <w:bookmarkEnd w:id="141"/>
      <w:bookmarkEnd w:id="142"/>
      <w:bookmarkEnd w:id="143"/>
    </w:p>
    <w:p w14:paraId="7CBA93F7">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参与招标投标活动的各方应对招标文件和投标文件中的商业和技术等秘密保密，否则应承担相应的法律责任。</w:t>
      </w:r>
    </w:p>
    <w:p w14:paraId="2947ABFF">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 xml:space="preserve">2 </w:t>
      </w:r>
      <w:r>
        <w:rPr>
          <w:rFonts w:hint="eastAsia" w:ascii="宋体" w:hAnsi="宋体" w:eastAsia="宋体" w:cs="宋体"/>
          <w:color w:val="auto"/>
          <w:kern w:val="2"/>
          <w:sz w:val="24"/>
          <w:szCs w:val="24"/>
          <w:highlight w:val="none"/>
        </w:rPr>
        <w:t>投标人自领取招标文件之日起，须承担本招标项目保密义务，不得将因本次招标获得的信息向第三人外传。由采购人向投标人提供的图纸、详细资料、样品、模型、模件和所有其它资料，被视为保密资料，仅被用于它所规定的用途。除非得到采购人的同意，不能向任何第三方透露。开标结束后，应采购人要求，投标人应归还所有从采购人处获得的保密资料。</w:t>
      </w:r>
    </w:p>
    <w:p w14:paraId="38BD9605">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 xml:space="preserve">3 </w:t>
      </w:r>
      <w:r>
        <w:rPr>
          <w:rFonts w:hint="eastAsia" w:ascii="宋体" w:hAnsi="宋体" w:eastAsia="宋体" w:cs="宋体"/>
          <w:color w:val="auto"/>
          <w:kern w:val="2"/>
          <w:sz w:val="24"/>
          <w:szCs w:val="24"/>
          <w:highlight w:val="none"/>
        </w:rPr>
        <w:t>采购代理机构有权将投标人提供的所有资料向有关政府部门或评审</w:t>
      </w:r>
      <w:r>
        <w:rPr>
          <w:rFonts w:hint="eastAsia" w:ascii="宋体" w:hAnsi="宋体" w:eastAsia="宋体" w:cs="宋体"/>
          <w:color w:val="auto"/>
          <w:kern w:val="2"/>
          <w:sz w:val="24"/>
          <w:szCs w:val="24"/>
          <w:highlight w:val="none"/>
          <w:lang w:val="en-US" w:eastAsia="zh-CN"/>
        </w:rPr>
        <w:t>投标文件</w:t>
      </w:r>
      <w:r>
        <w:rPr>
          <w:rFonts w:hint="eastAsia" w:ascii="宋体" w:hAnsi="宋体" w:eastAsia="宋体" w:cs="宋体"/>
          <w:color w:val="auto"/>
          <w:kern w:val="2"/>
          <w:sz w:val="24"/>
          <w:szCs w:val="24"/>
          <w:highlight w:val="none"/>
        </w:rPr>
        <w:t>的有关人员披露。</w:t>
      </w:r>
    </w:p>
    <w:p w14:paraId="0EE6357E">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4 各级人民政府财政部门对政府采购活动进行监督检查，有权查阅、复制有关文件、资料，相关单位和人员应当予以配合</w:t>
      </w:r>
      <w:r>
        <w:rPr>
          <w:rFonts w:hint="eastAsia" w:ascii="宋体" w:hAnsi="宋体" w:eastAsia="宋体" w:cs="宋体"/>
          <w:color w:val="auto"/>
          <w:kern w:val="2"/>
          <w:sz w:val="24"/>
          <w:szCs w:val="24"/>
          <w:highlight w:val="none"/>
        </w:rPr>
        <w:t>。</w:t>
      </w:r>
    </w:p>
    <w:p w14:paraId="284B114B">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44" w:name="_Toc140132762"/>
      <w:bookmarkStart w:id="145" w:name="_Toc163492829"/>
      <w:bookmarkStart w:id="146" w:name="_Toc9160"/>
      <w:r>
        <w:rPr>
          <w:rFonts w:hint="eastAsia" w:ascii="宋体" w:hAnsi="宋体" w:eastAsia="宋体" w:cs="宋体"/>
          <w:b/>
          <w:bCs/>
          <w:color w:val="auto"/>
          <w:kern w:val="2"/>
          <w:sz w:val="24"/>
          <w:szCs w:val="24"/>
          <w:highlight w:val="none"/>
          <w:lang w:val="en-US" w:eastAsia="zh-CN" w:bidi="ar-SA"/>
        </w:rPr>
        <w:t>7.语言文字</w:t>
      </w:r>
      <w:bookmarkEnd w:id="144"/>
      <w:bookmarkEnd w:id="145"/>
      <w:bookmarkEnd w:id="146"/>
    </w:p>
    <w:p w14:paraId="25140936">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7.1招标投标</w:t>
      </w:r>
      <w:r>
        <w:rPr>
          <w:rFonts w:hint="eastAsia" w:ascii="宋体" w:hAnsi="宋体" w:eastAsia="宋体" w:cs="宋体"/>
          <w:color w:val="auto"/>
          <w:sz w:val="24"/>
          <w:szCs w:val="24"/>
          <w:highlight w:val="none"/>
          <w:lang w:val="en-US" w:eastAsia="zh-CN"/>
        </w:rPr>
        <w:t>过程</w:t>
      </w:r>
      <w:r>
        <w:rPr>
          <w:rFonts w:hint="eastAsia" w:ascii="宋体" w:hAnsi="宋体" w:eastAsia="宋体" w:cs="宋体"/>
          <w:color w:val="auto"/>
          <w:sz w:val="24"/>
          <w:szCs w:val="24"/>
          <w:highlight w:val="none"/>
        </w:rPr>
        <w:t>文件使用的语言文字为中文。专用术语使用外文的，应附有中文注释。</w:t>
      </w:r>
      <w:r>
        <w:rPr>
          <w:rFonts w:hint="eastAsia" w:ascii="宋体" w:hAnsi="宋体" w:eastAsia="宋体" w:cs="宋体"/>
          <w:color w:val="auto"/>
          <w:sz w:val="24"/>
          <w:szCs w:val="24"/>
          <w:highlight w:val="none"/>
          <w:lang w:val="en-US" w:eastAsia="zh-CN"/>
        </w:rPr>
        <w:t>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F336166">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47" w:name="_Toc15679"/>
      <w:bookmarkStart w:id="148" w:name="_Toc163492830"/>
      <w:bookmarkStart w:id="149" w:name="_Toc140132763"/>
      <w:r>
        <w:rPr>
          <w:rFonts w:hint="eastAsia" w:ascii="宋体" w:hAnsi="宋体" w:eastAsia="宋体" w:cs="宋体"/>
          <w:b/>
          <w:bCs/>
          <w:color w:val="auto"/>
          <w:kern w:val="2"/>
          <w:sz w:val="24"/>
          <w:szCs w:val="24"/>
          <w:highlight w:val="none"/>
          <w:lang w:val="en-US" w:eastAsia="zh-CN" w:bidi="ar-SA"/>
        </w:rPr>
        <w:t>8.计量单位</w:t>
      </w:r>
      <w:bookmarkEnd w:id="147"/>
      <w:bookmarkEnd w:id="148"/>
      <w:bookmarkEnd w:id="149"/>
    </w:p>
    <w:p w14:paraId="45A7AE57">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8.1所有计量均采用中华人民共和国法定计量单位。</w:t>
      </w:r>
    </w:p>
    <w:p w14:paraId="099F3EF6">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50" w:name="_Toc23050"/>
      <w:bookmarkStart w:id="151" w:name="_Toc140132764"/>
      <w:bookmarkStart w:id="152" w:name="_Toc163492831"/>
      <w:r>
        <w:rPr>
          <w:rFonts w:hint="eastAsia" w:ascii="宋体" w:hAnsi="宋体" w:eastAsia="宋体" w:cs="宋体"/>
          <w:b/>
          <w:bCs/>
          <w:color w:val="auto"/>
          <w:kern w:val="2"/>
          <w:sz w:val="24"/>
          <w:szCs w:val="24"/>
          <w:highlight w:val="none"/>
          <w:lang w:val="en-US" w:eastAsia="zh-CN" w:bidi="ar-SA"/>
        </w:rPr>
        <w:t>9.现场考察和答疑会</w:t>
      </w:r>
      <w:bookmarkEnd w:id="150"/>
      <w:bookmarkEnd w:id="151"/>
      <w:bookmarkEnd w:id="152"/>
    </w:p>
    <w:p w14:paraId="5A8B8C45">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bookmarkStart w:id="153" w:name="_Hlk143529198"/>
      <w:r>
        <w:rPr>
          <w:rFonts w:hint="eastAsia" w:ascii="宋体" w:hAnsi="宋体" w:eastAsia="宋体" w:cs="宋体"/>
          <w:color w:val="auto"/>
          <w:sz w:val="24"/>
          <w:szCs w:val="24"/>
          <w:highlight w:val="none"/>
        </w:rPr>
        <w:t xml:space="preserve">9.1 “投标人须知前附表”规定组织现场考察的，采购代理机构按“投标人须知前附表”规定的时间、地点组织投标人项目现场考察。 </w:t>
      </w:r>
    </w:p>
    <w:p w14:paraId="5F8A235F">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投标人现场考察发生的费用自理。</w:t>
      </w:r>
    </w:p>
    <w:p w14:paraId="199A48B2">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 在现场考察中，因投标人自身原因发生的人员伤亡和财产损失，由投标人自行负责。</w:t>
      </w:r>
    </w:p>
    <w:p w14:paraId="6F1F6A2D">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 采购人在现场考察中介绍的项目场地和相关的周边环境情况，仅供投标人在编制投标文件时参考，采购人和采购代理机构不对投标人据此作出的判断和决策负责。</w:t>
      </w:r>
    </w:p>
    <w:p w14:paraId="0E249AE3">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 “投标人须知前附表”规定召开答疑会的，采购代理机构按“投标人须知前附表”规定的时间和地点召开答疑会，澄清投标人提出的问题。</w:t>
      </w:r>
    </w:p>
    <w:p w14:paraId="00943847">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9.6 由于未参加现场考察或未参加标前答疑会而导致对项目实际情况不了解，影响投标文件编制、投标报价准确性、综合因素响应不全面等问题的，由投标人自行承担不利评审后果。</w:t>
      </w:r>
    </w:p>
    <w:bookmarkEnd w:id="153"/>
    <w:p w14:paraId="015C1ED3">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54" w:name="_Toc72"/>
      <w:bookmarkStart w:id="155" w:name="_Toc155185858"/>
      <w:bookmarkStart w:id="156" w:name="_Toc163492833"/>
      <w:bookmarkStart w:id="157" w:name="_Toc155185871"/>
      <w:r>
        <w:rPr>
          <w:rFonts w:hint="eastAsia" w:ascii="宋体" w:hAnsi="宋体" w:eastAsia="宋体" w:cs="宋体"/>
          <w:b/>
          <w:bCs/>
          <w:color w:val="auto"/>
          <w:kern w:val="2"/>
          <w:sz w:val="24"/>
          <w:szCs w:val="24"/>
          <w:highlight w:val="none"/>
          <w:lang w:val="en-US" w:eastAsia="zh-CN" w:bidi="ar-SA"/>
        </w:rPr>
        <w:t>10.电子投标说明</w:t>
      </w:r>
      <w:bookmarkEnd w:id="154"/>
      <w:bookmarkEnd w:id="155"/>
      <w:bookmarkEnd w:id="156"/>
      <w:r>
        <w:rPr>
          <w:rFonts w:hint="eastAsia" w:ascii="宋体" w:hAnsi="宋体" w:eastAsia="宋体" w:cs="宋体"/>
          <w:b/>
          <w:bCs/>
          <w:color w:val="auto"/>
          <w:kern w:val="2"/>
          <w:sz w:val="24"/>
          <w:szCs w:val="24"/>
          <w:highlight w:val="none"/>
          <w:lang w:val="en-US" w:eastAsia="zh-CN" w:bidi="ar-SA"/>
        </w:rPr>
        <w:t xml:space="preserve">   </w:t>
      </w:r>
    </w:p>
    <w:p w14:paraId="1885013F">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 </w:t>
      </w:r>
      <w:r>
        <w:rPr>
          <w:rFonts w:hint="eastAsia" w:ascii="宋体" w:hAnsi="宋体" w:eastAsia="宋体" w:cs="宋体"/>
          <w:color w:val="auto"/>
          <w:sz w:val="24"/>
          <w:szCs w:val="24"/>
          <w:highlight w:val="none"/>
        </w:rPr>
        <w:t>本次采购采用电子交易方式，电子交易平台为</w:t>
      </w:r>
      <w:r>
        <w:rPr>
          <w:rFonts w:hint="eastAsia" w:ascii="宋体" w:hAnsi="宋体" w:eastAsia="宋体" w:cs="宋体"/>
          <w:color w:val="auto"/>
          <w:sz w:val="24"/>
          <w:szCs w:val="24"/>
          <w:highlight w:val="none"/>
          <w:lang w:val="en-US"/>
        </w:rPr>
        <w:t>兵团</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val="en-US"/>
        </w:rPr>
        <w:t>电子交易云</w:t>
      </w:r>
      <w:r>
        <w:rPr>
          <w:rFonts w:hint="eastAsia" w:ascii="宋体" w:hAnsi="宋体" w:eastAsia="宋体" w:cs="宋体"/>
          <w:color w:val="auto"/>
          <w:sz w:val="24"/>
          <w:szCs w:val="24"/>
          <w:highlight w:val="none"/>
        </w:rPr>
        <w:t>平台</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rPr>
        <w:t>网址</w:t>
      </w:r>
      <w:r>
        <w:rPr>
          <w:rFonts w:hint="eastAsia" w:ascii="宋体" w:hAnsi="宋体" w:eastAsia="宋体" w:cs="宋体"/>
          <w:color w:val="auto"/>
          <w:sz w:val="24"/>
          <w:szCs w:val="24"/>
          <w:highlight w:val="none"/>
          <w:lang w:val="hr-HR"/>
        </w:rPr>
        <w:t>：https://www.zcygov.cn/）</w:t>
      </w:r>
      <w:r>
        <w:rPr>
          <w:rFonts w:hint="eastAsia" w:ascii="宋体" w:hAnsi="宋体" w:eastAsia="宋体" w:cs="宋体"/>
          <w:color w:val="auto"/>
          <w:sz w:val="24"/>
          <w:szCs w:val="24"/>
          <w:highlight w:val="none"/>
        </w:rPr>
        <w:t>。投标人参与本项目电子交易活动前，应</w:t>
      </w:r>
      <w:r>
        <w:rPr>
          <w:rFonts w:hint="eastAsia" w:ascii="宋体" w:hAnsi="宋体" w:eastAsia="宋体" w:cs="宋体"/>
          <w:color w:val="auto"/>
          <w:sz w:val="24"/>
          <w:szCs w:val="24"/>
          <w:highlight w:val="none"/>
          <w:lang w:val="en-US" w:eastAsia="zh-CN"/>
        </w:rPr>
        <w:t>在</w:t>
      </w:r>
      <w:r>
        <w:rPr>
          <w:rFonts w:hint="eastAsia" w:ascii="宋体" w:hAnsi="宋体" w:eastAsia="宋体" w:cs="宋体"/>
          <w:color w:val="auto"/>
          <w:sz w:val="24"/>
          <w:szCs w:val="24"/>
          <w:highlight w:val="none"/>
        </w:rPr>
        <w:t>政</w:t>
      </w:r>
      <w:r>
        <w:rPr>
          <w:rFonts w:hint="eastAsia" w:ascii="宋体" w:hAnsi="宋体" w:eastAsia="宋体" w:cs="宋体"/>
          <w:color w:val="auto"/>
          <w:sz w:val="24"/>
          <w:szCs w:val="24"/>
          <w:highlight w:val="none"/>
          <w:lang w:val="en-US" w:eastAsia="zh-CN"/>
        </w:rPr>
        <w:t>采</w:t>
      </w:r>
      <w:r>
        <w:rPr>
          <w:rFonts w:hint="eastAsia" w:ascii="宋体" w:hAnsi="宋体" w:eastAsia="宋体" w:cs="宋体"/>
          <w:color w:val="auto"/>
          <w:sz w:val="24"/>
          <w:szCs w:val="24"/>
          <w:highlight w:val="none"/>
          <w:lang w:val="en-US"/>
        </w:rPr>
        <w:t>云</w:t>
      </w:r>
      <w:r>
        <w:rPr>
          <w:rFonts w:hint="eastAsia" w:ascii="宋体" w:hAnsi="宋体" w:eastAsia="宋体" w:cs="宋体"/>
          <w:color w:val="auto"/>
          <w:sz w:val="24"/>
          <w:szCs w:val="24"/>
          <w:highlight w:val="none"/>
        </w:rPr>
        <w:t>平台</w:t>
      </w:r>
      <w:r>
        <w:rPr>
          <w:rFonts w:hint="eastAsia" w:ascii="宋体" w:hAnsi="宋体" w:eastAsia="宋体" w:cs="宋体"/>
          <w:color w:val="auto"/>
          <w:sz w:val="24"/>
          <w:szCs w:val="24"/>
          <w:highlight w:val="none"/>
          <w:lang w:val="en-US" w:eastAsia="zh-CN"/>
        </w:rPr>
        <w:t>上</w:t>
      </w:r>
      <w:r>
        <w:rPr>
          <w:rFonts w:hint="eastAsia" w:ascii="宋体" w:hAnsi="宋体" w:eastAsia="宋体" w:cs="宋体"/>
          <w:color w:val="auto"/>
          <w:sz w:val="24"/>
          <w:szCs w:val="24"/>
          <w:highlight w:val="none"/>
        </w:rPr>
        <w:t>注册</w:t>
      </w:r>
      <w:r>
        <w:rPr>
          <w:rFonts w:hint="eastAsia" w:ascii="宋体" w:hAnsi="宋体" w:eastAsia="宋体" w:cs="宋体"/>
          <w:color w:val="auto"/>
          <w:sz w:val="24"/>
          <w:szCs w:val="24"/>
          <w:highlight w:val="none"/>
          <w:lang w:val="en-US" w:eastAsia="zh-CN"/>
        </w:rPr>
        <w:t>供应商账号</w:t>
      </w:r>
      <w:r>
        <w:rPr>
          <w:rFonts w:hint="eastAsia" w:ascii="宋体" w:hAnsi="宋体" w:eastAsia="宋体" w:cs="宋体"/>
          <w:color w:val="auto"/>
          <w:sz w:val="24"/>
          <w:szCs w:val="24"/>
          <w:highlight w:val="none"/>
        </w:rPr>
        <w:t>。编制电子</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文件前还需</w:t>
      </w:r>
      <w:r>
        <w:rPr>
          <w:rFonts w:hint="eastAsia" w:ascii="宋体" w:hAnsi="宋体" w:eastAsia="宋体" w:cs="宋体"/>
          <w:color w:val="auto"/>
          <w:sz w:val="24"/>
          <w:szCs w:val="24"/>
          <w:highlight w:val="none"/>
          <w:lang w:val="en-US" w:eastAsia="zh-CN"/>
        </w:rPr>
        <w:t>申领CA证书并绑定帐号。投标人应充分考虑完成平台注册、申领CA证书等所需的时间。</w:t>
      </w:r>
      <w:r>
        <w:rPr>
          <w:rFonts w:hint="eastAsia" w:ascii="宋体" w:hAnsi="宋体" w:eastAsia="宋体" w:cs="宋体"/>
          <w:color w:val="auto"/>
          <w:sz w:val="24"/>
          <w:szCs w:val="24"/>
          <w:highlight w:val="none"/>
          <w:lang w:val="zh-CN" w:eastAsia="zh-CN"/>
        </w:rPr>
        <w:t>潜在投标人领取文件须提前完成注册、CA证书和电子签章申领和绑定、下载</w:t>
      </w:r>
      <w:r>
        <w:rPr>
          <w:rFonts w:hint="eastAsia" w:cs="宋体"/>
          <w:color w:val="auto"/>
          <w:sz w:val="24"/>
          <w:szCs w:val="24"/>
          <w:highlight w:val="none"/>
          <w:lang w:val="zh-CN" w:eastAsia="zh-CN"/>
        </w:rPr>
        <w:t>“</w:t>
      </w:r>
      <w:r>
        <w:rPr>
          <w:rFonts w:hint="eastAsia" w:ascii="宋体" w:hAnsi="宋体" w:eastAsia="宋体" w:cs="宋体"/>
          <w:color w:val="auto"/>
          <w:sz w:val="24"/>
          <w:szCs w:val="24"/>
          <w:highlight w:val="none"/>
          <w:lang w:val="zh-CN" w:eastAsia="zh-CN"/>
        </w:rPr>
        <w:t>投标客户端</w:t>
      </w:r>
      <w:r>
        <w:rPr>
          <w:rFonts w:hint="eastAsia" w:cs="宋体"/>
          <w:color w:val="auto"/>
          <w:sz w:val="24"/>
          <w:szCs w:val="24"/>
          <w:highlight w:val="none"/>
          <w:lang w:val="zh-CN" w:eastAsia="zh-CN"/>
        </w:rPr>
        <w:t>”</w:t>
      </w:r>
      <w:r>
        <w:rPr>
          <w:rFonts w:hint="eastAsia" w:ascii="宋体" w:hAnsi="宋体" w:eastAsia="宋体" w:cs="宋体"/>
          <w:color w:val="auto"/>
          <w:sz w:val="24"/>
          <w:szCs w:val="24"/>
          <w:highlight w:val="none"/>
          <w:lang w:val="zh-CN" w:eastAsia="zh-CN"/>
        </w:rPr>
        <w:t>。因未办理CA数字证书、CA证书故障、操作不当等原因造成无法投标或投标失败等后果由投标人自行承担。</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lang w:val="zh-CN" w:eastAsia="zh-CN"/>
        </w:rPr>
        <w:t>登录兵团政府采购网“供应商注册”—“新疆生产建设兵团政府采购供应商入驻登记”—“立即登记”进行自助注册绑定。</w:t>
      </w:r>
    </w:p>
    <w:p w14:paraId="091665A0">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投标人将</w:t>
      </w:r>
      <w:r>
        <w:rPr>
          <w:rFonts w:hint="eastAsia" w:ascii="宋体" w:hAnsi="宋体" w:eastAsia="宋体" w:cs="宋体"/>
          <w:color w:val="auto"/>
          <w:sz w:val="24"/>
          <w:szCs w:val="24"/>
          <w:highlight w:val="none"/>
          <w:lang w:val="en-US"/>
        </w:rPr>
        <w:t>兵团</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val="en-US"/>
        </w:rPr>
        <w:t>电子交易云</w:t>
      </w:r>
      <w:r>
        <w:rPr>
          <w:rFonts w:hint="eastAsia" w:ascii="宋体" w:hAnsi="宋体" w:eastAsia="宋体" w:cs="宋体"/>
          <w:color w:val="auto"/>
          <w:sz w:val="24"/>
          <w:szCs w:val="24"/>
          <w:highlight w:val="none"/>
        </w:rPr>
        <w:t>平台电子交易客户端下载、安装完成后，可通过账号密码或CA登录客户端进行</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制作。在使用政采云</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投标客户端</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时，建议使用WIN7及以上操作系统。</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登录兵团政府采购网“下载专区”—“电子招投标客户端下载”下载相关客户端，如有问题可拨打政采云客户服务热线95763进行咨询。</w:t>
      </w:r>
    </w:p>
    <w:p w14:paraId="1A54E8FA">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加密的电子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应在</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递交截止时间前通过政采云平台上传完成。逾期上传或者未上传指定地点的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，不予受理。</w:t>
      </w:r>
    </w:p>
    <w:p w14:paraId="02317D05">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投标人在开标前须提前配置好电脑</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浏览器，开标时请使用制作加密电子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的CA锁进行解密及报价确认。本项目</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解密时间</w:t>
      </w:r>
      <w:r>
        <w:rPr>
          <w:rFonts w:hint="eastAsia" w:ascii="宋体" w:hAnsi="宋体" w:eastAsia="宋体" w:cs="宋体"/>
          <w:color w:val="auto"/>
          <w:sz w:val="24"/>
          <w:szCs w:val="24"/>
          <w:highlight w:val="none"/>
          <w:lang w:val="en-US" w:eastAsia="zh-CN"/>
        </w:rPr>
        <w:t>详见“投标人须知前附表”</w:t>
      </w:r>
      <w:r>
        <w:rPr>
          <w:rFonts w:hint="eastAsia" w:ascii="宋体" w:hAnsi="宋体" w:eastAsia="宋体" w:cs="宋体"/>
          <w:color w:val="auto"/>
          <w:sz w:val="24"/>
          <w:szCs w:val="24"/>
          <w:highlight w:val="none"/>
        </w:rPr>
        <w:t>，如因自身原因导致无法正常解密，后果由投标人自行承担。</w:t>
      </w:r>
    </w:p>
    <w:p w14:paraId="6EDA7167">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如遇“</w:t>
      </w:r>
      <w:r>
        <w:rPr>
          <w:rFonts w:hint="eastAsia" w:ascii="宋体" w:hAnsi="宋体" w:eastAsia="宋体" w:cs="宋体"/>
          <w:color w:val="auto"/>
          <w:sz w:val="24"/>
          <w:szCs w:val="24"/>
          <w:highlight w:val="none"/>
          <w:lang w:val="en-US"/>
        </w:rPr>
        <w:t>兵团</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val="en-US"/>
        </w:rPr>
        <w:t>电子交易云</w:t>
      </w:r>
      <w:r>
        <w:rPr>
          <w:rFonts w:hint="eastAsia" w:ascii="宋体" w:hAnsi="宋体" w:eastAsia="宋体" w:cs="宋体"/>
          <w:color w:val="auto"/>
          <w:sz w:val="24"/>
          <w:szCs w:val="24"/>
          <w:highlight w:val="none"/>
        </w:rPr>
        <w:t>平台</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rPr>
        <w:t>网址</w:t>
      </w:r>
      <w:r>
        <w:rPr>
          <w:rFonts w:hint="eastAsia" w:ascii="宋体" w:hAnsi="宋体" w:eastAsia="宋体" w:cs="宋体"/>
          <w:color w:val="auto"/>
          <w:sz w:val="24"/>
          <w:szCs w:val="24"/>
          <w:highlight w:val="none"/>
          <w:lang w:val="hr-HR"/>
        </w:rPr>
        <w:t>：https://www.zcygov.cn/）</w:t>
      </w:r>
      <w:r>
        <w:rPr>
          <w:rFonts w:hint="eastAsia" w:ascii="宋体" w:hAnsi="宋体" w:eastAsia="宋体" w:cs="宋体"/>
          <w:color w:val="auto"/>
          <w:sz w:val="24"/>
          <w:szCs w:val="24"/>
          <w:highlight w:val="none"/>
        </w:rPr>
        <w:t>”电子交易规则调整，以最新要求为准。</w:t>
      </w:r>
    </w:p>
    <w:p w14:paraId="733157BB">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10.6 电子交易系统咨询：投标人应当充分考虑到电子投标可能会发生的各种问题和风险，特别是投标文件签署、提交等问题，可按照“第一章 招标公告”的联系方式咨询相关人员。</w:t>
      </w:r>
    </w:p>
    <w:p w14:paraId="06DEE05F">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10.7 由于本项目采用电子招标方式，潜在投标人的名单将在提交投标文件截止时间后才会解密。因此，采购人或采购代理机构无法通过传统的传真或邮件方式，将招标文件的澄清或修改内容逐一通知到每位已获取招标文件的潜在投标人。为确保信息的及时性和准确性，澄清或修改的内容将仅在政采云平台以更正公告的形式发布。潜在投标人需密切关注该网站，及时查看并下载相关更正公告。若因潜在投标人未能及时查看或下载相关更正公告，而导致的一切后果，将由潜在投标人自行承担。</w:t>
      </w:r>
    </w:p>
    <w:p w14:paraId="7A306C00">
      <w:pPr>
        <w:pStyle w:val="4"/>
        <w:keepNext w:val="0"/>
        <w:keepLines w:val="0"/>
        <w:pageBreakBefore w:val="0"/>
        <w:widowControl w:val="0"/>
        <w:numPr>
          <w:ilvl w:val="0"/>
          <w:numId w:val="0"/>
        </w:numPr>
        <w:kinsoku/>
        <w:wordWrap/>
        <w:overflowPunct/>
        <w:topLinePunct w:val="0"/>
        <w:autoSpaceDE/>
        <w:autoSpaceDN/>
        <w:bidi w:val="0"/>
        <w:adjustRightInd/>
        <w:snapToGrid/>
        <w:spacing w:before="120" w:after="12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58" w:name="_Toc12064"/>
      <w:bookmarkStart w:id="159" w:name="_Toc163492834"/>
      <w:r>
        <w:rPr>
          <w:rFonts w:hint="eastAsia" w:ascii="宋体" w:hAnsi="宋体" w:eastAsia="宋体" w:cs="宋体"/>
          <w:b/>
          <w:bCs/>
          <w:color w:val="auto"/>
          <w:kern w:val="2"/>
          <w:sz w:val="24"/>
          <w:szCs w:val="24"/>
          <w:highlight w:val="none"/>
          <w:lang w:val="en-US" w:eastAsia="zh-CN" w:bidi="ar-SA"/>
        </w:rPr>
        <w:t>（二）招标文件</w:t>
      </w:r>
      <w:bookmarkEnd w:id="157"/>
      <w:bookmarkEnd w:id="158"/>
      <w:bookmarkEnd w:id="159"/>
    </w:p>
    <w:p w14:paraId="08A2C6A4">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60" w:name="_Toc140132768"/>
      <w:bookmarkStart w:id="161" w:name="_Toc163492835"/>
      <w:bookmarkStart w:id="162" w:name="_Toc14223"/>
      <w:r>
        <w:rPr>
          <w:rFonts w:hint="eastAsia" w:ascii="宋体" w:hAnsi="宋体" w:eastAsia="宋体" w:cs="宋体"/>
          <w:b/>
          <w:bCs/>
          <w:color w:val="auto"/>
          <w:kern w:val="2"/>
          <w:sz w:val="24"/>
          <w:szCs w:val="24"/>
          <w:highlight w:val="none"/>
          <w:lang w:val="en-US" w:eastAsia="zh-CN" w:bidi="ar-SA"/>
        </w:rPr>
        <w:t>11.招标文件的组成</w:t>
      </w:r>
      <w:bookmarkEnd w:id="160"/>
      <w:bookmarkEnd w:id="161"/>
      <w:bookmarkEnd w:id="162"/>
    </w:p>
    <w:p w14:paraId="0FCCC628">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.1本招标文件包括下列文件及根据本章第9款、第1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款对招标文件所作的澄清或者修改。</w:t>
      </w:r>
    </w:p>
    <w:p w14:paraId="5876B8A3">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val="en-US" w:eastAsia="zh-CN"/>
        </w:rPr>
        <w:t>招标公告</w:t>
      </w:r>
    </w:p>
    <w:p w14:paraId="626801D6">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第二章 投标人须知</w:t>
      </w:r>
    </w:p>
    <w:p w14:paraId="5E339F13">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第三章 采购需求</w:t>
      </w:r>
    </w:p>
    <w:p w14:paraId="750A6D4C">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第四章 资格审查</w:t>
      </w:r>
    </w:p>
    <w:p w14:paraId="08BF9358">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第五章 评标</w:t>
      </w:r>
      <w:r>
        <w:rPr>
          <w:rFonts w:hint="eastAsia" w:ascii="宋体" w:hAnsi="宋体" w:eastAsia="宋体" w:cs="宋体"/>
          <w:color w:val="auto"/>
          <w:sz w:val="24"/>
          <w:szCs w:val="24"/>
          <w:highlight w:val="none"/>
          <w:lang w:val="en-US" w:eastAsia="zh-CN"/>
        </w:rPr>
        <w:t>方</w:t>
      </w:r>
      <w:r>
        <w:rPr>
          <w:rFonts w:hint="eastAsia" w:ascii="宋体" w:hAnsi="宋体" w:eastAsia="宋体" w:cs="宋体"/>
          <w:color w:val="auto"/>
          <w:sz w:val="24"/>
          <w:szCs w:val="24"/>
          <w:highlight w:val="none"/>
        </w:rPr>
        <w:t>法及标准</w:t>
      </w:r>
    </w:p>
    <w:p w14:paraId="3F57501F">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第六章 合同草案</w:t>
      </w:r>
    </w:p>
    <w:p w14:paraId="5855AFA7">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第七章 投标文件的格式</w:t>
      </w:r>
    </w:p>
    <w:p w14:paraId="78CADEE1">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63" w:name="_Toc140132769"/>
      <w:bookmarkStart w:id="164" w:name="_Toc12876"/>
      <w:bookmarkStart w:id="165" w:name="_Toc163492836"/>
      <w:r>
        <w:rPr>
          <w:rFonts w:hint="eastAsia" w:ascii="宋体" w:hAnsi="宋体" w:eastAsia="宋体" w:cs="宋体"/>
          <w:b/>
          <w:bCs/>
          <w:color w:val="auto"/>
          <w:kern w:val="2"/>
          <w:sz w:val="24"/>
          <w:szCs w:val="24"/>
          <w:highlight w:val="none"/>
          <w:lang w:val="en-US" w:eastAsia="zh-CN" w:bidi="ar-SA"/>
        </w:rPr>
        <w:t>12.招标文件的询问、澄清或者修改</w:t>
      </w:r>
      <w:bookmarkEnd w:id="163"/>
      <w:bookmarkEnd w:id="164"/>
      <w:bookmarkEnd w:id="165"/>
    </w:p>
    <w:p w14:paraId="2E6BAA48">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eastAsia="宋体" w:cs="仿宋_GB2312"/>
          <w:color w:val="auto"/>
          <w:sz w:val="24"/>
          <w:szCs w:val="24"/>
          <w:highlight w:val="none"/>
        </w:rPr>
        <w:t>.</w:t>
      </w:r>
      <w:r>
        <w:rPr>
          <w:rFonts w:hint="eastAsia" w:eastAsia="宋体" w:cs="仿宋_GB2312"/>
          <w:color w:val="auto"/>
          <w:sz w:val="24"/>
          <w:szCs w:val="24"/>
          <w:highlight w:val="none"/>
        </w:rPr>
        <w:t>1</w:t>
      </w:r>
      <w:r>
        <w:rPr>
          <w:rFonts w:eastAsia="宋体" w:cs="仿宋_GB2312"/>
          <w:color w:val="auto"/>
          <w:sz w:val="24"/>
          <w:szCs w:val="24"/>
          <w:highlight w:val="none"/>
        </w:rPr>
        <w:t>投标人如对招标文件内容有疑问，须在投标人须知前附表规定的</w:t>
      </w:r>
      <w:r>
        <w:rPr>
          <w:rFonts w:hint="eastAsia" w:eastAsia="宋体" w:cs="仿宋_GB2312"/>
          <w:color w:val="auto"/>
          <w:sz w:val="24"/>
          <w:szCs w:val="24"/>
          <w:highlight w:val="none"/>
        </w:rPr>
        <w:t>询问</w:t>
      </w:r>
      <w:r>
        <w:rPr>
          <w:rFonts w:hint="eastAsia" w:cs="仿宋_GB2312"/>
          <w:color w:val="auto"/>
          <w:sz w:val="24"/>
          <w:szCs w:val="24"/>
          <w:highlight w:val="none"/>
          <w:lang w:val="en-US" w:eastAsia="zh-CN"/>
        </w:rPr>
        <w:t>方式和</w:t>
      </w:r>
      <w:r>
        <w:rPr>
          <w:rFonts w:eastAsia="宋体" w:cs="仿宋_GB2312"/>
          <w:color w:val="auto"/>
          <w:sz w:val="24"/>
          <w:szCs w:val="24"/>
          <w:highlight w:val="none"/>
        </w:rPr>
        <w:t>时间提交给</w:t>
      </w:r>
      <w:r>
        <w:rPr>
          <w:rFonts w:hint="eastAsia" w:cs="仿宋_GB2312"/>
          <w:color w:val="auto"/>
          <w:sz w:val="24"/>
          <w:szCs w:val="24"/>
          <w:highlight w:val="none"/>
          <w:lang w:val="en-US" w:eastAsia="zh-CN"/>
        </w:rPr>
        <w:t>采购人或</w:t>
      </w:r>
      <w:r>
        <w:rPr>
          <w:rFonts w:eastAsia="宋体" w:cs="仿宋_GB2312"/>
          <w:color w:val="auto"/>
          <w:sz w:val="24"/>
          <w:szCs w:val="24"/>
          <w:highlight w:val="none"/>
        </w:rPr>
        <w:t>采购代理机构。</w:t>
      </w:r>
    </w:p>
    <w:p w14:paraId="6D964354">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eastAsia="宋体" w:cs="仿宋_GB2312"/>
          <w:color w:val="auto"/>
          <w:sz w:val="24"/>
          <w:szCs w:val="24"/>
          <w:highlight w:val="none"/>
        </w:rPr>
        <w:t>.</w:t>
      </w:r>
      <w:r>
        <w:rPr>
          <w:rFonts w:hint="eastAsia" w:eastAsia="宋体" w:cs="仿宋_GB2312"/>
          <w:color w:val="auto"/>
          <w:sz w:val="24"/>
          <w:szCs w:val="24"/>
          <w:highlight w:val="none"/>
        </w:rPr>
        <w:t>2采购人可主动地或在</w:t>
      </w:r>
      <w:r>
        <w:rPr>
          <w:rFonts w:hint="eastAsia" w:eastAsia="宋体" w:cs="仿宋_GB2312"/>
          <w:color w:val="auto"/>
          <w:sz w:val="24"/>
          <w:szCs w:val="24"/>
          <w:highlight w:val="none"/>
          <w:lang w:val="en-US" w:eastAsia="zh-CN"/>
        </w:rPr>
        <w:t>答复</w:t>
      </w:r>
      <w:r>
        <w:rPr>
          <w:rFonts w:hint="eastAsia" w:eastAsia="宋体" w:cs="仿宋_GB2312"/>
          <w:color w:val="auto"/>
          <w:sz w:val="24"/>
          <w:szCs w:val="24"/>
          <w:highlight w:val="none"/>
        </w:rPr>
        <w:t>投标人提出的</w:t>
      </w:r>
      <w:r>
        <w:rPr>
          <w:rFonts w:hint="eastAsia" w:eastAsia="宋体" w:cs="仿宋_GB2312"/>
          <w:color w:val="auto"/>
          <w:sz w:val="24"/>
          <w:szCs w:val="24"/>
          <w:highlight w:val="none"/>
          <w:lang w:val="en-US" w:eastAsia="zh-CN"/>
        </w:rPr>
        <w:t>询问</w:t>
      </w:r>
      <w:r>
        <w:rPr>
          <w:rFonts w:hint="eastAsia" w:eastAsia="宋体" w:cs="仿宋_GB2312"/>
          <w:color w:val="auto"/>
          <w:sz w:val="24"/>
          <w:szCs w:val="24"/>
          <w:highlight w:val="none"/>
        </w:rPr>
        <w:t>时对招标文件进行澄清与修改。</w:t>
      </w:r>
      <w:r>
        <w:rPr>
          <w:rFonts w:eastAsia="宋体" w:cs="仿宋_GB2312"/>
          <w:color w:val="auto"/>
          <w:sz w:val="24"/>
          <w:szCs w:val="24"/>
          <w:highlight w:val="none"/>
        </w:rPr>
        <w:t>采购代理机构将</w:t>
      </w:r>
      <w:r>
        <w:rPr>
          <w:rFonts w:hint="eastAsia" w:eastAsia="宋体" w:cs="仿宋_GB2312"/>
          <w:color w:val="auto"/>
          <w:sz w:val="24"/>
          <w:szCs w:val="24"/>
          <w:highlight w:val="none"/>
        </w:rPr>
        <w:t>在</w:t>
      </w:r>
      <w:r>
        <w:rPr>
          <w:rFonts w:hint="eastAsia" w:cs="仿宋_GB2312"/>
          <w:color w:val="auto"/>
          <w:sz w:val="24"/>
          <w:szCs w:val="24"/>
          <w:highlight w:val="none"/>
          <w:lang w:val="en-US" w:eastAsia="zh-CN"/>
        </w:rPr>
        <w:t>兵团政府采购云平台</w:t>
      </w:r>
      <w:r>
        <w:rPr>
          <w:rFonts w:hint="eastAsia" w:eastAsia="宋体" w:cs="仿宋_GB2312"/>
          <w:color w:val="auto"/>
          <w:sz w:val="24"/>
          <w:szCs w:val="24"/>
          <w:highlight w:val="none"/>
        </w:rPr>
        <w:t>以发布更正公告的方式澄清或修改招标文件，更正公告的</w:t>
      </w:r>
      <w:r>
        <w:rPr>
          <w:rFonts w:eastAsia="宋体" w:cs="仿宋_GB2312"/>
          <w:color w:val="auto"/>
          <w:sz w:val="24"/>
          <w:szCs w:val="24"/>
          <w:highlight w:val="none"/>
        </w:rPr>
        <w:t>内容</w:t>
      </w:r>
      <w:r>
        <w:rPr>
          <w:rFonts w:hint="eastAsia" w:eastAsia="宋体" w:cs="仿宋_GB2312"/>
          <w:color w:val="auto"/>
          <w:sz w:val="24"/>
          <w:szCs w:val="24"/>
          <w:highlight w:val="none"/>
        </w:rPr>
        <w:t>作</w:t>
      </w:r>
      <w:r>
        <w:rPr>
          <w:rFonts w:eastAsia="宋体" w:cs="仿宋_GB2312"/>
          <w:color w:val="auto"/>
          <w:sz w:val="24"/>
          <w:szCs w:val="24"/>
          <w:highlight w:val="none"/>
        </w:rPr>
        <w:t>为招标文件</w:t>
      </w:r>
      <w:r>
        <w:rPr>
          <w:rFonts w:hint="eastAsia" w:eastAsia="宋体" w:cs="仿宋_GB2312"/>
          <w:color w:val="auto"/>
          <w:sz w:val="24"/>
          <w:szCs w:val="24"/>
          <w:highlight w:val="none"/>
        </w:rPr>
        <w:t>的</w:t>
      </w:r>
      <w:r>
        <w:rPr>
          <w:rFonts w:eastAsia="宋体" w:cs="仿宋_GB2312"/>
          <w:color w:val="auto"/>
          <w:sz w:val="24"/>
          <w:szCs w:val="24"/>
          <w:highlight w:val="none"/>
        </w:rPr>
        <w:t>组成部分，对投标人起约束作用</w:t>
      </w:r>
      <w:r>
        <w:rPr>
          <w:rFonts w:hint="eastAsia" w:eastAsia="宋体" w:cs="仿宋_GB2312"/>
          <w:color w:val="auto"/>
          <w:sz w:val="24"/>
          <w:szCs w:val="24"/>
          <w:highlight w:val="none"/>
        </w:rPr>
        <w:t>。投标人应主动上网查询。采购代理机构不承担投标人未及时关注相关信息引发的相关责任。</w:t>
      </w:r>
    </w:p>
    <w:p w14:paraId="14950506">
      <w:pPr>
        <w:keepNext w:val="0"/>
        <w:keepLines w:val="0"/>
        <w:pageBreakBefore w:val="0"/>
        <w:widowControl w:val="0"/>
        <w:kinsoku/>
        <w:overflowPunct/>
        <w:topLinePunct w:val="0"/>
        <w:autoSpaceDE/>
        <w:autoSpaceDN/>
        <w:bidi w:val="0"/>
        <w:adjustRightInd/>
        <w:ind w:firstLine="480" w:firstLineChars="200"/>
        <w:textAlignment w:val="auto"/>
        <w:rPr>
          <w:rFonts w:hint="eastAsia" w:eastAsia="宋体" w:cs="仿宋_GB2312"/>
          <w:color w:val="auto"/>
          <w:sz w:val="24"/>
          <w:szCs w:val="24"/>
          <w:highlight w:val="none"/>
        </w:rPr>
      </w:pPr>
      <w:r>
        <w:rPr>
          <w:rFonts w:eastAsia="宋体" w:cs="仿宋_GB2312"/>
          <w:color w:val="auto"/>
          <w:sz w:val="24"/>
          <w:szCs w:val="24"/>
          <w:highlight w:val="none"/>
        </w:rPr>
        <w:t>1</w:t>
      </w:r>
      <w:r>
        <w:rPr>
          <w:rFonts w:hint="eastAsia" w:eastAsia="宋体" w:cs="仿宋_GB2312"/>
          <w:color w:val="auto"/>
          <w:sz w:val="24"/>
          <w:szCs w:val="24"/>
          <w:highlight w:val="none"/>
          <w:lang w:val="en-US" w:eastAsia="zh-CN"/>
        </w:rPr>
        <w:t>2</w:t>
      </w:r>
      <w:r>
        <w:rPr>
          <w:rFonts w:hint="eastAsia" w:eastAsia="宋体" w:cs="仿宋_GB2312"/>
          <w:color w:val="auto"/>
          <w:sz w:val="24"/>
          <w:szCs w:val="24"/>
          <w:highlight w:val="none"/>
        </w:rPr>
        <w:t>.3 招标文件的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93F433F">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hint="eastAsia" w:eastAsia="宋体" w:cs="仿宋_GB2312"/>
          <w:color w:val="auto"/>
          <w:sz w:val="24"/>
          <w:szCs w:val="24"/>
          <w:highlight w:val="none"/>
        </w:rPr>
        <w:t>.</w:t>
      </w:r>
      <w:r>
        <w:rPr>
          <w:rFonts w:hint="eastAsia" w:cs="仿宋_GB2312"/>
          <w:color w:val="auto"/>
          <w:sz w:val="24"/>
          <w:szCs w:val="24"/>
          <w:highlight w:val="none"/>
          <w:lang w:val="en-US" w:eastAsia="zh-CN"/>
        </w:rPr>
        <w:t>4</w:t>
      </w:r>
      <w:r>
        <w:rPr>
          <w:rFonts w:hint="eastAsia" w:eastAsia="宋体" w:cs="仿宋_GB2312"/>
          <w:color w:val="auto"/>
          <w:sz w:val="24"/>
          <w:szCs w:val="24"/>
          <w:highlight w:val="none"/>
        </w:rPr>
        <w:t>任何人或任何组织向投标人提供的任何书面或口头资料，未经采购代理机构在网上发布或书面通知，均作无效处理，不得作为招标文件的组成部分。采购代理机构对投标人由此而做出的推论、理解和结论概不负责。</w:t>
      </w:r>
    </w:p>
    <w:p w14:paraId="715B8664">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12.5</w:t>
      </w:r>
      <w:r>
        <w:rPr>
          <w:rFonts w:eastAsia="宋体" w:cs="仿宋_GB2312"/>
          <w:color w:val="auto"/>
          <w:sz w:val="24"/>
          <w:szCs w:val="24"/>
          <w:highlight w:val="none"/>
        </w:rPr>
        <w:t>对于没有提出</w:t>
      </w:r>
      <w:r>
        <w:rPr>
          <w:rFonts w:hint="eastAsia" w:eastAsia="宋体" w:cs="仿宋_GB2312"/>
          <w:color w:val="auto"/>
          <w:sz w:val="24"/>
          <w:szCs w:val="24"/>
          <w:highlight w:val="none"/>
        </w:rPr>
        <w:t>疑问</w:t>
      </w:r>
      <w:r>
        <w:rPr>
          <w:rFonts w:eastAsia="宋体" w:cs="仿宋_GB2312"/>
          <w:color w:val="auto"/>
          <w:sz w:val="24"/>
          <w:szCs w:val="24"/>
          <w:highlight w:val="none"/>
        </w:rPr>
        <w:t>又参与了</w:t>
      </w:r>
      <w:r>
        <w:rPr>
          <w:rFonts w:hint="eastAsia" w:eastAsia="宋体" w:cs="仿宋_GB2312"/>
          <w:color w:val="auto"/>
          <w:sz w:val="24"/>
          <w:szCs w:val="24"/>
          <w:highlight w:val="none"/>
        </w:rPr>
        <w:t>本</w:t>
      </w:r>
      <w:r>
        <w:rPr>
          <w:rFonts w:eastAsia="宋体" w:cs="仿宋_GB2312"/>
          <w:color w:val="auto"/>
          <w:sz w:val="24"/>
          <w:szCs w:val="24"/>
          <w:highlight w:val="none"/>
        </w:rPr>
        <w:t>项目投标的</w:t>
      </w:r>
      <w:r>
        <w:rPr>
          <w:rFonts w:hint="eastAsia" w:eastAsia="宋体" w:cs="仿宋_GB2312"/>
          <w:color w:val="auto"/>
          <w:sz w:val="24"/>
          <w:szCs w:val="24"/>
          <w:highlight w:val="none"/>
        </w:rPr>
        <w:t>投标人</w:t>
      </w:r>
      <w:r>
        <w:rPr>
          <w:rFonts w:eastAsia="宋体" w:cs="仿宋_GB2312"/>
          <w:color w:val="auto"/>
          <w:sz w:val="24"/>
          <w:szCs w:val="24"/>
          <w:highlight w:val="none"/>
        </w:rPr>
        <w:t>将被视为完全认同</w:t>
      </w:r>
      <w:r>
        <w:rPr>
          <w:rFonts w:hint="eastAsia" w:eastAsia="宋体" w:cs="仿宋_GB2312"/>
          <w:color w:val="auto"/>
          <w:sz w:val="24"/>
          <w:szCs w:val="24"/>
          <w:highlight w:val="none"/>
        </w:rPr>
        <w:t>本</w:t>
      </w:r>
      <w:r>
        <w:rPr>
          <w:rFonts w:eastAsia="宋体" w:cs="仿宋_GB2312"/>
          <w:color w:val="auto"/>
          <w:sz w:val="24"/>
          <w:szCs w:val="24"/>
          <w:highlight w:val="none"/>
        </w:rPr>
        <w:t>招标文件（含</w:t>
      </w:r>
      <w:r>
        <w:rPr>
          <w:rFonts w:hint="eastAsia" w:eastAsia="宋体" w:cs="仿宋_GB2312"/>
          <w:color w:val="auto"/>
          <w:sz w:val="24"/>
          <w:szCs w:val="24"/>
          <w:highlight w:val="none"/>
        </w:rPr>
        <w:t>更正公告的</w:t>
      </w:r>
      <w:r>
        <w:rPr>
          <w:rFonts w:eastAsia="宋体" w:cs="仿宋_GB2312"/>
          <w:color w:val="auto"/>
          <w:sz w:val="24"/>
          <w:szCs w:val="24"/>
          <w:highlight w:val="none"/>
        </w:rPr>
        <w:t>内容）</w:t>
      </w:r>
      <w:r>
        <w:rPr>
          <w:rFonts w:hint="eastAsia" w:eastAsia="宋体" w:cs="仿宋_GB2312"/>
          <w:color w:val="auto"/>
          <w:sz w:val="24"/>
          <w:szCs w:val="24"/>
          <w:highlight w:val="none"/>
        </w:rPr>
        <w:t>。</w:t>
      </w:r>
    </w:p>
    <w:p w14:paraId="4C471A46">
      <w:pPr>
        <w:pStyle w:val="36"/>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eastAsia="宋体"/>
          <w:color w:val="auto"/>
          <w:sz w:val="24"/>
          <w:highlight w:val="none"/>
        </w:rPr>
        <w:t>1</w:t>
      </w:r>
      <w:r>
        <w:rPr>
          <w:rFonts w:hint="eastAsia" w:eastAsia="宋体"/>
          <w:color w:val="auto"/>
          <w:sz w:val="24"/>
          <w:highlight w:val="none"/>
          <w:lang w:val="en-US" w:eastAsia="zh-CN"/>
        </w:rPr>
        <w:t>2</w:t>
      </w:r>
      <w:r>
        <w:rPr>
          <w:rFonts w:eastAsia="宋体"/>
          <w:color w:val="auto"/>
          <w:sz w:val="24"/>
          <w:highlight w:val="none"/>
        </w:rPr>
        <w:t>.</w:t>
      </w:r>
      <w:r>
        <w:rPr>
          <w:rFonts w:hint="eastAsia"/>
          <w:color w:val="auto"/>
          <w:sz w:val="24"/>
          <w:highlight w:val="none"/>
          <w:lang w:val="en-US" w:eastAsia="zh-CN"/>
        </w:rPr>
        <w:t>6</w:t>
      </w:r>
      <w:r>
        <w:rPr>
          <w:rFonts w:hint="eastAsia" w:eastAsia="宋体"/>
          <w:color w:val="auto"/>
          <w:sz w:val="24"/>
          <w:highlight w:val="none"/>
        </w:rPr>
        <w:t xml:space="preserve"> </w:t>
      </w:r>
      <w:r>
        <w:rPr>
          <w:rFonts w:hint="eastAsia" w:eastAsia="宋体" w:cs="仿宋_GB2312"/>
          <w:color w:val="auto"/>
          <w:sz w:val="24"/>
          <w:szCs w:val="24"/>
          <w:highlight w:val="none"/>
          <w:lang w:val="en-US" w:eastAsia="zh-CN"/>
        </w:rPr>
        <w:t>“</w:t>
      </w:r>
      <w:r>
        <w:rPr>
          <w:rFonts w:hint="eastAsia" w:eastAsia="宋体" w:cs="仿宋_GB2312"/>
          <w:color w:val="auto"/>
          <w:sz w:val="24"/>
          <w:szCs w:val="24"/>
          <w:highlight w:val="none"/>
        </w:rPr>
        <w:t>投标人须知”所称“</w:t>
      </w:r>
      <w:r>
        <w:rPr>
          <w:rFonts w:hint="eastAsia" w:eastAsia="宋体"/>
          <w:color w:val="auto"/>
          <w:sz w:val="24"/>
          <w:highlight w:val="none"/>
        </w:rPr>
        <w:t>书面形式</w:t>
      </w:r>
      <w:r>
        <w:rPr>
          <w:rFonts w:hint="eastAsia" w:eastAsia="宋体" w:cs="仿宋_GB2312"/>
          <w:color w:val="auto"/>
          <w:sz w:val="24"/>
          <w:szCs w:val="24"/>
          <w:highlight w:val="none"/>
        </w:rPr>
        <w:t>”</w:t>
      </w:r>
      <w:r>
        <w:rPr>
          <w:rFonts w:hint="eastAsia" w:eastAsia="宋体"/>
          <w:color w:val="auto"/>
          <w:sz w:val="24"/>
          <w:highlight w:val="none"/>
        </w:rPr>
        <w:t>包括系统消息、政府采购</w:t>
      </w:r>
      <w:r>
        <w:rPr>
          <w:rFonts w:hint="eastAsia" w:eastAsia="宋体"/>
          <w:color w:val="auto"/>
          <w:sz w:val="24"/>
          <w:highlight w:val="none"/>
          <w:lang w:val="en-US" w:eastAsia="zh-CN"/>
        </w:rPr>
        <w:t>云平台</w:t>
      </w:r>
      <w:r>
        <w:rPr>
          <w:rFonts w:hint="eastAsia" w:eastAsia="宋体"/>
          <w:color w:val="auto"/>
          <w:sz w:val="24"/>
          <w:highlight w:val="none"/>
        </w:rPr>
        <w:t>发布的公告。</w:t>
      </w:r>
    </w:p>
    <w:p w14:paraId="39FCE417">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2"/>
          <w:highlight w:val="none"/>
          <w:lang w:val="en-US" w:eastAsia="zh-CN"/>
        </w:rPr>
        <w:t>12.7</w:t>
      </w:r>
      <w:r>
        <w:rPr>
          <w:rFonts w:hint="eastAsia" w:ascii="宋体" w:hAnsi="宋体" w:eastAsia="宋体" w:cs="宋体"/>
          <w:color w:val="auto"/>
          <w:kern w:val="2"/>
          <w:sz w:val="24"/>
          <w:szCs w:val="22"/>
          <w:highlight w:val="none"/>
        </w:rPr>
        <w:t>当招标文件的澄清、修改及其他答复等就同一内容的表述不一致时，以最后发布的内容为准。</w:t>
      </w:r>
    </w:p>
    <w:p w14:paraId="578320B0">
      <w:pPr>
        <w:pStyle w:val="4"/>
        <w:keepNext w:val="0"/>
        <w:keepLines w:val="0"/>
        <w:pageBreakBefore w:val="0"/>
        <w:widowControl w:val="0"/>
        <w:numPr>
          <w:ilvl w:val="0"/>
          <w:numId w:val="0"/>
        </w:numPr>
        <w:kinsoku/>
        <w:wordWrap/>
        <w:overflowPunct/>
        <w:topLinePunct w:val="0"/>
        <w:autoSpaceDE/>
        <w:autoSpaceDN/>
        <w:bidi w:val="0"/>
        <w:adjustRightInd/>
        <w:snapToGrid/>
        <w:spacing w:before="120" w:after="12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66" w:name="_Toc163492837"/>
      <w:bookmarkStart w:id="167" w:name="_Toc19757"/>
      <w:bookmarkStart w:id="168" w:name="_Toc155185872"/>
      <w:r>
        <w:rPr>
          <w:rFonts w:hint="eastAsia" w:ascii="宋体" w:hAnsi="宋体" w:eastAsia="宋体" w:cs="宋体"/>
          <w:b/>
          <w:bCs/>
          <w:color w:val="auto"/>
          <w:kern w:val="2"/>
          <w:sz w:val="24"/>
          <w:szCs w:val="24"/>
          <w:highlight w:val="none"/>
          <w:lang w:val="en-US" w:eastAsia="zh-CN" w:bidi="ar-SA"/>
        </w:rPr>
        <w:t>（三）投标文件</w:t>
      </w:r>
      <w:bookmarkEnd w:id="166"/>
      <w:bookmarkEnd w:id="167"/>
      <w:bookmarkEnd w:id="168"/>
    </w:p>
    <w:p w14:paraId="67D7EC68">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69" w:name="_Toc163492838"/>
      <w:bookmarkStart w:id="170" w:name="_Toc17841"/>
      <w:r>
        <w:rPr>
          <w:rFonts w:hint="eastAsia" w:ascii="宋体" w:hAnsi="宋体" w:eastAsia="宋体" w:cs="宋体"/>
          <w:b/>
          <w:bCs/>
          <w:color w:val="auto"/>
          <w:kern w:val="2"/>
          <w:sz w:val="24"/>
          <w:szCs w:val="24"/>
          <w:highlight w:val="none"/>
          <w:lang w:val="en-US" w:eastAsia="zh-CN" w:bidi="ar-SA"/>
        </w:rPr>
        <w:t>13.投标文件的组成</w:t>
      </w:r>
      <w:bookmarkEnd w:id="169"/>
      <w:bookmarkEnd w:id="170"/>
    </w:p>
    <w:p w14:paraId="174A0A3D">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bookmarkStart w:id="171" w:name="_Toc163492839"/>
      <w:bookmarkStart w:id="172" w:name="_Toc140132772"/>
      <w:r>
        <w:rPr>
          <w:rFonts w:hint="eastAsia" w:ascii="宋体" w:hAnsi="宋体" w:eastAsia="宋体" w:cs="宋体"/>
          <w:color w:val="auto"/>
          <w:kern w:val="2"/>
          <w:sz w:val="24"/>
          <w:szCs w:val="24"/>
          <w:highlight w:val="none"/>
          <w:lang w:val="en-US" w:eastAsia="zh-CN"/>
        </w:rPr>
        <w:t>13</w:t>
      </w:r>
      <w:r>
        <w:rPr>
          <w:rFonts w:hint="eastAsia" w:ascii="宋体" w:hAnsi="宋体" w:eastAsia="宋体" w:cs="宋体"/>
          <w:color w:val="auto"/>
          <w:kern w:val="2"/>
          <w:sz w:val="24"/>
          <w:szCs w:val="24"/>
          <w:highlight w:val="none"/>
        </w:rPr>
        <w:t>.1投标人应完整地按招标文件提供的投标文件格式及要求编写投标文件，具体内容详见</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 xml:space="preserve">第七章 </w:t>
      </w:r>
      <w:r>
        <w:rPr>
          <w:rFonts w:hint="eastAsia" w:ascii="宋体" w:hAnsi="宋体" w:eastAsia="宋体" w:cs="宋体"/>
          <w:color w:val="auto"/>
          <w:kern w:val="2"/>
          <w:sz w:val="24"/>
          <w:szCs w:val="24"/>
          <w:highlight w:val="none"/>
        </w:rPr>
        <w:t>投标文件格式</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的相关内容。</w:t>
      </w:r>
    </w:p>
    <w:p w14:paraId="3BB3A0B7">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13.2</w:t>
      </w:r>
      <w:r>
        <w:rPr>
          <w:rFonts w:hint="eastAsia" w:ascii="宋体" w:hAnsi="宋体" w:eastAsia="宋体" w:cs="宋体"/>
          <w:color w:val="auto"/>
          <w:kern w:val="2"/>
          <w:sz w:val="24"/>
          <w:szCs w:val="24"/>
          <w:highlight w:val="none"/>
        </w:rPr>
        <w:t>投标人应提交招标文件要求的证明文件，证明其投标内容符合招标文件规定</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该证明文件是投标文件的一部分</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证明文件</w:t>
      </w:r>
      <w:r>
        <w:rPr>
          <w:rFonts w:hint="eastAsia" w:ascii="宋体" w:hAnsi="宋体" w:eastAsia="宋体" w:cs="宋体"/>
          <w:color w:val="auto"/>
          <w:kern w:val="2"/>
          <w:sz w:val="24"/>
          <w:szCs w:val="24"/>
          <w:highlight w:val="none"/>
          <w:lang w:val="en-US" w:eastAsia="zh-CN"/>
        </w:rPr>
        <w:t>形式</w:t>
      </w:r>
      <w:r>
        <w:rPr>
          <w:rFonts w:hint="eastAsia" w:ascii="宋体" w:hAnsi="宋体" w:eastAsia="宋体" w:cs="宋体"/>
          <w:color w:val="auto"/>
          <w:kern w:val="2"/>
          <w:sz w:val="24"/>
          <w:szCs w:val="24"/>
          <w:highlight w:val="none"/>
        </w:rPr>
        <w:t>可以是文字资料、图纸和数据</w:t>
      </w:r>
      <w:bookmarkStart w:id="173" w:name="_Hlk11703583"/>
      <w:r>
        <w:rPr>
          <w:rFonts w:hint="eastAsia" w:ascii="宋体" w:hAnsi="宋体" w:eastAsia="宋体" w:cs="宋体"/>
          <w:color w:val="auto"/>
          <w:kern w:val="2"/>
          <w:sz w:val="24"/>
          <w:szCs w:val="24"/>
          <w:highlight w:val="none"/>
          <w:lang w:val="en-US" w:eastAsia="zh-CN"/>
        </w:rPr>
        <w:t>等。</w:t>
      </w:r>
    </w:p>
    <w:bookmarkEnd w:id="173"/>
    <w:p w14:paraId="781BBAEB">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13.3</w:t>
      </w:r>
      <w:r>
        <w:rPr>
          <w:rFonts w:hint="eastAsia" w:ascii="宋体" w:hAnsi="宋体" w:eastAsia="宋体" w:cs="宋体"/>
          <w:color w:val="auto"/>
          <w:kern w:val="2"/>
          <w:sz w:val="24"/>
          <w:szCs w:val="24"/>
          <w:highlight w:val="none"/>
        </w:rPr>
        <w:t>为保证公平公正，除非</w:t>
      </w:r>
      <w:r>
        <w:rPr>
          <w:rFonts w:hint="eastAsia" w:ascii="宋体" w:hAnsi="宋体" w:eastAsia="宋体" w:cs="宋体"/>
          <w:color w:val="auto"/>
          <w:kern w:val="2"/>
          <w:sz w:val="24"/>
          <w:szCs w:val="24"/>
          <w:highlight w:val="none"/>
          <w:lang w:val="en-US" w:eastAsia="zh-CN"/>
        </w:rPr>
        <w:t>本招标文件</w:t>
      </w:r>
      <w:r>
        <w:rPr>
          <w:rFonts w:hint="eastAsia" w:ascii="宋体" w:hAnsi="宋体" w:eastAsia="宋体" w:cs="宋体"/>
          <w:color w:val="auto"/>
          <w:kern w:val="2"/>
          <w:sz w:val="24"/>
          <w:szCs w:val="24"/>
          <w:highlight w:val="none"/>
        </w:rPr>
        <w:t>另有规定或说明，投标人对同一项目投标时，不得同时提供备选投标方案。</w:t>
      </w:r>
    </w:p>
    <w:p w14:paraId="2DB5A9E4">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74" w:name="_Toc348"/>
      <w:r>
        <w:rPr>
          <w:rFonts w:hint="eastAsia" w:ascii="宋体" w:hAnsi="宋体" w:eastAsia="宋体" w:cs="宋体"/>
          <w:b/>
          <w:bCs/>
          <w:color w:val="auto"/>
          <w:kern w:val="2"/>
          <w:sz w:val="24"/>
          <w:szCs w:val="24"/>
          <w:highlight w:val="none"/>
          <w:lang w:val="en-US" w:eastAsia="zh-CN" w:bidi="ar-SA"/>
        </w:rPr>
        <w:t>14.投标报价</w:t>
      </w:r>
      <w:bookmarkEnd w:id="171"/>
      <w:bookmarkEnd w:id="172"/>
      <w:bookmarkEnd w:id="174"/>
    </w:p>
    <w:p w14:paraId="3BD2CDC3">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rPr>
        <w:t>1</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rPr>
        <w:t xml:space="preserve">.1 </w:t>
      </w:r>
      <w:r>
        <w:rPr>
          <w:rFonts w:hint="eastAsia" w:ascii="宋体" w:hAnsi="宋体" w:eastAsia="宋体" w:cs="宋体"/>
          <w:snapToGrid w:val="0"/>
          <w:color w:val="auto"/>
          <w:sz w:val="24"/>
          <w:szCs w:val="24"/>
          <w:highlight w:val="none"/>
          <w:lang w:val="zh-CN"/>
        </w:rPr>
        <w:t>投标人的报价均应以人民币进行报价。</w:t>
      </w:r>
    </w:p>
    <w:p w14:paraId="6CC00543">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1</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rPr>
        <w:t>.2 投标人应按照本招标文件规定的报价方式进行报价，投标报价中不得包含招标文件要求以外的内容，否则，在评标时不予核减。投标报价中也不得遗漏招标文件所要求的内容，否则其</w:t>
      </w:r>
      <w:r>
        <w:rPr>
          <w:rFonts w:hint="eastAsia" w:ascii="宋体" w:hAnsi="宋体" w:eastAsia="宋体" w:cs="宋体"/>
          <w:b/>
          <w:bCs/>
          <w:snapToGrid w:val="0"/>
          <w:color w:val="auto"/>
          <w:sz w:val="24"/>
          <w:szCs w:val="24"/>
          <w:highlight w:val="none"/>
        </w:rPr>
        <w:t>投标无效</w:t>
      </w:r>
      <w:r>
        <w:rPr>
          <w:rFonts w:hint="eastAsia" w:ascii="宋体" w:hAnsi="宋体" w:eastAsia="宋体" w:cs="宋体"/>
          <w:snapToGrid w:val="0"/>
          <w:color w:val="auto"/>
          <w:sz w:val="24"/>
          <w:szCs w:val="24"/>
          <w:highlight w:val="none"/>
        </w:rPr>
        <w:t>。</w:t>
      </w:r>
    </w:p>
    <w:p w14:paraId="1197AD09">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snapToGrid w:val="0"/>
          <w:color w:val="auto"/>
          <w:sz w:val="24"/>
          <w:szCs w:val="24"/>
          <w:highlight w:val="none"/>
        </w:rPr>
      </w:pPr>
      <w:r>
        <w:rPr>
          <w:rFonts w:hint="eastAsia" w:ascii="宋体" w:hAnsi="宋体" w:eastAsia="宋体" w:cs="宋体"/>
          <w:color w:val="auto"/>
          <w:kern w:val="2"/>
          <w:sz w:val="24"/>
          <w:szCs w:val="24"/>
          <w:highlight w:val="none"/>
          <w:lang w:val="en-US" w:eastAsia="zh-CN"/>
        </w:rPr>
        <w:t>14.3</w:t>
      </w:r>
      <w:r>
        <w:rPr>
          <w:rFonts w:hint="eastAsia" w:ascii="宋体" w:hAnsi="宋体" w:eastAsia="宋体" w:cs="宋体"/>
          <w:snapToGrid w:val="0"/>
          <w:color w:val="auto"/>
          <w:sz w:val="24"/>
          <w:szCs w:val="24"/>
          <w:highlight w:val="none"/>
          <w:lang w:val="en-US" w:eastAsia="zh-CN"/>
        </w:rPr>
        <w:t>投标人的报价应包括为完成本项目所发生的一切费用和税费，采购人将不再支付报价以外的任何费用。只要投报了一个确定数额的总价，无论分项价格是否全部填报了相应的金额或免费字样，该报价应被视为已包含但不限于本次招标全部采购需求所应提供的服务，以及伴随的货物和工程等的费用和所需缴纳的所有价格、税、费。在其他情况下，由于分项报价填报不完整、不清楚或存在其他任何失误，所导致的任何不利后果均应当由投标人自行承担</w:t>
      </w:r>
      <w:r>
        <w:rPr>
          <w:rFonts w:hint="eastAsia" w:ascii="宋体" w:hAnsi="宋体" w:eastAsia="宋体" w:cs="宋体"/>
          <w:snapToGrid w:val="0"/>
          <w:color w:val="auto"/>
          <w:sz w:val="24"/>
          <w:szCs w:val="24"/>
          <w:highlight w:val="none"/>
        </w:rPr>
        <w:t>。</w:t>
      </w:r>
    </w:p>
    <w:p w14:paraId="29AAB874">
      <w:pPr>
        <w:pStyle w:val="1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14.4投标人的报价应包括但不限于按照招标文件要求完成本项目的全部相关费用。</w:t>
      </w:r>
    </w:p>
    <w:p w14:paraId="049AF5FA">
      <w:pPr>
        <w:ind w:firstLine="480" w:firstLineChars="200"/>
        <w:rPr>
          <w:rFonts w:hint="eastAsia" w:ascii="宋体" w:hAnsi="宋体" w:eastAsia="宋体" w:cs="宋体"/>
          <w:snapToGrid w:val="0"/>
          <w:color w:val="auto"/>
          <w:sz w:val="24"/>
          <w:szCs w:val="24"/>
          <w:highlight w:val="none"/>
          <w:lang w:val="zh-CN"/>
        </w:rPr>
      </w:pPr>
      <w:r>
        <w:rPr>
          <w:rFonts w:hint="eastAsia" w:ascii="宋体" w:hAnsi="宋体" w:eastAsia="宋体" w:cs="宋体"/>
          <w:color w:val="auto"/>
          <w:kern w:val="2"/>
          <w:sz w:val="24"/>
          <w:szCs w:val="24"/>
          <w:highlight w:val="none"/>
          <w:lang w:val="en-US" w:eastAsia="zh-CN" w:bidi="ar-SA"/>
        </w:rPr>
        <w:t>14.5 投标人须严格按照分项报价表规定的内容填写服务单价以及其他事项。</w:t>
      </w:r>
      <w:r>
        <w:rPr>
          <w:rFonts w:hint="eastAsia" w:ascii="宋体" w:hAnsi="宋体" w:eastAsia="宋体" w:cs="宋体"/>
          <w:snapToGrid w:val="0"/>
          <w:color w:val="auto"/>
          <w:sz w:val="24"/>
          <w:szCs w:val="24"/>
          <w:highlight w:val="none"/>
          <w:lang w:val="zh-CN"/>
        </w:rPr>
        <w:t>投标人应根据本招标文件的规定和要求、市场价格水平及其走势、投标人的管理水平、投标人的方案和由这些因素决定的投标人之于本项目的成本水平等提出自己的报价。报价应合理，并包含完成本招标文件采购需求全部内容的所有费用，所有根据本招标文件或其它原因应由投标人支付的税款和其他应交纳的费用都应包括在投标人提交的投标报价中。</w:t>
      </w:r>
    </w:p>
    <w:p w14:paraId="058EFD12">
      <w:pPr>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14.6 投标人在投标文件中注明免费的项目将视为包含在投标报价中。</w:t>
      </w:r>
    </w:p>
    <w:p w14:paraId="6DF8B2FA">
      <w:pPr>
        <w:pStyle w:val="1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14.7 每一种采购内容只允许</w:t>
      </w:r>
      <w:r>
        <w:rPr>
          <w:rFonts w:hint="eastAsia" w:ascii="宋体" w:hAnsi="宋体" w:eastAsia="宋体" w:cs="宋体"/>
          <w:snapToGrid w:val="0"/>
          <w:color w:val="auto"/>
          <w:sz w:val="24"/>
          <w:szCs w:val="24"/>
          <w:highlight w:val="none"/>
        </w:rPr>
        <w:t>有一个报价，否则其</w:t>
      </w:r>
      <w:r>
        <w:rPr>
          <w:rFonts w:hint="eastAsia" w:ascii="宋体" w:hAnsi="宋体" w:eastAsia="宋体" w:cs="宋体"/>
          <w:b/>
          <w:bCs/>
          <w:snapToGrid w:val="0"/>
          <w:color w:val="auto"/>
          <w:sz w:val="24"/>
          <w:szCs w:val="24"/>
          <w:highlight w:val="none"/>
        </w:rPr>
        <w:t>投标无效</w:t>
      </w:r>
      <w:r>
        <w:rPr>
          <w:rFonts w:hint="eastAsia" w:ascii="宋体" w:hAnsi="宋体" w:eastAsia="宋体" w:cs="宋体"/>
          <w:snapToGrid w:val="0"/>
          <w:color w:val="auto"/>
          <w:sz w:val="24"/>
          <w:szCs w:val="24"/>
          <w:highlight w:val="none"/>
        </w:rPr>
        <w:t>。</w:t>
      </w:r>
      <w:r>
        <w:rPr>
          <w:rFonts w:hint="eastAsia" w:ascii="宋体" w:hAnsi="宋体" w:eastAsia="宋体" w:cs="宋体"/>
          <w:color w:val="auto"/>
          <w:kern w:val="2"/>
          <w:sz w:val="24"/>
          <w:szCs w:val="24"/>
          <w:highlight w:val="none"/>
        </w:rPr>
        <w:t>除非招标文件另有规定，不接受可选择或可调整的投标方案和报价，任何有选择的或可调整的投标方案和报价将被视为非</w:t>
      </w:r>
      <w:r>
        <w:rPr>
          <w:rFonts w:hint="eastAsia" w:ascii="宋体" w:hAnsi="宋体" w:eastAsia="宋体" w:cs="宋体"/>
          <w:color w:val="auto"/>
          <w:kern w:val="2"/>
          <w:sz w:val="24"/>
          <w:szCs w:val="24"/>
          <w:highlight w:val="none"/>
          <w:lang w:val="en-US" w:eastAsia="zh-CN"/>
        </w:rPr>
        <w:t>实质性</w:t>
      </w:r>
      <w:r>
        <w:rPr>
          <w:rFonts w:hint="eastAsia" w:ascii="宋体" w:hAnsi="宋体" w:eastAsia="宋体" w:cs="宋体"/>
          <w:color w:val="auto"/>
          <w:kern w:val="2"/>
          <w:sz w:val="24"/>
          <w:szCs w:val="24"/>
          <w:highlight w:val="none"/>
        </w:rPr>
        <w:t>响应</w:t>
      </w:r>
      <w:r>
        <w:rPr>
          <w:rFonts w:hint="eastAsia" w:ascii="宋体" w:hAnsi="宋体" w:eastAsia="宋体" w:cs="宋体"/>
          <w:color w:val="auto"/>
          <w:kern w:val="2"/>
          <w:sz w:val="24"/>
          <w:szCs w:val="24"/>
          <w:highlight w:val="none"/>
          <w:lang w:val="en-US" w:eastAsia="zh-CN"/>
        </w:rPr>
        <w:t>招标文件,其</w:t>
      </w:r>
      <w:r>
        <w:rPr>
          <w:rFonts w:hint="eastAsia" w:ascii="宋体" w:hAnsi="宋体" w:eastAsia="宋体" w:cs="宋体"/>
          <w:b/>
          <w:bCs/>
          <w:color w:val="auto"/>
          <w:kern w:val="2"/>
          <w:sz w:val="24"/>
          <w:szCs w:val="24"/>
          <w:highlight w:val="none"/>
          <w:lang w:eastAsia="zh-CN"/>
        </w:rPr>
        <w:t>投标无效</w:t>
      </w:r>
      <w:r>
        <w:rPr>
          <w:rFonts w:hint="eastAsia" w:ascii="宋体" w:hAnsi="宋体" w:eastAsia="宋体" w:cs="宋体"/>
          <w:color w:val="auto"/>
          <w:kern w:val="2"/>
          <w:sz w:val="24"/>
          <w:szCs w:val="24"/>
          <w:highlight w:val="none"/>
        </w:rPr>
        <w:t>。</w:t>
      </w:r>
    </w:p>
    <w:p w14:paraId="192E0BF0">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8 </w:t>
      </w:r>
      <w:r>
        <w:rPr>
          <w:rFonts w:hint="eastAsia" w:ascii="宋体" w:hAnsi="宋体" w:eastAsia="宋体" w:cs="宋体"/>
          <w:color w:val="auto"/>
          <w:sz w:val="24"/>
          <w:szCs w:val="24"/>
          <w:highlight w:val="none"/>
        </w:rPr>
        <w:t>投标报价不得超过“</w:t>
      </w:r>
      <w:r>
        <w:rPr>
          <w:rFonts w:hint="eastAsia" w:ascii="宋体" w:hAnsi="宋体" w:eastAsia="宋体" w:cs="宋体"/>
          <w:color w:val="auto"/>
          <w:sz w:val="24"/>
          <w:szCs w:val="24"/>
          <w:highlight w:val="none"/>
          <w:lang w:val="en-US" w:eastAsia="zh-CN"/>
        </w:rPr>
        <w:t>第一章 招标公告</w:t>
      </w:r>
      <w:r>
        <w:rPr>
          <w:rFonts w:hint="eastAsia" w:ascii="宋体" w:hAnsi="宋体" w:eastAsia="宋体" w:cs="宋体"/>
          <w:color w:val="auto"/>
          <w:sz w:val="24"/>
          <w:szCs w:val="24"/>
          <w:highlight w:val="none"/>
        </w:rPr>
        <w:t>”中规定的最高投标限价</w:t>
      </w:r>
      <w:r>
        <w:rPr>
          <w:rFonts w:hint="eastAsia" w:ascii="宋体" w:hAnsi="宋体" w:eastAsia="宋体" w:cs="宋体"/>
          <w:color w:val="auto"/>
          <w:sz w:val="24"/>
          <w:szCs w:val="24"/>
          <w:highlight w:val="none"/>
          <w:lang w:val="en-US" w:eastAsia="zh-CN"/>
        </w:rPr>
        <w:t>或者预算金额</w:t>
      </w:r>
      <w:r>
        <w:rPr>
          <w:rFonts w:hint="eastAsia" w:ascii="宋体" w:hAnsi="宋体" w:eastAsia="宋体" w:cs="宋体"/>
          <w:color w:val="auto"/>
          <w:sz w:val="24"/>
          <w:szCs w:val="24"/>
          <w:highlight w:val="none"/>
        </w:rPr>
        <w:t>，否则评标委员会将</w:t>
      </w:r>
      <w:r>
        <w:rPr>
          <w:rFonts w:hint="eastAsia" w:ascii="宋体" w:hAnsi="宋体" w:eastAsia="宋体" w:cs="宋体"/>
          <w:b w:val="0"/>
          <w:bCs w:val="0"/>
          <w:color w:val="auto"/>
          <w:sz w:val="24"/>
          <w:szCs w:val="24"/>
          <w:highlight w:val="none"/>
          <w:lang w:val="en-US" w:eastAsia="zh-CN"/>
        </w:rPr>
        <w:t>对</w:t>
      </w:r>
      <w:r>
        <w:rPr>
          <w:rFonts w:hint="eastAsia" w:ascii="宋体" w:hAnsi="宋体" w:eastAsia="宋体" w:cs="宋体"/>
          <w:b w:val="0"/>
          <w:bCs w:val="0"/>
          <w:color w:val="auto"/>
          <w:sz w:val="24"/>
          <w:szCs w:val="24"/>
          <w:highlight w:val="none"/>
        </w:rPr>
        <w:t>其</w:t>
      </w:r>
      <w:r>
        <w:rPr>
          <w:rFonts w:hint="eastAsia" w:ascii="宋体" w:hAnsi="宋体" w:eastAsia="宋体" w:cs="宋体"/>
          <w:b w:val="0"/>
          <w:bCs w:val="0"/>
          <w:color w:val="auto"/>
          <w:sz w:val="24"/>
          <w:szCs w:val="24"/>
          <w:highlight w:val="none"/>
          <w:lang w:val="en-US" w:eastAsia="zh-CN"/>
        </w:rPr>
        <w:t>作</w:t>
      </w:r>
      <w:r>
        <w:rPr>
          <w:rFonts w:hint="eastAsia" w:ascii="宋体" w:hAnsi="宋体" w:eastAsia="宋体" w:cs="宋体"/>
          <w:b/>
          <w:bCs/>
          <w:color w:val="auto"/>
          <w:sz w:val="24"/>
          <w:szCs w:val="24"/>
          <w:highlight w:val="none"/>
          <w:lang w:val="en-US" w:eastAsia="zh-CN"/>
        </w:rPr>
        <w:t>无效</w:t>
      </w:r>
      <w:r>
        <w:rPr>
          <w:rFonts w:hint="eastAsia" w:ascii="宋体" w:hAnsi="宋体" w:eastAsia="宋体" w:cs="宋体"/>
          <w:b/>
          <w:bCs/>
          <w:color w:val="auto"/>
          <w:sz w:val="24"/>
          <w:szCs w:val="24"/>
          <w:highlight w:val="none"/>
        </w:rPr>
        <w:t>投标</w:t>
      </w:r>
      <w:r>
        <w:rPr>
          <w:rFonts w:hint="eastAsia" w:ascii="宋体" w:hAnsi="宋体" w:eastAsia="宋体" w:cs="宋体"/>
          <w:b/>
          <w:bCs/>
          <w:color w:val="auto"/>
          <w:sz w:val="24"/>
          <w:szCs w:val="24"/>
          <w:highlight w:val="none"/>
          <w:lang w:val="en-US" w:eastAsia="zh-CN"/>
        </w:rPr>
        <w:t>处理</w:t>
      </w:r>
      <w:r>
        <w:rPr>
          <w:rFonts w:hint="eastAsia" w:ascii="宋体" w:hAnsi="宋体" w:eastAsia="宋体" w:cs="宋体"/>
          <w:color w:val="auto"/>
          <w:sz w:val="24"/>
          <w:szCs w:val="24"/>
          <w:highlight w:val="none"/>
        </w:rPr>
        <w:t>。</w:t>
      </w:r>
    </w:p>
    <w:p w14:paraId="1DC40C77">
      <w:pPr>
        <w:pStyle w:val="53"/>
        <w:pageBreakBefore w:val="0"/>
        <w:shd w:val="clear" w:color="auto" w:fill="auto"/>
        <w:kinsoku/>
        <w:wordWrap/>
        <w:overflowPunct/>
        <w:topLinePunct w:val="0"/>
        <w:bidi w:val="0"/>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 xml:space="preserve">9 </w:t>
      </w:r>
      <w:r>
        <w:rPr>
          <w:rFonts w:hint="eastAsia" w:ascii="宋体" w:hAnsi="宋体" w:eastAsia="宋体" w:cs="宋体"/>
          <w:color w:val="auto"/>
          <w:kern w:val="2"/>
          <w:sz w:val="24"/>
          <w:szCs w:val="24"/>
          <w:highlight w:val="none"/>
        </w:rPr>
        <w:t>投标人对投标报价若有说明应在投标文件中显著处注明。</w:t>
      </w:r>
    </w:p>
    <w:p w14:paraId="69F7C97A">
      <w:pPr>
        <w:pStyle w:val="53"/>
        <w:pageBreakBefore w:val="0"/>
        <w:shd w:val="clear" w:color="auto" w:fill="auto"/>
        <w:kinsoku/>
        <w:wordWrap/>
        <w:overflowPunct/>
        <w:topLinePunct w:val="0"/>
        <w:bidi w:val="0"/>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除政策性文件规定以外，投标人所报价格在合同实施期间不因市场变化因素而变动。</w:t>
      </w:r>
    </w:p>
    <w:p w14:paraId="3D2E52CC">
      <w:pPr>
        <w:pStyle w:val="53"/>
        <w:pageBreakBefore w:val="0"/>
        <w:shd w:val="clear" w:color="auto" w:fill="auto"/>
        <w:kinsoku/>
        <w:wordWrap/>
        <w:overflowPunct/>
        <w:topLinePunct w:val="0"/>
        <w:bidi w:val="0"/>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 xml:space="preserve">10 </w:t>
      </w:r>
      <w:r>
        <w:rPr>
          <w:rFonts w:hint="eastAsia" w:ascii="宋体" w:hAnsi="宋体" w:eastAsia="宋体" w:cs="宋体"/>
          <w:color w:val="auto"/>
          <w:kern w:val="2"/>
          <w:sz w:val="24"/>
          <w:szCs w:val="24"/>
          <w:highlight w:val="none"/>
        </w:rPr>
        <w:t>最低报价不能作为中标的保证。</w:t>
      </w:r>
    </w:p>
    <w:p w14:paraId="4F55CD6E">
      <w:pPr>
        <w:pStyle w:val="10"/>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14.11</w:t>
      </w:r>
      <w:r>
        <w:rPr>
          <w:rFonts w:hint="eastAsia" w:ascii="宋体" w:hAnsi="宋体" w:eastAsia="宋体" w:cs="宋体"/>
          <w:color w:val="auto"/>
          <w:kern w:val="0"/>
          <w:sz w:val="24"/>
          <w:szCs w:val="24"/>
          <w:highlight w:val="none"/>
          <w:lang w:val="en-US" w:eastAsia="zh-CN" w:bidi="ar"/>
        </w:rPr>
        <w:t>采购人不得向投标人索要或者接受其给予的赠品、回扣或者与采购无关的其他商品、服务。</w:t>
      </w:r>
    </w:p>
    <w:p w14:paraId="691BBD09">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75" w:name="_Toc7336"/>
      <w:bookmarkStart w:id="176" w:name="_Toc140132773"/>
      <w:bookmarkStart w:id="177" w:name="_Toc163492840"/>
      <w:r>
        <w:rPr>
          <w:rFonts w:hint="eastAsia" w:ascii="宋体" w:hAnsi="宋体" w:eastAsia="宋体" w:cs="宋体"/>
          <w:b/>
          <w:bCs/>
          <w:color w:val="auto"/>
          <w:kern w:val="2"/>
          <w:sz w:val="24"/>
          <w:szCs w:val="24"/>
          <w:highlight w:val="none"/>
          <w:lang w:val="en-US" w:eastAsia="zh-CN" w:bidi="ar-SA"/>
        </w:rPr>
        <w:t>15.投标有效期</w:t>
      </w:r>
      <w:bookmarkEnd w:id="175"/>
      <w:bookmarkEnd w:id="176"/>
      <w:bookmarkEnd w:id="177"/>
    </w:p>
    <w:p w14:paraId="13B2B164">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.1 </w:t>
      </w:r>
      <w:r>
        <w:rPr>
          <w:rFonts w:hint="eastAsia" w:ascii="宋体" w:hAnsi="宋体" w:eastAsia="宋体" w:cs="宋体"/>
          <w:color w:val="auto"/>
          <w:kern w:val="0"/>
          <w:sz w:val="24"/>
          <w:szCs w:val="24"/>
          <w:highlight w:val="none"/>
          <w:lang w:val="en"/>
        </w:rPr>
        <w:t>投标有效期</w:t>
      </w:r>
      <w:r>
        <w:rPr>
          <w:rFonts w:hint="eastAsia" w:ascii="宋体" w:hAnsi="宋体" w:eastAsia="宋体" w:cs="宋体"/>
          <w:color w:val="auto"/>
          <w:sz w:val="24"/>
          <w:szCs w:val="24"/>
          <w:highlight w:val="none"/>
        </w:rPr>
        <w:t>见“</w:t>
      </w:r>
      <w:r>
        <w:rPr>
          <w:rFonts w:hint="eastAsia" w:ascii="宋体" w:hAnsi="宋体" w:eastAsia="宋体" w:cs="宋体"/>
          <w:color w:val="auto"/>
          <w:sz w:val="24"/>
          <w:szCs w:val="24"/>
          <w:highlight w:val="none"/>
          <w:lang w:val="en-US" w:eastAsia="zh-CN"/>
        </w:rPr>
        <w:t xml:space="preserve">第二章 </w:t>
      </w:r>
      <w:r>
        <w:rPr>
          <w:rFonts w:hint="eastAsia" w:ascii="宋体" w:hAnsi="宋体" w:eastAsia="宋体" w:cs="宋体"/>
          <w:color w:val="auto"/>
          <w:sz w:val="24"/>
          <w:szCs w:val="24"/>
          <w:highlight w:val="none"/>
        </w:rPr>
        <w:t>投标人须知前附表”，投标人承诺的投标有效期</w:t>
      </w:r>
      <w:r>
        <w:rPr>
          <w:rFonts w:hint="eastAsia" w:ascii="宋体" w:hAnsi="宋体" w:eastAsia="宋体" w:cs="宋体"/>
          <w:snapToGrid w:val="0"/>
          <w:color w:val="auto"/>
          <w:sz w:val="24"/>
          <w:szCs w:val="24"/>
          <w:highlight w:val="none"/>
          <w:lang w:val="zh-CN" w:eastAsia="zh-CN"/>
        </w:rPr>
        <w:t>少于</w:t>
      </w:r>
      <w:r>
        <w:rPr>
          <w:rFonts w:hint="eastAsia" w:ascii="宋体" w:hAnsi="宋体" w:eastAsia="宋体" w:cs="宋体"/>
          <w:snapToGrid w:val="0"/>
          <w:color w:val="auto"/>
          <w:sz w:val="24"/>
          <w:szCs w:val="24"/>
          <w:highlight w:val="none"/>
          <w:lang w:val="en-US" w:eastAsia="zh-CN"/>
        </w:rPr>
        <w:t>招标</w:t>
      </w:r>
      <w:r>
        <w:rPr>
          <w:rFonts w:hint="eastAsia" w:ascii="宋体" w:hAnsi="宋体" w:eastAsia="宋体" w:cs="宋体"/>
          <w:snapToGrid w:val="0"/>
          <w:color w:val="auto"/>
          <w:sz w:val="24"/>
          <w:szCs w:val="24"/>
          <w:highlight w:val="none"/>
          <w:lang w:val="zh-CN" w:eastAsia="zh-CN"/>
        </w:rPr>
        <w:t>文件规定期限的，其</w:t>
      </w:r>
      <w:r>
        <w:rPr>
          <w:rFonts w:hint="eastAsia" w:ascii="宋体" w:hAnsi="宋体" w:eastAsia="宋体" w:cs="宋体"/>
          <w:b/>
          <w:bCs/>
          <w:snapToGrid w:val="0"/>
          <w:color w:val="auto"/>
          <w:sz w:val="24"/>
          <w:szCs w:val="24"/>
          <w:highlight w:val="none"/>
          <w:lang w:val="en-US" w:eastAsia="zh-CN"/>
        </w:rPr>
        <w:t>投标</w:t>
      </w:r>
      <w:r>
        <w:rPr>
          <w:rFonts w:hint="eastAsia" w:ascii="宋体" w:hAnsi="宋体" w:eastAsia="宋体" w:cs="宋体"/>
          <w:b/>
          <w:bCs/>
          <w:snapToGrid w:val="0"/>
          <w:color w:val="auto"/>
          <w:sz w:val="24"/>
          <w:szCs w:val="24"/>
          <w:highlight w:val="none"/>
          <w:lang w:val="zh-CN" w:eastAsia="zh-CN"/>
        </w:rPr>
        <w:t>无效</w:t>
      </w:r>
      <w:r>
        <w:rPr>
          <w:rFonts w:hint="eastAsia" w:ascii="宋体" w:hAnsi="宋体" w:eastAsia="宋体" w:cs="宋体"/>
          <w:snapToGrid w:val="0"/>
          <w:color w:val="auto"/>
          <w:sz w:val="24"/>
          <w:szCs w:val="24"/>
          <w:highlight w:val="none"/>
          <w:lang w:val="zh-CN" w:eastAsia="zh-CN"/>
        </w:rPr>
        <w:t>。</w:t>
      </w:r>
    </w:p>
    <w:p w14:paraId="6D112F8D">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15.2 投标有效期从提交投标文件的截止之日起算。投标文件中承诺的投标有效期应当不少于招标文件中载明的投标有效期。投标有效期内投标人撤销投标文件的，采购人或者采购代理机构可以不退还投标保证金。</w:t>
      </w:r>
    </w:p>
    <w:p w14:paraId="4457FE8E">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特殊情况下，在原投标文件有效期截止之前，采购代理机构或采购人可要求投标人延长投标有效期。需要延长投标有效期时，采购代理机构或采购人将以书面形式通知所有投标人，投标人应以书面形式答复是否同意延长投标有效期。</w:t>
      </w:r>
    </w:p>
    <w:p w14:paraId="2EF7720C">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投标人同意延长的，</w:t>
      </w:r>
      <w:r>
        <w:rPr>
          <w:rFonts w:hint="eastAsia" w:ascii="宋体" w:hAnsi="宋体" w:eastAsia="宋体" w:cs="宋体"/>
          <w:color w:val="auto"/>
          <w:kern w:val="2"/>
          <w:sz w:val="24"/>
          <w:szCs w:val="24"/>
          <w:highlight w:val="none"/>
          <w:lang w:val="en-US" w:eastAsia="zh-CN"/>
        </w:rPr>
        <w:t>其</w:t>
      </w:r>
      <w:r>
        <w:rPr>
          <w:rFonts w:hint="eastAsia" w:ascii="宋体" w:hAnsi="宋体" w:eastAsia="宋体" w:cs="宋体"/>
          <w:color w:val="auto"/>
          <w:kern w:val="2"/>
          <w:sz w:val="24"/>
          <w:szCs w:val="24"/>
          <w:highlight w:val="none"/>
        </w:rPr>
        <w:t>投标保证金的有效期也相应延长</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但</w:t>
      </w:r>
      <w:r>
        <w:rPr>
          <w:rFonts w:hint="eastAsia" w:ascii="宋体" w:hAnsi="宋体" w:eastAsia="宋体" w:cs="宋体"/>
          <w:color w:val="auto"/>
          <w:sz w:val="24"/>
          <w:szCs w:val="24"/>
          <w:highlight w:val="none"/>
        </w:rPr>
        <w:t>不得要求或被允许修改或撤销其投标文件；</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拒绝延长的，其投标文件在原投标有效期满后将不再有效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但其提交的投标保证金可予以退还</w:t>
      </w:r>
      <w:r>
        <w:rPr>
          <w:rFonts w:hint="eastAsia" w:ascii="宋体" w:hAnsi="宋体" w:eastAsia="宋体" w:cs="宋体"/>
          <w:color w:val="auto"/>
          <w:sz w:val="24"/>
          <w:szCs w:val="24"/>
          <w:highlight w:val="none"/>
        </w:rPr>
        <w:t>。</w:t>
      </w:r>
    </w:p>
    <w:p w14:paraId="51F7C8DB">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78" w:name="_Toc26129"/>
      <w:bookmarkStart w:id="179" w:name="_Toc140132774"/>
      <w:bookmarkStart w:id="180" w:name="_Toc163492841"/>
      <w:r>
        <w:rPr>
          <w:rFonts w:hint="eastAsia" w:ascii="宋体" w:hAnsi="宋体" w:eastAsia="宋体" w:cs="宋体"/>
          <w:b/>
          <w:bCs/>
          <w:color w:val="auto"/>
          <w:kern w:val="2"/>
          <w:sz w:val="24"/>
          <w:szCs w:val="24"/>
          <w:highlight w:val="none"/>
          <w:lang w:val="en-US" w:eastAsia="zh-CN" w:bidi="ar-SA"/>
        </w:rPr>
        <w:t>16.投标文件的编制</w:t>
      </w:r>
      <w:bookmarkEnd w:id="178"/>
      <w:bookmarkEnd w:id="179"/>
      <w:bookmarkEnd w:id="180"/>
    </w:p>
    <w:p w14:paraId="523C51E8">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.1投标文件应在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中进行编制，在投标文件中要求加盖印章的，除有特殊说明之外，</w:t>
      </w:r>
      <w:r>
        <w:rPr>
          <w:rFonts w:hint="eastAsia" w:ascii="宋体" w:hAnsi="宋体" w:eastAsia="宋体" w:cs="宋体"/>
          <w:color w:val="auto"/>
          <w:sz w:val="24"/>
          <w:szCs w:val="24"/>
          <w:highlight w:val="none"/>
          <w:lang w:val="en-US" w:eastAsia="zh-CN"/>
        </w:rPr>
        <w:t>可</w:t>
      </w:r>
      <w:r>
        <w:rPr>
          <w:rFonts w:hint="eastAsia" w:ascii="宋体" w:hAnsi="宋体" w:eastAsia="宋体" w:cs="宋体"/>
          <w:color w:val="auto"/>
          <w:sz w:val="24"/>
          <w:szCs w:val="24"/>
          <w:highlight w:val="none"/>
        </w:rPr>
        <w:t>使用电子签章签署。</w:t>
      </w:r>
    </w:p>
    <w:p w14:paraId="540601F4">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bookmarkStart w:id="181" w:name="_Hlk143528557"/>
      <w:r>
        <w:rPr>
          <w:rFonts w:hint="eastAsia" w:ascii="宋体" w:hAnsi="宋体" w:eastAsia="宋体" w:cs="宋体"/>
          <w:color w:val="auto"/>
          <w:sz w:val="24"/>
          <w:szCs w:val="24"/>
          <w:highlight w:val="none"/>
        </w:rPr>
        <w:t>2投标人在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中按照</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中的格式要求填写响应内容后，生成投标文件。投标人须按照招标文件的要求使用电子签章对要求加盖印章的部分逐一进行签章。</w:t>
      </w:r>
      <w:bookmarkEnd w:id="181"/>
    </w:p>
    <w:p w14:paraId="1A7BD123">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投标人应详细阅读招标文件的全部内容。投标文件须对招标文件中的内容作出实质性和完整的响应，如果投标文件填报的内容不详，或没有提供招标文件中所要求的全部资料及数据，将可能</w:t>
      </w:r>
      <w:r>
        <w:rPr>
          <w:rFonts w:hint="eastAsia" w:ascii="宋体" w:hAnsi="宋体" w:eastAsia="宋体" w:cs="宋体"/>
          <w:b/>
          <w:bCs/>
          <w:color w:val="auto"/>
          <w:sz w:val="24"/>
          <w:szCs w:val="24"/>
          <w:highlight w:val="none"/>
        </w:rPr>
        <w:t>导致</w:t>
      </w:r>
      <w:r>
        <w:rPr>
          <w:rFonts w:hint="eastAsia" w:ascii="宋体" w:hAnsi="宋体" w:eastAsia="宋体" w:cs="宋体"/>
          <w:b/>
          <w:bCs/>
          <w:color w:val="auto"/>
          <w:sz w:val="24"/>
          <w:szCs w:val="24"/>
          <w:highlight w:val="none"/>
          <w:lang w:val="en-US" w:eastAsia="zh-CN"/>
        </w:rPr>
        <w:t>其</w:t>
      </w:r>
      <w:r>
        <w:rPr>
          <w:rFonts w:hint="eastAsia" w:ascii="宋体" w:hAnsi="宋体" w:eastAsia="宋体" w:cs="宋体"/>
          <w:b/>
          <w:bCs/>
          <w:color w:val="auto"/>
          <w:sz w:val="24"/>
          <w:szCs w:val="24"/>
          <w:highlight w:val="none"/>
        </w:rPr>
        <w:t>投标</w:t>
      </w:r>
      <w:r>
        <w:rPr>
          <w:rFonts w:hint="eastAsia" w:ascii="宋体" w:hAnsi="宋体" w:eastAsia="宋体" w:cs="宋体"/>
          <w:b/>
          <w:bCs/>
          <w:color w:val="auto"/>
          <w:sz w:val="24"/>
          <w:szCs w:val="24"/>
          <w:highlight w:val="none"/>
          <w:lang w:val="en-US" w:eastAsia="zh-CN"/>
        </w:rPr>
        <w:t>无效</w:t>
      </w:r>
      <w:r>
        <w:rPr>
          <w:rFonts w:hint="eastAsia" w:ascii="宋体" w:hAnsi="宋体" w:eastAsia="宋体" w:cs="宋体"/>
          <w:color w:val="auto"/>
          <w:sz w:val="24"/>
          <w:szCs w:val="24"/>
          <w:highlight w:val="none"/>
        </w:rPr>
        <w:t>。</w:t>
      </w:r>
    </w:p>
    <w:p w14:paraId="7A6BB4B7">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投标文件须严格按照</w:t>
      </w:r>
      <w:r>
        <w:rPr>
          <w:rFonts w:hint="eastAsia" w:ascii="宋体" w:hAnsi="宋体" w:eastAsia="宋体" w:cs="宋体"/>
          <w:color w:val="auto"/>
          <w:sz w:val="24"/>
          <w:szCs w:val="24"/>
          <w:highlight w:val="none"/>
          <w:lang w:val="en-US" w:eastAsia="zh-CN"/>
        </w:rPr>
        <w:t>本</w:t>
      </w:r>
      <w:r>
        <w:rPr>
          <w:rFonts w:hint="eastAsia" w:ascii="宋体" w:hAnsi="宋体" w:eastAsia="宋体" w:cs="宋体"/>
          <w:color w:val="auto"/>
          <w:sz w:val="24"/>
          <w:szCs w:val="24"/>
          <w:highlight w:val="none"/>
        </w:rPr>
        <w:t>招标文件第</w:t>
      </w:r>
      <w:r>
        <w:rPr>
          <w:rFonts w:hint="eastAsia" w:ascii="宋体" w:hAnsi="宋体" w:eastAsia="宋体" w:cs="宋体"/>
          <w:color w:val="auto"/>
          <w:sz w:val="24"/>
          <w:szCs w:val="24"/>
          <w:highlight w:val="none"/>
          <w:lang w:val="en-US" w:eastAsia="zh-CN"/>
        </w:rPr>
        <w:t>七章</w:t>
      </w:r>
      <w:r>
        <w:rPr>
          <w:rFonts w:hint="eastAsia" w:ascii="宋体" w:hAnsi="宋体" w:eastAsia="宋体" w:cs="宋体"/>
          <w:color w:val="auto"/>
          <w:sz w:val="24"/>
          <w:szCs w:val="24"/>
          <w:highlight w:val="none"/>
        </w:rPr>
        <w:t>规定的格式提交，并按规定的统一格式逐项填写，不准有空项；无相应内容可填的项，应填写“无”、“未测试”、“没有相应指标”等明确的回答文字。由于编排混乱导致投标文件被误读或查找不到，其责任由投标人承担。</w:t>
      </w:r>
    </w:p>
    <w:p w14:paraId="4B72F25A">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开标一览表为在开标</w:t>
      </w:r>
      <w:r>
        <w:rPr>
          <w:rFonts w:hint="eastAsia" w:ascii="宋体" w:hAnsi="宋体" w:eastAsia="宋体" w:cs="宋体"/>
          <w:color w:val="auto"/>
          <w:sz w:val="24"/>
          <w:szCs w:val="24"/>
          <w:highlight w:val="none"/>
          <w:lang w:val="en-US" w:eastAsia="zh-CN"/>
        </w:rPr>
        <w:t>时</w:t>
      </w:r>
      <w:r>
        <w:rPr>
          <w:rFonts w:hint="eastAsia" w:ascii="宋体" w:hAnsi="宋体" w:eastAsia="宋体" w:cs="宋体"/>
          <w:color w:val="auto"/>
          <w:sz w:val="24"/>
          <w:szCs w:val="24"/>
          <w:highlight w:val="none"/>
        </w:rPr>
        <w:t>唱标的内容，要求按格式统一填写，不得自行增减内容。</w:t>
      </w:r>
    </w:p>
    <w:p w14:paraId="499D7059">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投标人须注意：为合理节约政府采购评审成本，提倡诚实信用的投标行为，特别要求投标人应本着诚信精神，在本次投标文件的偏离表中，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标委员会有权视具体情形评审时</w:t>
      </w:r>
      <w:r>
        <w:rPr>
          <w:rFonts w:hint="eastAsia" w:ascii="宋体" w:hAnsi="宋体" w:eastAsia="宋体" w:cs="宋体"/>
          <w:color w:val="auto"/>
          <w:sz w:val="24"/>
          <w:szCs w:val="24"/>
          <w:highlight w:val="none"/>
          <w:lang w:val="en-US" w:eastAsia="zh-CN"/>
        </w:rPr>
        <w:t>按</w:t>
      </w:r>
      <w:r>
        <w:rPr>
          <w:rFonts w:hint="eastAsia" w:ascii="宋体" w:hAnsi="宋体" w:eastAsia="宋体" w:cs="宋体"/>
          <w:b/>
          <w:bCs/>
          <w:color w:val="auto"/>
          <w:sz w:val="24"/>
          <w:szCs w:val="24"/>
          <w:highlight w:val="none"/>
          <w:lang w:val="en-US" w:eastAsia="zh-CN"/>
        </w:rPr>
        <w:t>无效投标</w:t>
      </w:r>
      <w:r>
        <w:rPr>
          <w:rFonts w:hint="eastAsia" w:ascii="宋体" w:hAnsi="宋体" w:eastAsia="宋体" w:cs="宋体"/>
          <w:color w:val="auto"/>
          <w:sz w:val="24"/>
          <w:szCs w:val="24"/>
          <w:highlight w:val="none"/>
        </w:rPr>
        <w:t>处理。</w:t>
      </w:r>
    </w:p>
    <w:p w14:paraId="7DBECB06">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投标人必须保证投标文件所提供的全部资料真实可靠，并接受采购</w:t>
      </w:r>
      <w:r>
        <w:rPr>
          <w:rFonts w:hint="eastAsia" w:ascii="宋体" w:hAnsi="宋体" w:eastAsia="宋体" w:cs="宋体"/>
          <w:color w:val="auto"/>
          <w:sz w:val="24"/>
          <w:szCs w:val="24"/>
          <w:highlight w:val="none"/>
          <w:lang w:val="en-US" w:eastAsia="zh-CN"/>
        </w:rPr>
        <w:t>人、采购</w:t>
      </w:r>
      <w:r>
        <w:rPr>
          <w:rFonts w:hint="eastAsia" w:ascii="宋体" w:hAnsi="宋体" w:eastAsia="宋体" w:cs="宋体"/>
          <w:color w:val="auto"/>
          <w:sz w:val="24"/>
          <w:szCs w:val="24"/>
          <w:highlight w:val="none"/>
        </w:rPr>
        <w:t>代理机构或评标委员会对其中任何资料进一步审查的要求。</w:t>
      </w:r>
    </w:p>
    <w:p w14:paraId="7AE3718F">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投标人在投标文件及相关文件的签订、履行、通知等事项的文件中的单位盖章、印章、公章等处均指与当事人全称相一致的标准公章，不得使用其他形式（如带有“专用章”等字样的印章）。不符合本条规定的按</w:t>
      </w:r>
      <w:r>
        <w:rPr>
          <w:rFonts w:hint="eastAsia" w:ascii="宋体" w:hAnsi="宋体" w:eastAsia="宋体" w:cs="宋体"/>
          <w:b/>
          <w:bCs/>
          <w:color w:val="auto"/>
          <w:sz w:val="24"/>
          <w:szCs w:val="24"/>
          <w:highlight w:val="none"/>
        </w:rPr>
        <w:t>无效投标</w:t>
      </w:r>
      <w:r>
        <w:rPr>
          <w:rFonts w:hint="eastAsia" w:ascii="宋体" w:hAnsi="宋体" w:eastAsia="宋体" w:cs="宋体"/>
          <w:color w:val="auto"/>
          <w:sz w:val="24"/>
          <w:szCs w:val="24"/>
          <w:highlight w:val="none"/>
        </w:rPr>
        <w:t>处理。</w:t>
      </w:r>
    </w:p>
    <w:p w14:paraId="323B93DE">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16.9电子投标文件的编制</w:t>
      </w:r>
    </w:p>
    <w:p w14:paraId="072DFFA4">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16.9.1电子投标文件需按招标文件要求进行制作编制。投标文件制作时，不同内容按标签提示制作导入，按照招标文件中明确的投标文件目录和格式进行编制，保证目录清晰、内容完整；           </w:t>
      </w:r>
    </w:p>
    <w:p w14:paraId="51F1928B">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16.9.2电子招投标文件具有法律效力，与其他形式的招投标文件在内容和格式上等同，若投标文件与招标文件要求不一致，其内容影响中标结果时，责任由投标人自行承担。投标人递交的电子投标文件因投标人自身原因而导致无法导入电子辅助评标系统，该投标文件视为无效投标文件，</w:t>
      </w:r>
      <w:r>
        <w:rPr>
          <w:rFonts w:hint="eastAsia" w:ascii="宋体" w:hAnsi="宋体" w:eastAsia="宋体" w:cs="宋体"/>
          <w:b/>
          <w:bCs/>
          <w:iCs/>
          <w:color w:val="auto"/>
          <w:kern w:val="2"/>
          <w:sz w:val="24"/>
          <w:szCs w:val="24"/>
          <w:highlight w:val="none"/>
          <w:shd w:val="clear" w:color="auto" w:fill="FFFFFF" w:themeFill="background1"/>
          <w:lang w:val="en-US" w:eastAsia="zh-CN" w:bidi="ar-SA"/>
        </w:rPr>
        <w:t>其投标无效</w:t>
      </w: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 </w:t>
      </w:r>
    </w:p>
    <w:p w14:paraId="6B2E6D6A">
      <w:pPr>
        <w:pStyle w:val="4"/>
        <w:keepNext w:val="0"/>
        <w:keepLines w:val="0"/>
        <w:pageBreakBefore w:val="0"/>
        <w:widowControl w:val="0"/>
        <w:numPr>
          <w:ilvl w:val="0"/>
          <w:numId w:val="0"/>
        </w:numPr>
        <w:kinsoku/>
        <w:wordWrap/>
        <w:overflowPunct/>
        <w:topLinePunct w:val="0"/>
        <w:autoSpaceDE/>
        <w:autoSpaceDN/>
        <w:bidi w:val="0"/>
        <w:adjustRightInd/>
        <w:snapToGrid/>
        <w:spacing w:before="120" w:after="12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82" w:name="_Toc163492842"/>
      <w:bookmarkStart w:id="183" w:name="_Toc25951"/>
      <w:bookmarkStart w:id="184" w:name="_Toc155185873"/>
      <w:r>
        <w:rPr>
          <w:rFonts w:hint="eastAsia" w:ascii="宋体" w:hAnsi="宋体" w:eastAsia="宋体" w:cs="宋体"/>
          <w:b/>
          <w:bCs/>
          <w:color w:val="auto"/>
          <w:kern w:val="2"/>
          <w:sz w:val="24"/>
          <w:szCs w:val="24"/>
          <w:highlight w:val="none"/>
          <w:lang w:val="en-US" w:eastAsia="zh-CN" w:bidi="ar-SA"/>
        </w:rPr>
        <w:t>（四）投标</w:t>
      </w:r>
      <w:bookmarkEnd w:id="182"/>
      <w:bookmarkEnd w:id="183"/>
      <w:bookmarkEnd w:id="184"/>
    </w:p>
    <w:p w14:paraId="386CC8EA">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85" w:name="_Toc3205"/>
      <w:bookmarkStart w:id="186" w:name="_Toc163492843"/>
      <w:r>
        <w:rPr>
          <w:rFonts w:hint="eastAsia" w:ascii="宋体" w:hAnsi="宋体" w:eastAsia="宋体" w:cs="宋体"/>
          <w:b/>
          <w:bCs/>
          <w:color w:val="auto"/>
          <w:kern w:val="2"/>
          <w:sz w:val="24"/>
          <w:szCs w:val="24"/>
          <w:highlight w:val="none"/>
          <w:lang w:val="en-US" w:eastAsia="zh-CN" w:bidi="ar-SA"/>
        </w:rPr>
        <w:t>17.投标保证金</w:t>
      </w:r>
      <w:bookmarkEnd w:id="185"/>
    </w:p>
    <w:p w14:paraId="1182B9BB">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17.1投标人应按照招标文件“第二章 投标人须知前附表”规定的金额及要求提交投标保证金。投标人自愿超额缴纳投标保证金的，投标文件不做无效处理。</w:t>
      </w:r>
    </w:p>
    <w:p w14:paraId="370C7C1E">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17.2提交投标保证金可采用的形式：政府采购法律法规接受的支票、汇票、本票、网上银行支付或者金融机构、担保机构出具的保函等非现金形式。</w:t>
      </w:r>
      <w:r>
        <w:rPr>
          <w:rFonts w:hint="eastAsia" w:ascii="宋体" w:hAnsi="宋体" w:eastAsia="宋体" w:cs="宋体"/>
          <w:color w:val="auto"/>
          <w:kern w:val="2"/>
          <w:sz w:val="24"/>
          <w:szCs w:val="24"/>
          <w:highlight w:val="none"/>
          <w:lang w:val="en-US" w:eastAsia="zh-CN" w:bidi="ar-SA"/>
        </w:rPr>
        <w:t>投标人未按照招标文件要求提交投标保证金的，其</w:t>
      </w:r>
      <w:r>
        <w:rPr>
          <w:rFonts w:hint="eastAsia" w:ascii="宋体" w:hAnsi="宋体" w:eastAsia="宋体" w:cs="宋体"/>
          <w:b/>
          <w:bCs/>
          <w:color w:val="auto"/>
          <w:kern w:val="2"/>
          <w:sz w:val="24"/>
          <w:szCs w:val="24"/>
          <w:highlight w:val="none"/>
          <w:lang w:val="en-US" w:eastAsia="zh-CN" w:bidi="ar-SA"/>
        </w:rPr>
        <w:t>投标无效</w:t>
      </w:r>
      <w:r>
        <w:rPr>
          <w:rFonts w:hint="eastAsia" w:ascii="宋体" w:hAnsi="宋体" w:eastAsia="宋体" w:cs="宋体"/>
          <w:color w:val="auto"/>
          <w:kern w:val="2"/>
          <w:sz w:val="24"/>
          <w:szCs w:val="24"/>
          <w:highlight w:val="none"/>
          <w:lang w:val="en-US" w:eastAsia="zh-CN" w:bidi="ar-SA"/>
        </w:rPr>
        <w:t>。</w:t>
      </w:r>
      <w:r>
        <w:rPr>
          <w:rFonts w:hint="eastAsia" w:ascii="宋体" w:hAnsi="宋体" w:eastAsia="宋体" w:cs="宋体"/>
          <w:color w:val="auto"/>
          <w:sz w:val="24"/>
          <w:szCs w:val="24"/>
          <w:highlight w:val="none"/>
          <w:lang w:val="en-US" w:eastAsia="zh-CN"/>
        </w:rPr>
        <w:t>投标保证金有效期同投标有效期。</w:t>
      </w:r>
    </w:p>
    <w:p w14:paraId="54BD0912">
      <w:pPr>
        <w:pStyle w:val="10"/>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17.3投标保证金到账（保函提交）截止时间同投标截止时间。以支票、汇票、本票、网上银行支付等形式提交投标保证金的，应在投标截止时间前到账；以金融机构、担保机构出具的保函等形式提交投标保证金的，应在投标截止时间前将投标保证金支付原件扫描后作为投标文件的组成部分与投标文件一起上传。由于到账时间晚于投标截止时间，或者票据错误、印鉴不清等原因导致不能到账的，其</w:t>
      </w:r>
      <w:r>
        <w:rPr>
          <w:rFonts w:hint="eastAsia" w:ascii="宋体" w:hAnsi="宋体" w:eastAsia="宋体" w:cs="宋体"/>
          <w:b/>
          <w:bCs/>
          <w:color w:val="auto"/>
          <w:kern w:val="2"/>
          <w:sz w:val="24"/>
          <w:szCs w:val="24"/>
          <w:highlight w:val="none"/>
          <w:lang w:val="en-US" w:eastAsia="zh-CN"/>
        </w:rPr>
        <w:t>投标无效</w:t>
      </w:r>
      <w:r>
        <w:rPr>
          <w:rFonts w:hint="eastAsia" w:ascii="宋体" w:hAnsi="宋体" w:eastAsia="宋体" w:cs="宋体"/>
          <w:color w:val="auto"/>
          <w:kern w:val="2"/>
          <w:sz w:val="24"/>
          <w:szCs w:val="24"/>
          <w:highlight w:val="none"/>
          <w:lang w:val="en-US" w:eastAsia="zh-CN"/>
        </w:rPr>
        <w:t>。</w:t>
      </w:r>
    </w:p>
    <w:p w14:paraId="27BA1101">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17.4 投标人为联合体的，可以由联合体中的一方或者多方共同提交投标保证金，其提交的投标保证金对联合体各方均具有约束力。 </w:t>
      </w:r>
    </w:p>
    <w:p w14:paraId="45878AFC">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 17.5采购人或者采购代理机构应当在采购活动结束后及时退还投标人的投标保证金，采用银行保函、担保机构担保函等形式递交的投标保证金，经投标人同意后采购人、采购代理机构可以不再退还，但因投标人自身原因导致无法及时退还的除外。未中标投标人的投标保证金应当自中标通知书发出之日起 5 个工作日内退还，中标投标人的投标保证金应当自采购合同签订之日起 5 个工作日内退还。 </w:t>
      </w:r>
    </w:p>
    <w:p w14:paraId="6CFB121F">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17.6 投标人在投标截止时间前撤回已提交的投标文件的，自收到投标人书面撤回通知之日起 5 个工作日内，退还已收取的投标保证金，但因投标人自身原因导致无法及时退还的除外。 </w:t>
      </w:r>
    </w:p>
    <w:p w14:paraId="5EB3FE3B">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17.7 终止招标项目已经收取投标保证金的，自终止采购活动后 5 个工作日内退还已收取的投标保证金及其在银行产生的孳息。</w:t>
      </w:r>
    </w:p>
    <w:p w14:paraId="0B6A028F">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17.8 有下列情形之一的，采购人或采购代理机构可以不予退还投标保证金,</w:t>
      </w:r>
      <w:r>
        <w:rPr>
          <w:rFonts w:hint="eastAsia" w:ascii="宋体" w:hAnsi="宋体" w:eastAsia="宋体" w:cs="宋体"/>
          <w:color w:val="auto"/>
          <w:kern w:val="2"/>
          <w:sz w:val="24"/>
          <w:szCs w:val="24"/>
          <w:highlight w:val="none"/>
        </w:rPr>
        <w:t>情节严重的将其列入不良记录名单</w:t>
      </w: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 </w:t>
      </w:r>
    </w:p>
    <w:p w14:paraId="02F7ADEB">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17.8.1 </w:t>
      </w:r>
      <w:r>
        <w:rPr>
          <w:rFonts w:hint="eastAsia" w:ascii="宋体" w:hAnsi="宋体" w:eastAsia="宋体" w:cs="宋体"/>
          <w:color w:val="auto"/>
          <w:kern w:val="2"/>
          <w:sz w:val="24"/>
          <w:szCs w:val="24"/>
          <w:highlight w:val="none"/>
        </w:rPr>
        <w:t>开标后在投标有效期内，投标人撤</w:t>
      </w:r>
      <w:r>
        <w:rPr>
          <w:rFonts w:hint="eastAsia" w:ascii="宋体" w:hAnsi="宋体" w:eastAsia="宋体" w:cs="宋体"/>
          <w:color w:val="auto"/>
          <w:kern w:val="2"/>
          <w:sz w:val="24"/>
          <w:szCs w:val="24"/>
          <w:highlight w:val="none"/>
          <w:lang w:val="en-US" w:eastAsia="zh-CN"/>
        </w:rPr>
        <w:t>销</w:t>
      </w:r>
      <w:r>
        <w:rPr>
          <w:rFonts w:hint="eastAsia" w:ascii="宋体" w:hAnsi="宋体" w:eastAsia="宋体" w:cs="宋体"/>
          <w:color w:val="auto"/>
          <w:kern w:val="2"/>
          <w:sz w:val="24"/>
          <w:szCs w:val="24"/>
          <w:highlight w:val="none"/>
        </w:rPr>
        <w:t>其投标</w:t>
      </w:r>
      <w:r>
        <w:rPr>
          <w:rFonts w:hint="eastAsia" w:ascii="宋体" w:hAnsi="宋体" w:eastAsia="宋体" w:cs="宋体"/>
          <w:color w:val="auto"/>
          <w:kern w:val="2"/>
          <w:sz w:val="24"/>
          <w:szCs w:val="24"/>
          <w:highlight w:val="none"/>
          <w:lang w:val="en-US" w:eastAsia="zh-CN"/>
        </w:rPr>
        <w:t>的</w:t>
      </w:r>
      <w:r>
        <w:rPr>
          <w:rFonts w:hint="eastAsia" w:ascii="宋体" w:hAnsi="宋体" w:eastAsia="宋体" w:cs="宋体"/>
          <w:color w:val="auto"/>
          <w:kern w:val="2"/>
          <w:sz w:val="24"/>
          <w:szCs w:val="24"/>
          <w:highlight w:val="none"/>
        </w:rPr>
        <w:t>；</w:t>
      </w: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 </w:t>
      </w:r>
    </w:p>
    <w:p w14:paraId="36FC9D74">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17.8.2 </w:t>
      </w:r>
      <w:r>
        <w:rPr>
          <w:rFonts w:hint="eastAsia" w:ascii="宋体" w:hAnsi="宋体" w:eastAsia="宋体" w:cs="宋体"/>
          <w:color w:val="auto"/>
          <w:kern w:val="2"/>
          <w:sz w:val="24"/>
          <w:szCs w:val="24"/>
          <w:highlight w:val="none"/>
        </w:rPr>
        <w:t>中标后无正当理由不与采购人签订合同的；</w:t>
      </w:r>
    </w:p>
    <w:p w14:paraId="3694295C">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17.8.3 </w:t>
      </w:r>
      <w:r>
        <w:rPr>
          <w:rFonts w:hint="eastAsia" w:ascii="宋体" w:hAnsi="宋体" w:eastAsia="宋体" w:cs="宋体"/>
          <w:color w:val="auto"/>
          <w:kern w:val="2"/>
          <w:sz w:val="24"/>
          <w:szCs w:val="24"/>
          <w:highlight w:val="none"/>
        </w:rPr>
        <w:t>中标人与采购人订立背离合同实质性内容的其他协议；</w:t>
      </w:r>
    </w:p>
    <w:p w14:paraId="54583F23">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iCs/>
          <w:color w:val="auto"/>
          <w:kern w:val="2"/>
          <w:sz w:val="24"/>
          <w:szCs w:val="24"/>
          <w:highlight w:val="none"/>
          <w:shd w:val="clear" w:color="auto" w:fill="FFFFFF" w:themeFill="background1"/>
          <w:lang w:val="en-US" w:eastAsia="zh-CN" w:bidi="ar-SA"/>
        </w:rPr>
        <w:t>17.8.</w:t>
      </w:r>
      <w:r>
        <w:rPr>
          <w:rFonts w:hint="eastAsia" w:ascii="宋体" w:hAnsi="宋体" w:eastAsia="宋体" w:cs="宋体"/>
          <w:color w:val="auto"/>
          <w:kern w:val="2"/>
          <w:sz w:val="24"/>
          <w:szCs w:val="24"/>
          <w:highlight w:val="none"/>
        </w:rPr>
        <w:t>4</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将中标项目转让给他人，或者在投标文件中未说明，且未经采购</w:t>
      </w:r>
      <w:r>
        <w:rPr>
          <w:rFonts w:hint="eastAsia" w:ascii="宋体" w:hAnsi="宋体" w:eastAsia="宋体" w:cs="宋体"/>
          <w:color w:val="auto"/>
          <w:kern w:val="2"/>
          <w:sz w:val="24"/>
          <w:szCs w:val="24"/>
          <w:highlight w:val="none"/>
          <w:lang w:val="en-US" w:eastAsia="zh-CN"/>
        </w:rPr>
        <w:t>人</w:t>
      </w:r>
      <w:r>
        <w:rPr>
          <w:rFonts w:hint="eastAsia" w:ascii="宋体" w:hAnsi="宋体" w:eastAsia="宋体" w:cs="宋体"/>
          <w:color w:val="auto"/>
          <w:kern w:val="2"/>
          <w:sz w:val="24"/>
          <w:szCs w:val="24"/>
          <w:highlight w:val="none"/>
        </w:rPr>
        <w:t>同意，将中标项目分包给他人的；</w:t>
      </w:r>
    </w:p>
    <w:p w14:paraId="433DB211">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iCs/>
          <w:color w:val="auto"/>
          <w:kern w:val="2"/>
          <w:sz w:val="24"/>
          <w:szCs w:val="24"/>
          <w:highlight w:val="none"/>
          <w:shd w:val="clear" w:color="auto" w:fill="FFFFFF" w:themeFill="background1"/>
          <w:lang w:val="en-US" w:eastAsia="zh-CN" w:bidi="ar-SA"/>
        </w:rPr>
        <w:t>17.8.</w:t>
      </w:r>
      <w:r>
        <w:rPr>
          <w:rFonts w:hint="eastAsia" w:ascii="宋体" w:hAnsi="宋体" w:eastAsia="宋体" w:cs="宋体"/>
          <w:color w:val="auto"/>
          <w:kern w:val="2"/>
          <w:sz w:val="24"/>
          <w:szCs w:val="24"/>
          <w:highlight w:val="none"/>
        </w:rPr>
        <w:t>5</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存在串通投标行为的；</w:t>
      </w:r>
    </w:p>
    <w:p w14:paraId="0A3E2CC4">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iCs/>
          <w:color w:val="auto"/>
          <w:kern w:val="2"/>
          <w:sz w:val="24"/>
          <w:szCs w:val="24"/>
          <w:highlight w:val="none"/>
          <w:shd w:val="clear" w:color="auto" w:fill="FFFFFF" w:themeFill="background1"/>
          <w:lang w:val="en-US" w:eastAsia="zh-CN" w:bidi="ar-SA"/>
        </w:rPr>
        <w:t>17.8.</w:t>
      </w:r>
      <w:r>
        <w:rPr>
          <w:rFonts w:hint="eastAsia" w:ascii="宋体" w:hAnsi="宋体" w:eastAsia="宋体" w:cs="宋体"/>
          <w:color w:val="auto"/>
          <w:kern w:val="2"/>
          <w:sz w:val="24"/>
          <w:szCs w:val="24"/>
          <w:highlight w:val="none"/>
        </w:rPr>
        <w:t>6</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存在弄虚作假或提供虚假材料谋取中标的；</w:t>
      </w:r>
    </w:p>
    <w:p w14:paraId="3CBF915F">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iCs/>
          <w:color w:val="auto"/>
          <w:kern w:val="2"/>
          <w:sz w:val="24"/>
          <w:szCs w:val="24"/>
          <w:highlight w:val="none"/>
          <w:shd w:val="clear" w:color="auto" w:fill="FFFFFF" w:themeFill="background1"/>
          <w:lang w:val="en-US" w:eastAsia="zh-CN" w:bidi="ar-SA"/>
        </w:rPr>
        <w:t>17.8.</w:t>
      </w:r>
      <w:r>
        <w:rPr>
          <w:rFonts w:hint="eastAsia" w:ascii="宋体" w:hAnsi="宋体" w:eastAsia="宋体" w:cs="宋体"/>
          <w:color w:val="auto"/>
          <w:kern w:val="2"/>
          <w:sz w:val="24"/>
          <w:szCs w:val="24"/>
          <w:highlight w:val="none"/>
        </w:rPr>
        <w:t>7</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投标人其他未按招标文件规定和合同约定履行义务的行为。</w:t>
      </w:r>
    </w:p>
    <w:p w14:paraId="330E240F">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17.9如开标时投标人对本单位投标保证金缴纳情况有疑义，投标人应在开标结束前向采购人提交书面申请核实保证金缴纳情况。由银行或保险公司核实后出具书面材料予以答复。</w:t>
      </w:r>
    </w:p>
    <w:p w14:paraId="7018BCE4">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17.10为支持和促进中小企业发展，进一步发挥政府采购政策功能，鼓励投标供应商使用电子保函代替现金缴纳投标保证金，在线完成保函的申请、审核、开票、出函等环节，投标企业注意区分办理保函类型，并确认投标有效期，如采用政采云电子保函，可登录“兵团政府采购网”—顶部通栏“信用融资”或者“兵团政府采购网”首页“政采贷｜电子保函”快捷模块查看：</w:t>
      </w:r>
    </w:p>
    <w:p w14:paraId="1F3A8C5E">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直达链接（电子保函）：</w:t>
      </w:r>
    </w:p>
    <w:p w14:paraId="15E30E92">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https://jinrong.zcygov.cn/luban/finance/xinjiang?utm=site.site-PC-4838.1473-pc-wsg-customFloatWindow-front.1.b9d627301e6311efb796b33a13fe0d0a</w:t>
      </w:r>
    </w:p>
    <w:p w14:paraId="071DFFA7">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金融服务支撑热线：</w:t>
      </w:r>
      <w:r>
        <w:rPr>
          <w:rFonts w:hint="eastAsia" w:ascii="宋体" w:hAnsi="宋体" w:eastAsia="宋体" w:cs="宋体"/>
          <w:b/>
          <w:bCs/>
          <w:iCs/>
          <w:color w:val="auto"/>
          <w:kern w:val="2"/>
          <w:sz w:val="24"/>
          <w:szCs w:val="24"/>
          <w:highlight w:val="none"/>
          <w:shd w:val="clear" w:color="auto" w:fill="FFFFFF" w:themeFill="background1"/>
          <w:lang w:val="en-US" w:eastAsia="zh-CN" w:bidi="ar-SA"/>
        </w:rPr>
        <w:t>95763</w:t>
      </w: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     </w:t>
      </w:r>
    </w:p>
    <w:p w14:paraId="3586E853">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87" w:name="_Toc16592"/>
      <w:r>
        <w:rPr>
          <w:rFonts w:hint="eastAsia" w:ascii="宋体" w:hAnsi="宋体" w:eastAsia="宋体" w:cs="宋体"/>
          <w:b/>
          <w:bCs/>
          <w:color w:val="auto"/>
          <w:kern w:val="2"/>
          <w:sz w:val="24"/>
          <w:szCs w:val="24"/>
          <w:highlight w:val="none"/>
          <w:lang w:val="en-US" w:eastAsia="zh-CN" w:bidi="ar-SA"/>
        </w:rPr>
        <w:t>18.投标文件的加密</w:t>
      </w:r>
      <w:bookmarkEnd w:id="186"/>
      <w:bookmarkEnd w:id="187"/>
    </w:p>
    <w:p w14:paraId="7CFFC076">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u w:val="single"/>
        </w:rPr>
      </w:pPr>
      <w:bookmarkStart w:id="188" w:name="_Hlk143531864"/>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.1投标人在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中生成投标文件并完成签章之后，使用CA证书在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中对投标文件进行加密。</w:t>
      </w:r>
    </w:p>
    <w:p w14:paraId="20075D69">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.2投标人应在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中对加密的投标文件进行解密验证，以防止投标文件加密异常，在开标时无法解密。</w:t>
      </w:r>
    </w:p>
    <w:p w14:paraId="60E84957">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 投标人应保证加密投标文件的CA证书有效期在开标时间之前。若CA证书有效期临近开标时间，建议投标人提前办理CA证书续期，以免开标时无法进行解密。</w:t>
      </w:r>
    </w:p>
    <w:p w14:paraId="4D80B003">
      <w:pPr>
        <w:keepNext w:val="0"/>
        <w:keepLines w:val="0"/>
        <w:pageBreakBefore w:val="0"/>
        <w:widowControl w:val="0"/>
        <w:kinsoku/>
        <w:wordWrap w:val="0"/>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递交截</w:t>
      </w:r>
      <w:r>
        <w:rPr>
          <w:rFonts w:hint="eastAsia" w:ascii="宋体" w:hAnsi="宋体" w:eastAsia="宋体" w:cs="宋体"/>
          <w:color w:val="auto"/>
          <w:sz w:val="24"/>
          <w:szCs w:val="24"/>
          <w:highlight w:val="none"/>
          <w:lang w:val="en-US" w:eastAsia="zh-CN"/>
        </w:rPr>
        <w:t>止</w:t>
      </w:r>
      <w:r>
        <w:rPr>
          <w:rFonts w:hint="eastAsia" w:ascii="宋体" w:hAnsi="宋体" w:eastAsia="宋体" w:cs="宋体"/>
          <w:color w:val="auto"/>
          <w:sz w:val="24"/>
          <w:szCs w:val="24"/>
          <w:highlight w:val="none"/>
        </w:rPr>
        <w:t>时间前通过</w:t>
      </w:r>
      <w:r>
        <w:rPr>
          <w:rFonts w:hint="eastAsia" w:ascii="宋体" w:hAnsi="宋体" w:eastAsia="宋体" w:cs="宋体"/>
          <w:color w:val="auto"/>
          <w:sz w:val="24"/>
          <w:szCs w:val="24"/>
          <w:highlight w:val="none"/>
          <w:lang w:val="en-US" w:eastAsia="zh-CN"/>
        </w:rPr>
        <w:t>兵团</w:t>
      </w:r>
      <w:r>
        <w:rPr>
          <w:rFonts w:hint="eastAsia" w:ascii="宋体" w:hAnsi="宋体" w:eastAsia="宋体" w:cs="宋体"/>
          <w:color w:val="auto"/>
          <w:sz w:val="24"/>
          <w:szCs w:val="24"/>
          <w:highlight w:val="none"/>
        </w:rPr>
        <w:t>政府采购网（http://ccgp-bingtuan.gov.cn/）的”政采云登录入口”登录后，将加密电子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（为.jmbs后缀格式）上传到对应项目的指定位置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投标人认为有必要提交的其他资料请于投标截止时间前一并提交。</w:t>
      </w:r>
    </w:p>
    <w:p w14:paraId="7FD09881">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如果投标人未按上述要求</w:t>
      </w:r>
      <w:r>
        <w:rPr>
          <w:rFonts w:hint="eastAsia" w:ascii="宋体" w:hAnsi="宋体" w:eastAsia="宋体" w:cs="宋体"/>
          <w:color w:val="auto"/>
          <w:sz w:val="24"/>
          <w:szCs w:val="24"/>
          <w:highlight w:val="none"/>
          <w:lang w:val="en-US" w:eastAsia="zh-CN"/>
        </w:rPr>
        <w:t>加密并上传</w:t>
      </w:r>
      <w:r>
        <w:rPr>
          <w:rFonts w:hint="eastAsia" w:ascii="宋体" w:hAnsi="宋体" w:eastAsia="宋体" w:cs="宋体"/>
          <w:color w:val="auto"/>
          <w:sz w:val="24"/>
          <w:szCs w:val="24"/>
          <w:highlight w:val="none"/>
        </w:rPr>
        <w:t>，采购代理机构对投标文件的误投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无法解密、传输错误等问题</w:t>
      </w:r>
      <w:r>
        <w:rPr>
          <w:rFonts w:hint="eastAsia" w:ascii="宋体" w:hAnsi="宋体" w:eastAsia="宋体" w:cs="宋体"/>
          <w:color w:val="auto"/>
          <w:sz w:val="24"/>
          <w:szCs w:val="24"/>
          <w:highlight w:val="none"/>
        </w:rPr>
        <w:t>概不负责。对由此造成</w:t>
      </w:r>
      <w:r>
        <w:rPr>
          <w:rFonts w:hint="eastAsia" w:ascii="宋体" w:hAnsi="宋体" w:eastAsia="宋体" w:cs="宋体"/>
          <w:color w:val="auto"/>
          <w:sz w:val="24"/>
          <w:szCs w:val="24"/>
          <w:highlight w:val="none"/>
          <w:lang w:val="en-US" w:eastAsia="zh-CN"/>
        </w:rPr>
        <w:t>无法正常开启</w:t>
      </w:r>
      <w:r>
        <w:rPr>
          <w:rFonts w:hint="eastAsia" w:ascii="宋体" w:hAnsi="宋体" w:eastAsia="宋体" w:cs="宋体"/>
          <w:color w:val="auto"/>
          <w:sz w:val="24"/>
          <w:szCs w:val="24"/>
          <w:highlight w:val="none"/>
        </w:rPr>
        <w:t>的投标文件，采购代理机构有权予以拒绝，并退回投标人。</w:t>
      </w:r>
    </w:p>
    <w:p w14:paraId="23051441">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本项目采用不见面开标，无需提供电子投标文件U盘。</w:t>
      </w:r>
    </w:p>
    <w:bookmarkEnd w:id="188"/>
    <w:p w14:paraId="31ED663E">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89" w:name="_Toc140132777"/>
      <w:bookmarkStart w:id="190" w:name="_Toc163492844"/>
      <w:bookmarkStart w:id="191" w:name="_Toc7146"/>
      <w:r>
        <w:rPr>
          <w:rFonts w:hint="eastAsia" w:ascii="宋体" w:hAnsi="宋体" w:eastAsia="宋体" w:cs="宋体"/>
          <w:b/>
          <w:bCs/>
          <w:color w:val="auto"/>
          <w:kern w:val="2"/>
          <w:sz w:val="24"/>
          <w:szCs w:val="24"/>
          <w:highlight w:val="none"/>
          <w:lang w:val="en-US" w:eastAsia="zh-CN" w:bidi="ar-SA"/>
        </w:rPr>
        <w:t>19.投标文件的递交</w:t>
      </w:r>
      <w:bookmarkEnd w:id="189"/>
      <w:r>
        <w:rPr>
          <w:rFonts w:hint="eastAsia" w:ascii="宋体" w:hAnsi="宋体" w:eastAsia="宋体" w:cs="宋体"/>
          <w:b/>
          <w:bCs/>
          <w:color w:val="auto"/>
          <w:kern w:val="2"/>
          <w:sz w:val="24"/>
          <w:szCs w:val="24"/>
          <w:highlight w:val="none"/>
          <w:lang w:val="en-US" w:eastAsia="zh-CN" w:bidi="ar-SA"/>
        </w:rPr>
        <w:t>（上传）</w:t>
      </w:r>
      <w:bookmarkEnd w:id="190"/>
      <w:bookmarkEnd w:id="191"/>
    </w:p>
    <w:p w14:paraId="68ADD5DF">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bookmarkStart w:id="192" w:name="_Hlk143531977"/>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.1 投标人应在“</w:t>
      </w:r>
      <w:r>
        <w:rPr>
          <w:rFonts w:hint="eastAsia" w:ascii="宋体" w:hAnsi="宋体" w:eastAsia="宋体" w:cs="宋体"/>
          <w:color w:val="auto"/>
          <w:sz w:val="24"/>
          <w:szCs w:val="24"/>
          <w:highlight w:val="none"/>
          <w:lang w:val="en-US" w:eastAsia="zh-CN"/>
        </w:rPr>
        <w:t>第一章 招标公告</w:t>
      </w:r>
      <w:r>
        <w:rPr>
          <w:rFonts w:hint="eastAsia" w:ascii="宋体" w:hAnsi="宋体" w:eastAsia="宋体" w:cs="宋体"/>
          <w:color w:val="auto"/>
          <w:sz w:val="24"/>
          <w:szCs w:val="24"/>
          <w:highlight w:val="none"/>
        </w:rPr>
        <w:t>”规定的投标截止时间前递交（上传）投标文件。</w:t>
      </w:r>
    </w:p>
    <w:p w14:paraId="0686D9A3">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.2 投标人递交（上传）投标文件的地点见“</w:t>
      </w:r>
      <w:r>
        <w:rPr>
          <w:rFonts w:hint="eastAsia" w:ascii="宋体" w:hAnsi="宋体" w:eastAsia="宋体" w:cs="宋体"/>
          <w:color w:val="auto"/>
          <w:sz w:val="24"/>
          <w:szCs w:val="24"/>
          <w:highlight w:val="none"/>
          <w:lang w:val="en-US" w:eastAsia="zh-CN"/>
        </w:rPr>
        <w:t>第一章 招标公告</w:t>
      </w:r>
      <w:r>
        <w:rPr>
          <w:rFonts w:hint="eastAsia" w:ascii="宋体" w:hAnsi="宋体" w:eastAsia="宋体" w:cs="宋体"/>
          <w:color w:val="auto"/>
          <w:sz w:val="24"/>
          <w:szCs w:val="24"/>
          <w:highlight w:val="none"/>
        </w:rPr>
        <w:t>”。</w:t>
      </w:r>
    </w:p>
    <w:p w14:paraId="6AE6974A">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.3投标人应充分评估集中同时投标带来的网络影响，尽量避开投标高峰时间，错峰进行电子投标。投标人递交全部的投标文件后可在政采云平台（项目采购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投标文件上传）中获取投标文件递交回执单。</w:t>
      </w:r>
    </w:p>
    <w:p w14:paraId="66FB688C">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.4 投标人应在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中下载未加密且完成签章的投标文件妥善保存，以便启动应急开标程序时使用。</w:t>
      </w:r>
    </w:p>
    <w:p w14:paraId="4469D505">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.5投标人所递交的投标文件不予退还。</w:t>
      </w:r>
    </w:p>
    <w:bookmarkEnd w:id="192"/>
    <w:p w14:paraId="6AD70963">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93" w:name="_Toc788"/>
      <w:bookmarkStart w:id="194" w:name="_Toc163492845"/>
      <w:r>
        <w:rPr>
          <w:rFonts w:hint="eastAsia" w:ascii="宋体" w:hAnsi="宋体" w:eastAsia="宋体" w:cs="宋体"/>
          <w:b/>
          <w:bCs/>
          <w:color w:val="auto"/>
          <w:kern w:val="2"/>
          <w:sz w:val="24"/>
          <w:szCs w:val="24"/>
          <w:highlight w:val="none"/>
          <w:lang w:val="en-US" w:eastAsia="zh-CN" w:bidi="ar-SA"/>
        </w:rPr>
        <w:t>20.拒收</w:t>
      </w:r>
      <w:bookmarkEnd w:id="193"/>
      <w:bookmarkEnd w:id="194"/>
    </w:p>
    <w:p w14:paraId="163AD542">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 超过投标文件提交截止时间</w:t>
      </w:r>
      <w:bookmarkStart w:id="195" w:name="_Hlk143532404"/>
      <w:r>
        <w:rPr>
          <w:rFonts w:hint="eastAsia" w:ascii="宋体" w:hAnsi="宋体" w:eastAsia="宋体" w:cs="宋体"/>
          <w:color w:val="auto"/>
          <w:sz w:val="24"/>
          <w:szCs w:val="24"/>
          <w:highlight w:val="none"/>
        </w:rPr>
        <w:t>或者不按照本章要求加密的投标文件，交易系统应当拒收</w:t>
      </w:r>
      <w:bookmarkEnd w:id="195"/>
      <w:r>
        <w:rPr>
          <w:rFonts w:hint="eastAsia" w:ascii="宋体" w:hAnsi="宋体" w:eastAsia="宋体" w:cs="宋体"/>
          <w:color w:val="auto"/>
          <w:sz w:val="24"/>
          <w:szCs w:val="24"/>
          <w:highlight w:val="none"/>
        </w:rPr>
        <w:t>。</w:t>
      </w:r>
    </w:p>
    <w:p w14:paraId="03561218">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96" w:name="_Toc140132778"/>
      <w:bookmarkStart w:id="197" w:name="_Toc735"/>
      <w:bookmarkStart w:id="198" w:name="_Toc163492846"/>
      <w:r>
        <w:rPr>
          <w:rFonts w:hint="eastAsia" w:ascii="宋体" w:hAnsi="宋体" w:eastAsia="宋体" w:cs="宋体"/>
          <w:b/>
          <w:bCs/>
          <w:color w:val="auto"/>
          <w:kern w:val="2"/>
          <w:sz w:val="24"/>
          <w:szCs w:val="24"/>
          <w:highlight w:val="none"/>
          <w:lang w:val="en-US" w:eastAsia="zh-CN" w:bidi="ar-SA"/>
        </w:rPr>
        <w:t>21.投标文件的修改与撤回</w:t>
      </w:r>
      <w:bookmarkEnd w:id="196"/>
      <w:bookmarkEnd w:id="197"/>
      <w:bookmarkEnd w:id="198"/>
    </w:p>
    <w:p w14:paraId="7DBF29E0">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w:t>
      </w:r>
      <w:bookmarkStart w:id="199" w:name="_Hlk143532466"/>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第一章 招标公告</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规定的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递交截止时间之前，可在兵团政府采购电子交易云平台上随时撤回已上传的电子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，将修改好的电子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递交截止时间前重新上传到兵团政府采购电子交易云平台的</w:t>
      </w:r>
      <w:r>
        <w:rPr>
          <w:rFonts w:hint="eastAsia" w:ascii="宋体" w:hAnsi="宋体" w:eastAsia="宋体" w:cs="宋体"/>
          <w:color w:val="auto"/>
          <w:sz w:val="24"/>
          <w:szCs w:val="24"/>
          <w:highlight w:val="none"/>
          <w:lang w:val="en-US" w:eastAsia="zh-CN"/>
        </w:rPr>
        <w:t>指</w:t>
      </w:r>
      <w:r>
        <w:rPr>
          <w:rFonts w:hint="eastAsia" w:ascii="宋体" w:hAnsi="宋体" w:eastAsia="宋体" w:cs="宋体"/>
          <w:color w:val="auto"/>
          <w:sz w:val="24"/>
          <w:szCs w:val="24"/>
          <w:highlight w:val="none"/>
        </w:rPr>
        <w:t>定位置。</w:t>
      </w:r>
    </w:p>
    <w:bookmarkEnd w:id="199"/>
    <w:p w14:paraId="20434D8C">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00" w:name="_Toc155185874"/>
      <w:bookmarkStart w:id="201" w:name="_Toc18326"/>
      <w:bookmarkStart w:id="202" w:name="_Toc163492847"/>
      <w:r>
        <w:rPr>
          <w:rFonts w:hint="eastAsia" w:ascii="宋体" w:hAnsi="宋体" w:eastAsia="宋体" w:cs="宋体"/>
          <w:b/>
          <w:bCs/>
          <w:color w:val="auto"/>
          <w:kern w:val="2"/>
          <w:sz w:val="24"/>
          <w:szCs w:val="24"/>
          <w:highlight w:val="none"/>
          <w:lang w:val="en-US" w:eastAsia="zh-CN" w:bidi="ar-SA"/>
        </w:rPr>
        <w:t>22.实物样品</w:t>
      </w:r>
      <w:bookmarkEnd w:id="200"/>
      <w:bookmarkEnd w:id="201"/>
      <w:bookmarkEnd w:id="202"/>
    </w:p>
    <w:p w14:paraId="52D4EAF6">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.1“投标人须知前附表”要求提供样品的，样品的具体要求及评审详见“第三章 采购需求”和“第五章 评标</w:t>
      </w:r>
      <w:r>
        <w:rPr>
          <w:rFonts w:hint="eastAsia" w:ascii="宋体" w:hAnsi="宋体" w:eastAsia="宋体" w:cs="宋体"/>
          <w:snapToGrid w:val="0"/>
          <w:color w:val="auto"/>
          <w:sz w:val="24"/>
          <w:szCs w:val="24"/>
          <w:highlight w:val="none"/>
          <w:lang w:val="en-US" w:eastAsia="zh-CN"/>
        </w:rPr>
        <w:t>方</w:t>
      </w:r>
      <w:r>
        <w:rPr>
          <w:rFonts w:hint="eastAsia" w:ascii="宋体" w:hAnsi="宋体" w:eastAsia="宋体" w:cs="宋体"/>
          <w:color w:val="auto"/>
          <w:sz w:val="24"/>
          <w:szCs w:val="24"/>
          <w:highlight w:val="none"/>
        </w:rPr>
        <w:t>法及标准”。</w:t>
      </w:r>
    </w:p>
    <w:p w14:paraId="2D6ED3FC">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.2样品退还：未中标的投标人应</w:t>
      </w:r>
      <w:r>
        <w:rPr>
          <w:rFonts w:hint="eastAsia" w:ascii="宋体" w:hAnsi="宋体" w:eastAsia="宋体" w:cs="宋体"/>
          <w:color w:val="auto"/>
          <w:sz w:val="24"/>
          <w:szCs w:val="24"/>
          <w:highlight w:val="none"/>
          <w:lang w:val="en-US" w:eastAsia="zh-CN"/>
        </w:rPr>
        <w:t>按照</w:t>
      </w:r>
      <w:r>
        <w:rPr>
          <w:rFonts w:hint="eastAsia" w:ascii="宋体" w:hAnsi="宋体" w:eastAsia="宋体" w:cs="宋体"/>
          <w:color w:val="auto"/>
          <w:sz w:val="24"/>
          <w:szCs w:val="24"/>
          <w:highlight w:val="none"/>
        </w:rPr>
        <w:t>“投标人须知前附表”</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自行联系采购人取回投标样品；中标人的样品由采购人进行保管、封存，并作为履约验收的参考（招标文件另有规定的从其规定）。</w:t>
      </w:r>
    </w:p>
    <w:p w14:paraId="7DD3C31F">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03" w:name="_Toc16730"/>
      <w:bookmarkStart w:id="204" w:name="_Toc155185875"/>
      <w:bookmarkStart w:id="205" w:name="_Toc163492848"/>
      <w:r>
        <w:rPr>
          <w:rFonts w:hint="eastAsia" w:ascii="宋体" w:hAnsi="宋体" w:eastAsia="宋体" w:cs="宋体"/>
          <w:b/>
          <w:bCs/>
          <w:color w:val="auto"/>
          <w:kern w:val="2"/>
          <w:sz w:val="24"/>
          <w:szCs w:val="24"/>
          <w:highlight w:val="none"/>
          <w:lang w:val="en-US" w:eastAsia="zh-CN" w:bidi="ar-SA"/>
        </w:rPr>
        <w:t>23.演示</w:t>
      </w:r>
      <w:bookmarkEnd w:id="203"/>
      <w:bookmarkEnd w:id="204"/>
      <w:bookmarkEnd w:id="205"/>
    </w:p>
    <w:p w14:paraId="1A234B38">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.1要求投标人进行演示的，演示要求详见“投标人须知前附表”。</w:t>
      </w:r>
    </w:p>
    <w:p w14:paraId="527E9036">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.2演示的评审详见“第三章 采购需求”和“第五章 评标</w:t>
      </w:r>
      <w:r>
        <w:rPr>
          <w:rFonts w:hint="eastAsia" w:ascii="宋体" w:hAnsi="宋体" w:eastAsia="宋体" w:cs="宋体"/>
          <w:color w:val="auto"/>
          <w:sz w:val="24"/>
          <w:szCs w:val="24"/>
          <w:highlight w:val="none"/>
          <w:lang w:val="en-US" w:eastAsia="zh-CN"/>
        </w:rPr>
        <w:t>方</w:t>
      </w:r>
      <w:r>
        <w:rPr>
          <w:rFonts w:hint="eastAsia" w:ascii="宋体" w:hAnsi="宋体" w:eastAsia="宋体" w:cs="宋体"/>
          <w:color w:val="auto"/>
          <w:sz w:val="24"/>
          <w:szCs w:val="24"/>
          <w:highlight w:val="none"/>
        </w:rPr>
        <w:t>法及标准”。</w:t>
      </w:r>
    </w:p>
    <w:p w14:paraId="44828689">
      <w:pPr>
        <w:pStyle w:val="4"/>
        <w:keepNext w:val="0"/>
        <w:keepLines w:val="0"/>
        <w:pageBreakBefore w:val="0"/>
        <w:widowControl w:val="0"/>
        <w:numPr>
          <w:ilvl w:val="0"/>
          <w:numId w:val="0"/>
        </w:numPr>
        <w:kinsoku/>
        <w:wordWrap/>
        <w:overflowPunct/>
        <w:topLinePunct w:val="0"/>
        <w:autoSpaceDE/>
        <w:autoSpaceDN/>
        <w:bidi w:val="0"/>
        <w:adjustRightInd/>
        <w:snapToGrid/>
        <w:spacing w:before="120" w:after="12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06" w:name="_Toc32704"/>
      <w:bookmarkStart w:id="207" w:name="_Toc163492849"/>
      <w:bookmarkStart w:id="208" w:name="_Toc140132779"/>
      <w:bookmarkStart w:id="209" w:name="_Toc155185876"/>
      <w:r>
        <w:rPr>
          <w:rFonts w:hint="eastAsia" w:ascii="宋体" w:hAnsi="宋体" w:eastAsia="宋体" w:cs="宋体"/>
          <w:b/>
          <w:bCs/>
          <w:color w:val="auto"/>
          <w:kern w:val="2"/>
          <w:sz w:val="24"/>
          <w:szCs w:val="24"/>
          <w:highlight w:val="none"/>
          <w:lang w:val="en-US" w:eastAsia="zh-CN" w:bidi="ar-SA"/>
        </w:rPr>
        <w:t>（五）开标</w:t>
      </w:r>
      <w:bookmarkEnd w:id="206"/>
      <w:bookmarkEnd w:id="207"/>
      <w:bookmarkEnd w:id="208"/>
      <w:bookmarkEnd w:id="209"/>
    </w:p>
    <w:p w14:paraId="1705A8FF">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10" w:name="_Toc163492850"/>
      <w:bookmarkStart w:id="211" w:name="_Toc140132780"/>
      <w:bookmarkStart w:id="212" w:name="_Toc30506"/>
      <w:r>
        <w:rPr>
          <w:rFonts w:hint="eastAsia" w:ascii="宋体" w:hAnsi="宋体" w:eastAsia="宋体" w:cs="宋体"/>
          <w:b/>
          <w:bCs/>
          <w:color w:val="auto"/>
          <w:kern w:val="2"/>
          <w:sz w:val="24"/>
          <w:szCs w:val="24"/>
          <w:highlight w:val="none"/>
          <w:lang w:val="en-US" w:eastAsia="zh-CN" w:bidi="ar-SA"/>
        </w:rPr>
        <w:t>24.开标会议</w:t>
      </w:r>
      <w:bookmarkEnd w:id="210"/>
      <w:bookmarkEnd w:id="211"/>
      <w:bookmarkEnd w:id="212"/>
    </w:p>
    <w:p w14:paraId="43376441">
      <w:pPr>
        <w:keepNext w:val="0"/>
        <w:keepLines w:val="0"/>
        <w:pageBreakBefore w:val="0"/>
        <w:widowControl w:val="0"/>
        <w:kinsoku/>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lang w:eastAsia="zh-CN"/>
        </w:rPr>
      </w:pPr>
      <w:bookmarkStart w:id="213" w:name="_Toc140132781"/>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开标会按“</w:t>
      </w:r>
      <w:r>
        <w:rPr>
          <w:rFonts w:hint="eastAsia" w:ascii="宋体" w:hAnsi="宋体" w:eastAsia="宋体" w:cs="宋体"/>
          <w:color w:val="auto"/>
          <w:sz w:val="24"/>
          <w:szCs w:val="24"/>
          <w:highlight w:val="none"/>
          <w:lang w:val="en-US" w:eastAsia="zh-CN"/>
        </w:rPr>
        <w:t>第一章 招标公告</w:t>
      </w:r>
      <w:r>
        <w:rPr>
          <w:rFonts w:hint="eastAsia" w:ascii="宋体" w:hAnsi="宋体" w:eastAsia="宋体" w:cs="宋体"/>
          <w:color w:val="auto"/>
          <w:sz w:val="24"/>
          <w:szCs w:val="24"/>
          <w:highlight w:val="none"/>
        </w:rPr>
        <w:t>”规定的开标时间和地点准时举行，采购人、采购代理机构邀请所有投标人准时参加开标会。投标人应按照</w:t>
      </w:r>
      <w:r>
        <w:rPr>
          <w:rFonts w:hint="eastAsia" w:ascii="宋体" w:hAnsi="宋体" w:eastAsia="宋体" w:cs="宋体"/>
          <w:color w:val="auto"/>
          <w:sz w:val="24"/>
          <w:szCs w:val="24"/>
          <w:highlight w:val="none"/>
          <w:lang w:val="en-US" w:eastAsia="zh-CN"/>
        </w:rPr>
        <w:t>招标文件</w:t>
      </w:r>
      <w:r>
        <w:rPr>
          <w:rFonts w:hint="eastAsia" w:ascii="宋体" w:hAnsi="宋体" w:eastAsia="宋体" w:cs="宋体"/>
          <w:color w:val="auto"/>
          <w:sz w:val="24"/>
          <w:szCs w:val="24"/>
          <w:highlight w:val="none"/>
        </w:rPr>
        <w:t>的要求参与</w:t>
      </w:r>
      <w:r>
        <w:rPr>
          <w:rFonts w:hint="eastAsia" w:ascii="宋体" w:hAnsi="宋体" w:eastAsia="宋体" w:cs="宋体"/>
          <w:color w:val="auto"/>
          <w:sz w:val="24"/>
          <w:szCs w:val="24"/>
          <w:highlight w:val="none"/>
          <w:lang w:val="en-US" w:eastAsia="zh-CN"/>
        </w:rPr>
        <w:t>不见面开标</w:t>
      </w:r>
      <w:r>
        <w:rPr>
          <w:rFonts w:hint="eastAsia" w:ascii="宋体" w:hAnsi="宋体" w:eastAsia="宋体" w:cs="宋体"/>
          <w:color w:val="auto"/>
          <w:sz w:val="24"/>
          <w:szCs w:val="24"/>
          <w:highlight w:val="none"/>
        </w:rPr>
        <w:t>。</w:t>
      </w:r>
    </w:p>
    <w:p w14:paraId="60A061F0">
      <w:pPr>
        <w:keepNext w:val="0"/>
        <w:keepLines w:val="0"/>
        <w:pageBreakBefore w:val="0"/>
        <w:widowControl w:val="0"/>
        <w:kinsoku/>
        <w:wordWrap w:val="0"/>
        <w:overflowPunct/>
        <w:topLinePunct w:val="0"/>
        <w:autoSpaceDE/>
        <w:autoSpaceDN/>
        <w:bidi w:val="0"/>
        <w:adjustRightInd/>
        <w:snapToGrid/>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w:t>
      </w:r>
      <w:bookmarkEnd w:id="213"/>
      <w:r>
        <w:rPr>
          <w:rFonts w:hint="eastAsia" w:ascii="宋体" w:hAnsi="宋体" w:eastAsia="宋体" w:cs="宋体"/>
          <w:color w:val="auto"/>
          <w:kern w:val="2"/>
          <w:sz w:val="24"/>
          <w:szCs w:val="24"/>
          <w:highlight w:val="none"/>
        </w:rPr>
        <w:t>采购代理机构按照招标文件规定的时间、地点主持开标。采购人在规定的</w:t>
      </w:r>
      <w:r>
        <w:rPr>
          <w:rFonts w:hint="eastAsia" w:ascii="宋体" w:hAnsi="宋体" w:eastAsia="宋体" w:cs="宋体"/>
          <w:color w:val="auto"/>
          <w:kern w:val="2"/>
          <w:sz w:val="24"/>
          <w:szCs w:val="24"/>
          <w:highlight w:val="none"/>
          <w:lang w:eastAsia="zh-CN"/>
        </w:rPr>
        <w:t>投标文件</w:t>
      </w:r>
      <w:r>
        <w:rPr>
          <w:rFonts w:hint="eastAsia" w:ascii="宋体" w:hAnsi="宋体" w:eastAsia="宋体" w:cs="宋体"/>
          <w:color w:val="auto"/>
          <w:kern w:val="2"/>
          <w:sz w:val="24"/>
          <w:szCs w:val="24"/>
          <w:highlight w:val="none"/>
        </w:rPr>
        <w:t>递交截止时间（开标时间）和地点进行不见面远程开标。</w:t>
      </w:r>
      <w:r>
        <w:rPr>
          <w:rFonts w:hint="eastAsia" w:ascii="宋体" w:hAnsi="宋体" w:eastAsia="宋体" w:cs="宋体"/>
          <w:color w:val="auto"/>
          <w:kern w:val="2"/>
          <w:sz w:val="24"/>
          <w:szCs w:val="24"/>
          <w:highlight w:val="none"/>
          <w:lang w:eastAsia="zh-CN"/>
        </w:rPr>
        <w:t>投标人</w:t>
      </w:r>
      <w:r>
        <w:rPr>
          <w:rFonts w:hint="eastAsia" w:ascii="宋体" w:hAnsi="宋体" w:eastAsia="宋体" w:cs="宋体"/>
          <w:color w:val="auto"/>
          <w:kern w:val="2"/>
          <w:sz w:val="24"/>
          <w:szCs w:val="24"/>
          <w:highlight w:val="none"/>
        </w:rPr>
        <w:t>的法定代表人或其委托代理人无需到达开标现场，仅需在任意地点通过</w:t>
      </w:r>
      <w:r>
        <w:rPr>
          <w:rFonts w:hint="eastAsia" w:ascii="宋体" w:hAnsi="宋体" w:eastAsia="宋体" w:cs="宋体"/>
          <w:color w:val="auto"/>
          <w:kern w:val="2"/>
          <w:sz w:val="24"/>
          <w:szCs w:val="24"/>
          <w:highlight w:val="none"/>
          <w:lang w:val="en-US" w:eastAsia="zh-CN"/>
        </w:rPr>
        <w:t>兵团政府采购电子交易云平台（网址：https://www.zcygov.cn/）</w:t>
      </w:r>
      <w:r>
        <w:rPr>
          <w:rFonts w:hint="eastAsia" w:ascii="宋体" w:hAnsi="宋体" w:eastAsia="宋体" w:cs="宋体"/>
          <w:color w:val="auto"/>
          <w:kern w:val="2"/>
          <w:sz w:val="24"/>
          <w:szCs w:val="24"/>
          <w:highlight w:val="none"/>
        </w:rPr>
        <w:t>的</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政采云登录入口”登录后，进入“政采云远程开标大厅”参加开标会议，并使用CA密钥完成远程解密、提疑澄清、开标唱标、结果公布等交互环节。</w:t>
      </w:r>
    </w:p>
    <w:p w14:paraId="4F83B05F">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 xml:space="preserve">24.3开标过程将宣布投标人名称、投标价格和招标文件规定的需要宣布的其他内容并进行记录，并由参加开标的各投标人确认。投标人未在规定时间内提 出疑义或确认一览表的，视同认可开标结果。 </w:t>
      </w:r>
    </w:p>
    <w:p w14:paraId="63FB5E60">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14" w:name="_Toc6154"/>
      <w:bookmarkStart w:id="215" w:name="_Toc163492852"/>
      <w:bookmarkStart w:id="216" w:name="_Toc140132783"/>
      <w:r>
        <w:rPr>
          <w:rFonts w:hint="eastAsia" w:ascii="宋体" w:hAnsi="宋体" w:eastAsia="宋体" w:cs="宋体"/>
          <w:b/>
          <w:bCs/>
          <w:color w:val="auto"/>
          <w:kern w:val="2"/>
          <w:sz w:val="24"/>
          <w:szCs w:val="24"/>
          <w:highlight w:val="none"/>
          <w:lang w:val="en-US" w:eastAsia="zh-CN" w:bidi="ar-SA"/>
        </w:rPr>
        <w:t>25.开标程序</w:t>
      </w:r>
      <w:bookmarkEnd w:id="214"/>
      <w:bookmarkEnd w:id="215"/>
      <w:bookmarkEnd w:id="216"/>
    </w:p>
    <w:p w14:paraId="60F7948B">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 投标人不足3家的，不得开标。</w:t>
      </w:r>
    </w:p>
    <w:p w14:paraId="5B4EFA66">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 评标委员会成员不得参加开标活动。</w:t>
      </w:r>
    </w:p>
    <w:p w14:paraId="6EDD80B3">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.3主持人按下列程序进行开标：</w:t>
      </w:r>
    </w:p>
    <w:p w14:paraId="02BF7803">
      <w:pPr>
        <w:keepNext w:val="0"/>
        <w:keepLines w:val="0"/>
        <w:pageBreakBefore w:val="0"/>
        <w:widowControl w:val="0"/>
        <w:kinsoku/>
        <w:overflowPunct/>
        <w:topLinePunct w:val="0"/>
        <w:autoSpaceDE/>
        <w:autoSpaceDN/>
        <w:bidi w:val="0"/>
        <w:adjustRightInd/>
        <w:ind w:firstLine="398" w:firstLineChars="1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（1）宣布开标会纪律；</w:t>
      </w:r>
    </w:p>
    <w:p w14:paraId="06FE8596">
      <w:pPr>
        <w:keepNext w:val="0"/>
        <w:keepLines w:val="0"/>
        <w:pageBreakBefore w:val="0"/>
        <w:widowControl w:val="0"/>
        <w:kinsoku/>
        <w:overflowPunct/>
        <w:topLinePunct w:val="0"/>
        <w:autoSpaceDE/>
        <w:autoSpaceDN/>
        <w:bidi w:val="0"/>
        <w:adjustRightInd/>
        <w:ind w:firstLine="398" w:firstLineChars="1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（2）介绍参加开标会的单位和人员；</w:t>
      </w:r>
    </w:p>
    <w:p w14:paraId="69CFC68B">
      <w:pPr>
        <w:keepNext w:val="0"/>
        <w:keepLines w:val="0"/>
        <w:pageBreakBefore w:val="0"/>
        <w:widowControl w:val="0"/>
        <w:kinsoku/>
        <w:overflowPunct/>
        <w:topLinePunct w:val="0"/>
        <w:autoSpaceDE/>
        <w:autoSpaceDN/>
        <w:bidi w:val="0"/>
        <w:adjustRightInd/>
        <w:ind w:firstLine="398" w:firstLineChars="1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（3）发起投标文件解密。投标人应在“投标人须知前附表”规定的时间内使用加密投标文件的CA证书在系统中完成投标文件的解密；</w:t>
      </w:r>
      <w:r>
        <w:rPr>
          <w:rFonts w:hint="eastAsia" w:ascii="宋体" w:hAnsi="宋体" w:eastAsia="宋体" w:cs="宋体"/>
          <w:color w:val="auto"/>
          <w:sz w:val="24"/>
          <w:szCs w:val="24"/>
          <w:highlight w:val="none"/>
          <w:lang w:val="en-US" w:eastAsia="zh-CN"/>
        </w:rPr>
        <w:t>投标人不足3家的，不予解密；</w:t>
      </w:r>
    </w:p>
    <w:p w14:paraId="30C058B0">
      <w:pPr>
        <w:keepNext w:val="0"/>
        <w:keepLines w:val="0"/>
        <w:pageBreakBefore w:val="0"/>
        <w:widowControl w:val="0"/>
        <w:kinsoku/>
        <w:overflowPunct/>
        <w:topLinePunct w:val="0"/>
        <w:autoSpaceDE/>
        <w:autoSpaceDN/>
        <w:bidi w:val="0"/>
        <w:adjustRightInd/>
        <w:ind w:firstLine="398" w:firstLineChars="1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（4）解密完成后，系统自动显示投标人名称、投标价格和招标文件规定的需要宣布的其他内容；</w:t>
      </w:r>
    </w:p>
    <w:p w14:paraId="102D4E44">
      <w:pPr>
        <w:keepNext w:val="0"/>
        <w:keepLines w:val="0"/>
        <w:pageBreakBefore w:val="0"/>
        <w:widowControl w:val="0"/>
        <w:kinsoku/>
        <w:overflowPunct/>
        <w:topLinePunct w:val="0"/>
        <w:autoSpaceDE/>
        <w:autoSpaceDN/>
        <w:bidi w:val="0"/>
        <w:adjustRightInd/>
        <w:ind w:left="564" w:leftChars="200" w:hanging="84" w:hangingChars="3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（5）系统自动生成开标记录表，供应商应在线对开标记录进行签署确认</w:t>
      </w:r>
      <w:r>
        <w:rPr>
          <w:rFonts w:hint="eastAsia" w:ascii="宋体" w:hAnsi="宋体" w:eastAsia="宋体" w:cs="宋体"/>
          <w:color w:val="auto"/>
          <w:sz w:val="24"/>
          <w:szCs w:val="24"/>
          <w:highlight w:val="none"/>
          <w:lang w:val="en-US" w:eastAsia="zh-CN"/>
        </w:rPr>
        <w:t>；</w:t>
      </w:r>
    </w:p>
    <w:p w14:paraId="1E68785D">
      <w:pPr>
        <w:keepNext w:val="0"/>
        <w:keepLines w:val="0"/>
        <w:pageBreakBefore w:val="0"/>
        <w:widowControl w:val="0"/>
        <w:kinsoku/>
        <w:overflowPunct/>
        <w:topLinePunct w:val="0"/>
        <w:autoSpaceDE/>
        <w:autoSpaceDN/>
        <w:bidi w:val="0"/>
        <w:adjustRightInd/>
        <w:ind w:left="564" w:leftChars="200" w:hanging="84" w:hangingChars="3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（6）开标会结束。</w:t>
      </w:r>
      <w:bookmarkStart w:id="217" w:name="_Toc163492853"/>
      <w:bookmarkStart w:id="218" w:name="_Toc140132784"/>
    </w:p>
    <w:p w14:paraId="459D358F">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19" w:name="_Toc829"/>
      <w:r>
        <w:rPr>
          <w:rFonts w:hint="eastAsia" w:ascii="宋体" w:hAnsi="宋体" w:eastAsia="宋体" w:cs="宋体"/>
          <w:b/>
          <w:bCs/>
          <w:color w:val="auto"/>
          <w:kern w:val="2"/>
          <w:sz w:val="24"/>
          <w:szCs w:val="24"/>
          <w:highlight w:val="none"/>
          <w:lang w:val="en-US" w:eastAsia="zh-CN" w:bidi="ar-SA"/>
        </w:rPr>
        <w:t>26.开标疑义及回避情形</w:t>
      </w:r>
      <w:bookmarkEnd w:id="217"/>
      <w:bookmarkEnd w:id="218"/>
      <w:bookmarkEnd w:id="219"/>
    </w:p>
    <w:p w14:paraId="04573EB2">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投标人代表对开标过程和开标记录有疑义，以及认为采购人、采购代理机构相关工作人员有需要回避的情形的，应在开标会议中提出询问或者回避申请。采购人、采购代理机构对投标人授权代表提出的询问或者回避申请应当及时处理。</w:t>
      </w:r>
    </w:p>
    <w:p w14:paraId="4E69EE01">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.2投标人未参加开标的，视同认可开标结果。</w:t>
      </w:r>
    </w:p>
    <w:p w14:paraId="55D243EF">
      <w:pPr>
        <w:pStyle w:val="4"/>
        <w:keepNext w:val="0"/>
        <w:keepLines w:val="0"/>
        <w:pageBreakBefore w:val="0"/>
        <w:widowControl w:val="0"/>
        <w:numPr>
          <w:ilvl w:val="0"/>
          <w:numId w:val="0"/>
        </w:numPr>
        <w:kinsoku/>
        <w:wordWrap/>
        <w:overflowPunct/>
        <w:topLinePunct w:val="0"/>
        <w:autoSpaceDE/>
        <w:autoSpaceDN/>
        <w:bidi w:val="0"/>
        <w:adjustRightInd/>
        <w:snapToGrid/>
        <w:spacing w:before="120" w:after="12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20" w:name="_Toc163492854"/>
      <w:bookmarkStart w:id="221" w:name="_Toc140132785"/>
      <w:bookmarkStart w:id="222" w:name="_Toc28318"/>
      <w:bookmarkStart w:id="223" w:name="_Toc155185877"/>
      <w:r>
        <w:rPr>
          <w:rFonts w:hint="eastAsia" w:ascii="宋体" w:hAnsi="宋体" w:eastAsia="宋体" w:cs="宋体"/>
          <w:b/>
          <w:bCs/>
          <w:color w:val="auto"/>
          <w:kern w:val="2"/>
          <w:sz w:val="24"/>
          <w:szCs w:val="24"/>
          <w:highlight w:val="none"/>
          <w:lang w:val="en-US" w:eastAsia="zh-CN" w:bidi="ar-SA"/>
        </w:rPr>
        <w:t>（六）资格审查</w:t>
      </w:r>
      <w:bookmarkEnd w:id="220"/>
      <w:bookmarkEnd w:id="221"/>
      <w:bookmarkEnd w:id="222"/>
      <w:bookmarkEnd w:id="223"/>
    </w:p>
    <w:p w14:paraId="2C1B5FD6">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24" w:name="_Toc163492855"/>
      <w:bookmarkStart w:id="225" w:name="_Toc8772"/>
      <w:r>
        <w:rPr>
          <w:rFonts w:hint="eastAsia" w:ascii="宋体" w:hAnsi="宋体" w:eastAsia="宋体" w:cs="宋体"/>
          <w:b/>
          <w:bCs/>
          <w:color w:val="auto"/>
          <w:kern w:val="2"/>
          <w:sz w:val="24"/>
          <w:szCs w:val="24"/>
          <w:highlight w:val="none"/>
          <w:lang w:val="en-US" w:eastAsia="zh-CN" w:bidi="ar-SA"/>
        </w:rPr>
        <w:t>27.资格审查及审查主体</w:t>
      </w:r>
      <w:bookmarkEnd w:id="224"/>
      <w:bookmarkEnd w:id="225"/>
    </w:p>
    <w:p w14:paraId="3F6E8AD4">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bookmarkStart w:id="226" w:name="_Toc140132786"/>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w:t>
      </w:r>
      <w:bookmarkEnd w:id="226"/>
      <w:r>
        <w:rPr>
          <w:rFonts w:hint="eastAsia" w:ascii="宋体" w:hAnsi="宋体" w:eastAsia="宋体" w:cs="宋体"/>
          <w:color w:val="auto"/>
          <w:sz w:val="24"/>
          <w:szCs w:val="24"/>
          <w:highlight w:val="none"/>
        </w:rPr>
        <w:t>开标结束后，采购人或者采购代理机构应当依法对投标人的资格进行审查。</w:t>
      </w:r>
    </w:p>
    <w:p w14:paraId="6F7626D3">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bookmarkStart w:id="227" w:name="_Toc140132787"/>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.2资格审查按“第四章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资格审查”的规定进行。</w:t>
      </w:r>
      <w:bookmarkEnd w:id="227"/>
    </w:p>
    <w:p w14:paraId="44D43B82">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bookmarkStart w:id="228" w:name="_Toc140132788"/>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.3资格审查结束后，应及时对资格审查结果进行复核，对资格审查错误进行及时纠正并记录。</w:t>
      </w:r>
      <w:bookmarkEnd w:id="228"/>
    </w:p>
    <w:p w14:paraId="272F167A">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27.4</w:t>
      </w:r>
      <w:r>
        <w:rPr>
          <w:rFonts w:hint="eastAsia" w:ascii="宋体" w:hAnsi="宋体" w:eastAsia="宋体" w:cs="宋体"/>
          <w:color w:val="auto"/>
          <w:sz w:val="24"/>
          <w:szCs w:val="24"/>
          <w:highlight w:val="none"/>
        </w:rPr>
        <w:t>资格审查合格投标人不足3家的，不得评标。</w:t>
      </w:r>
    </w:p>
    <w:p w14:paraId="7A1F7D21">
      <w:pPr>
        <w:pStyle w:val="4"/>
        <w:keepNext w:val="0"/>
        <w:keepLines w:val="0"/>
        <w:pageBreakBefore w:val="0"/>
        <w:widowControl w:val="0"/>
        <w:numPr>
          <w:ilvl w:val="0"/>
          <w:numId w:val="0"/>
        </w:numPr>
        <w:kinsoku/>
        <w:wordWrap/>
        <w:overflowPunct/>
        <w:topLinePunct w:val="0"/>
        <w:autoSpaceDE/>
        <w:autoSpaceDN/>
        <w:bidi w:val="0"/>
        <w:adjustRightInd/>
        <w:snapToGrid/>
        <w:spacing w:before="120" w:after="12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29" w:name="_Toc140132789"/>
      <w:bookmarkStart w:id="230" w:name="_Toc163492856"/>
      <w:bookmarkStart w:id="231" w:name="_Toc28643"/>
      <w:bookmarkStart w:id="232" w:name="_Toc155185878"/>
      <w:r>
        <w:rPr>
          <w:rFonts w:hint="eastAsia" w:ascii="宋体" w:hAnsi="宋体" w:eastAsia="宋体" w:cs="宋体"/>
          <w:b/>
          <w:bCs/>
          <w:color w:val="auto"/>
          <w:kern w:val="2"/>
          <w:sz w:val="24"/>
          <w:szCs w:val="24"/>
          <w:highlight w:val="none"/>
          <w:lang w:val="en-US" w:eastAsia="zh-CN" w:bidi="ar-SA"/>
        </w:rPr>
        <w:t>（七）评标</w:t>
      </w:r>
      <w:bookmarkEnd w:id="229"/>
      <w:bookmarkEnd w:id="230"/>
      <w:bookmarkEnd w:id="231"/>
      <w:bookmarkEnd w:id="232"/>
    </w:p>
    <w:p w14:paraId="7EBE7ABE">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33" w:name="_Toc12158"/>
      <w:bookmarkStart w:id="234" w:name="_Toc163492857"/>
      <w:bookmarkStart w:id="235" w:name="_Toc140132790"/>
      <w:r>
        <w:rPr>
          <w:rFonts w:hint="eastAsia" w:ascii="宋体" w:hAnsi="宋体" w:eastAsia="宋体" w:cs="宋体"/>
          <w:b/>
          <w:bCs/>
          <w:color w:val="auto"/>
          <w:kern w:val="2"/>
          <w:sz w:val="24"/>
          <w:szCs w:val="24"/>
          <w:highlight w:val="none"/>
          <w:lang w:val="en-US" w:eastAsia="zh-CN" w:bidi="ar-SA"/>
        </w:rPr>
        <w:t>28.评标委员会</w:t>
      </w:r>
      <w:bookmarkEnd w:id="233"/>
      <w:bookmarkEnd w:id="234"/>
      <w:bookmarkEnd w:id="235"/>
    </w:p>
    <w:p w14:paraId="1EA2B13D">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评标由采购人依法组建的评标委员会负责。评标委员会由采购人代表和评审专家组成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成员人数应当为5</w:t>
      </w:r>
      <w:r>
        <w:rPr>
          <w:rFonts w:hint="eastAsia" w:ascii="宋体" w:hAnsi="宋体" w:eastAsia="宋体" w:cs="宋体"/>
          <w:color w:val="auto"/>
          <w:sz w:val="24"/>
          <w:szCs w:val="24"/>
          <w:highlight w:val="none"/>
        </w:rPr>
        <w:t>人以上单数，其中</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专家不</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少于</w:t>
      </w:r>
      <w:r>
        <w:rPr>
          <w:rFonts w:hint="eastAsia" w:ascii="宋体" w:hAnsi="宋体" w:eastAsia="宋体" w:cs="宋体"/>
          <w:color w:val="auto"/>
          <w:sz w:val="24"/>
          <w:szCs w:val="24"/>
          <w:highlight w:val="none"/>
          <w:lang w:val="en-US" w:eastAsia="zh-CN"/>
        </w:rPr>
        <w:t>成员总数的</w:t>
      </w:r>
      <w:r>
        <w:rPr>
          <w:rFonts w:hint="eastAsia" w:ascii="宋体" w:hAnsi="宋体" w:eastAsia="宋体" w:cs="宋体"/>
          <w:color w:val="auto"/>
          <w:sz w:val="24"/>
          <w:szCs w:val="24"/>
          <w:highlight w:val="none"/>
        </w:rPr>
        <w:t>三分之二。</w:t>
      </w:r>
      <w:r>
        <w:rPr>
          <w:rFonts w:hint="eastAsia" w:ascii="宋体" w:hAnsi="宋体" w:eastAsia="宋体" w:cs="宋体"/>
          <w:color w:val="auto"/>
          <w:sz w:val="24"/>
          <w:szCs w:val="24"/>
          <w:highlight w:val="none"/>
          <w:lang w:val="en-US" w:eastAsia="zh-CN"/>
        </w:rPr>
        <w:t>采购人或者采购代理机构应当从省级以上财政部门设立的政府采购评审专家库中，通过随机方式抽取评审专家。</w:t>
      </w:r>
    </w:p>
    <w:p w14:paraId="32DE7801">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28.2 采购项目符合下列情形之一的，评标委员会成员人数应当为7人以上单数：</w:t>
      </w:r>
    </w:p>
    <w:p w14:paraId="05C639B0">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（1）采购预算金额在1000万元以上；</w:t>
      </w:r>
    </w:p>
    <w:p w14:paraId="67DFE620">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（2）技术复杂；</w:t>
      </w:r>
    </w:p>
    <w:p w14:paraId="6B9FB10B">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（3）社会影响较大。</w:t>
      </w:r>
    </w:p>
    <w:p w14:paraId="4590A674">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28.3评审专家对本单位的采购项目只能作为采购人代表参与评标，对技术复杂、专业性强的采购项目，通过随机方式难以确定合适评审专家的，经主管预算单位同意，采购人可以自行选定相应专业领域的评审专家。采购代理机构工作人员不得参加由本机构代理的政府采购项目的评标。</w:t>
      </w:r>
    </w:p>
    <w:p w14:paraId="16E92807">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28.4评标委员会成员名单在评标结果公告前应当保密。</w:t>
      </w:r>
    </w:p>
    <w:p w14:paraId="2F8842E2">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28.5评标中因评标委员会成员缺席、回避或者健康等特殊原因导致评标委员会组成不符合本办法规定的，采购人或者采购代理机构应当依法补足后继续评标。被更换的评标委员会成员所作出的评标意见无效。</w:t>
      </w:r>
    </w:p>
    <w:p w14:paraId="28948BF7">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28.6无法及时补足评标委员会成员的，采购人或者采购代理机构应当停止评标活动，封存所有投标文件和开标、评标资料，依法重新组建评标委员会进行评标。原评标委员会所作出的评标意见无效。</w:t>
      </w:r>
    </w:p>
    <w:p w14:paraId="320EF104">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评标委员会成员有下列情形之一的，应当回避：</w:t>
      </w:r>
    </w:p>
    <w:p w14:paraId="53666710">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（1）参加采购活动前3年内与投标人存在劳动关系；</w:t>
      </w:r>
    </w:p>
    <w:p w14:paraId="4B33BA4E">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（2）参加采购活动前3年内担任投标人的董事、监事；</w:t>
      </w:r>
    </w:p>
    <w:p w14:paraId="271CA224">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（3）参加采购活动前3年内是投标人的控股股东或实际控制人；</w:t>
      </w:r>
    </w:p>
    <w:p w14:paraId="0F31540C">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（4）与投标人的法定代表人或者负责人有夫妻、直系血亲、三代以内旁系血亲或者近姻亲关系；</w:t>
      </w:r>
    </w:p>
    <w:p w14:paraId="20FB9B78">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（5）与投标人有其他可能影响采购活动公平、公正进行的关系。</w:t>
      </w:r>
    </w:p>
    <w:p w14:paraId="25BEA5A7">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36" w:name="_Toc140132791"/>
      <w:bookmarkStart w:id="237" w:name="_Toc163492858"/>
      <w:bookmarkStart w:id="238" w:name="_Toc4280"/>
      <w:r>
        <w:rPr>
          <w:rFonts w:hint="eastAsia" w:ascii="宋体" w:hAnsi="宋体" w:eastAsia="宋体" w:cs="宋体"/>
          <w:b/>
          <w:bCs/>
          <w:color w:val="auto"/>
          <w:kern w:val="2"/>
          <w:sz w:val="24"/>
          <w:szCs w:val="24"/>
          <w:highlight w:val="none"/>
          <w:lang w:val="en-US" w:eastAsia="zh-CN" w:bidi="ar-SA"/>
        </w:rPr>
        <w:t>29.评标</w:t>
      </w:r>
      <w:bookmarkEnd w:id="236"/>
      <w:bookmarkEnd w:id="237"/>
      <w:bookmarkEnd w:id="238"/>
    </w:p>
    <w:p w14:paraId="6D0B095D">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评标方法分为综合评分法和</w:t>
      </w:r>
      <w:r>
        <w:rPr>
          <w:rFonts w:hint="eastAsia" w:ascii="宋体" w:hAnsi="宋体" w:eastAsia="宋体" w:cs="宋体"/>
          <w:color w:val="auto"/>
          <w:sz w:val="24"/>
          <w:szCs w:val="24"/>
          <w:highlight w:val="none"/>
        </w:rPr>
        <w:t>最低评标价法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本项目评标</w:t>
      </w:r>
      <w:r>
        <w:rPr>
          <w:rFonts w:hint="eastAsia" w:ascii="宋体" w:hAnsi="宋体" w:eastAsia="宋体" w:cs="宋体"/>
          <w:color w:val="auto"/>
          <w:sz w:val="24"/>
          <w:szCs w:val="24"/>
          <w:highlight w:val="none"/>
          <w:lang w:val="en-US" w:eastAsia="zh-CN"/>
        </w:rPr>
        <w:t>方法详见</w:t>
      </w:r>
      <w:r>
        <w:rPr>
          <w:rFonts w:hint="eastAsia" w:ascii="宋体" w:hAnsi="宋体" w:eastAsia="宋体" w:cs="宋体"/>
          <w:color w:val="auto"/>
          <w:sz w:val="24"/>
          <w:szCs w:val="24"/>
          <w:highlight w:val="none"/>
        </w:rPr>
        <w:t>“投标人须知前附表”</w:t>
      </w:r>
      <w:r>
        <w:rPr>
          <w:rFonts w:hint="eastAsia" w:ascii="宋体" w:hAnsi="宋体" w:eastAsia="宋体" w:cs="宋体"/>
          <w:color w:val="auto"/>
          <w:sz w:val="24"/>
          <w:szCs w:val="24"/>
          <w:highlight w:val="none"/>
          <w:lang w:eastAsia="zh-CN"/>
        </w:rPr>
        <w:t>。</w:t>
      </w:r>
    </w:p>
    <w:p w14:paraId="2BC22B3E">
      <w:pPr>
        <w:pStyle w:val="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9.1.1</w:t>
      </w:r>
      <w:r>
        <w:rPr>
          <w:rFonts w:hint="eastAsia" w:ascii="宋体" w:hAnsi="宋体" w:eastAsia="宋体" w:cs="宋体"/>
          <w:color w:val="auto"/>
          <w:sz w:val="24"/>
          <w:szCs w:val="24"/>
          <w:highlight w:val="none"/>
        </w:rPr>
        <w:t>综合评分法，是指投标文件满足招标文件全部实质性要求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且按照评审因素的量化指标评审得分最高的投标人为中标候选人的评标方法。</w:t>
      </w:r>
    </w:p>
    <w:p w14:paraId="0E3867EE">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29.1.2.</w:t>
      </w:r>
      <w:r>
        <w:rPr>
          <w:rFonts w:hint="eastAsia" w:ascii="宋体" w:hAnsi="宋体" w:eastAsia="宋体" w:cs="宋体"/>
          <w:color w:val="auto"/>
          <w:sz w:val="24"/>
          <w:szCs w:val="24"/>
          <w:highlight w:val="none"/>
        </w:rPr>
        <w:t>最低评标价法，是指投标文件满足招标文件全部实质性要求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且投标报价最低的投标人为中标候选人的评标方法。</w:t>
      </w:r>
    </w:p>
    <w:p w14:paraId="418DE4CD">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评标委员会按照“第五章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评标</w:t>
      </w:r>
      <w:r>
        <w:rPr>
          <w:rFonts w:hint="eastAsia" w:ascii="宋体" w:hAnsi="宋体" w:eastAsia="宋体" w:cs="宋体"/>
          <w:color w:val="auto"/>
          <w:sz w:val="24"/>
          <w:szCs w:val="24"/>
          <w:highlight w:val="none"/>
          <w:lang w:val="en-US" w:eastAsia="zh-CN"/>
        </w:rPr>
        <w:t>方</w:t>
      </w:r>
      <w:r>
        <w:rPr>
          <w:rFonts w:hint="eastAsia" w:ascii="宋体" w:hAnsi="宋体" w:eastAsia="宋体" w:cs="宋体"/>
          <w:color w:val="auto"/>
          <w:sz w:val="24"/>
          <w:szCs w:val="24"/>
          <w:highlight w:val="none"/>
        </w:rPr>
        <w:t>法及标准”</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规定对投标文件进行评审。“第五章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评标</w:t>
      </w:r>
      <w:r>
        <w:rPr>
          <w:rFonts w:hint="eastAsia" w:ascii="宋体" w:hAnsi="宋体" w:eastAsia="宋体" w:cs="宋体"/>
          <w:color w:val="auto"/>
          <w:sz w:val="24"/>
          <w:szCs w:val="24"/>
          <w:highlight w:val="none"/>
          <w:lang w:val="en-US" w:eastAsia="zh-CN"/>
        </w:rPr>
        <w:t>方</w:t>
      </w:r>
      <w:r>
        <w:rPr>
          <w:rFonts w:hint="eastAsia" w:ascii="宋体" w:hAnsi="宋体" w:eastAsia="宋体" w:cs="宋体"/>
          <w:color w:val="auto"/>
          <w:sz w:val="24"/>
          <w:szCs w:val="24"/>
          <w:highlight w:val="none"/>
        </w:rPr>
        <w:t>法及标准”没有规定的方法、评审因素和标准，不作为评标依据。</w:t>
      </w:r>
    </w:p>
    <w:p w14:paraId="1A9007D8">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评标委员会按“投标人须知前附表”规定的中标候选人数量在评标报告中向采购人推荐中标候选人。</w:t>
      </w:r>
    </w:p>
    <w:p w14:paraId="1E63454C">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29.4 开标之后，直到签订合同止，凡是属于审查、澄清、评价和比较投标的有关资料以及定标意向等，均不得向投标人或者其他与评标无关的人员透露。</w:t>
      </w:r>
    </w:p>
    <w:p w14:paraId="57927CBE">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29.5 在确定中标人之前，投标人试图在投标文件审查、澄清、比较和评标时对评标委员会、采购人和采购代理机构施加任何影响都可能导致其</w:t>
      </w:r>
      <w:r>
        <w:rPr>
          <w:rFonts w:hint="eastAsia" w:ascii="宋体" w:hAnsi="宋体" w:eastAsia="宋体" w:cs="宋体"/>
          <w:b/>
          <w:bCs/>
          <w:color w:val="auto"/>
          <w:sz w:val="24"/>
          <w:szCs w:val="24"/>
          <w:highlight w:val="none"/>
          <w:lang w:val="en-US" w:eastAsia="zh-CN"/>
        </w:rPr>
        <w:t>投标无效</w:t>
      </w:r>
      <w:r>
        <w:rPr>
          <w:rFonts w:hint="eastAsia" w:ascii="宋体" w:hAnsi="宋体" w:eastAsia="宋体" w:cs="宋体"/>
          <w:color w:val="auto"/>
          <w:sz w:val="24"/>
          <w:szCs w:val="24"/>
          <w:highlight w:val="none"/>
          <w:lang w:val="en-US" w:eastAsia="zh-CN"/>
        </w:rPr>
        <w:t>。</w:t>
      </w:r>
    </w:p>
    <w:p w14:paraId="32A32003">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29.6 电子招投标的应急措施</w:t>
      </w:r>
    </w:p>
    <w:p w14:paraId="52525CD6">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29.6.1电子开标、评标如出现下列原因，导致系统无法正常运行或无法正常评标时，应采取应急措施。</w:t>
      </w:r>
    </w:p>
    <w:p w14:paraId="3D99F562">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（1）系统服务器发生故障，无法访问或无法使用系统；</w:t>
      </w:r>
    </w:p>
    <w:p w14:paraId="518B308A">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（2）系统的软件或数据库出现错误，不能进行正常操作；</w:t>
      </w:r>
    </w:p>
    <w:p w14:paraId="657BA7B3">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（3）系统发现有安全漏洞，有潜在的泄密危险；</w:t>
      </w:r>
    </w:p>
    <w:p w14:paraId="26B15397">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（4）病毒发作或受到外来病毒的攻击；</w:t>
      </w:r>
    </w:p>
    <w:p w14:paraId="6BCA43D9">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（5）出现其他不可抗拒的客观原因造成开评标系统无法正常使用。</w:t>
      </w:r>
    </w:p>
    <w:p w14:paraId="2BA3CE00">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出现上述情况时，应对未开标的暂停开标。已在系统内开标、评标的立即停止。采取应急措施时，必须对原有资料及信息作出妥善保密处理。</w:t>
      </w:r>
    </w:p>
    <w:p w14:paraId="791CC4F0">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29.6.2因系统原因导致投标人均无法解密电子投标文件时，采购代理机构可在开标现场直接导入投标人在投标截止时间前递交的未加密的电子投标文件进行开标、评标。</w:t>
      </w:r>
    </w:p>
    <w:p w14:paraId="28CD45E0">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29.7 投标人瑕疵滞后发现的处理规则</w:t>
      </w:r>
    </w:p>
    <w:p w14:paraId="11E85EAD">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29.7.1无论基于何种原因，各项本应作</w:t>
      </w:r>
      <w:r>
        <w:rPr>
          <w:rFonts w:hint="eastAsia" w:ascii="宋体" w:hAnsi="宋体" w:eastAsia="宋体" w:cs="宋体"/>
          <w:b/>
          <w:bCs/>
          <w:color w:val="auto"/>
          <w:sz w:val="24"/>
          <w:szCs w:val="24"/>
          <w:highlight w:val="none"/>
          <w:lang w:val="en-US" w:eastAsia="zh-CN"/>
        </w:rPr>
        <w:t>无效投标</w:t>
      </w:r>
      <w:r>
        <w:rPr>
          <w:rFonts w:hint="eastAsia" w:ascii="宋体" w:hAnsi="宋体" w:eastAsia="宋体" w:cs="宋体"/>
          <w:color w:val="auto"/>
          <w:sz w:val="24"/>
          <w:szCs w:val="24"/>
          <w:highlight w:val="none"/>
          <w:lang w:val="en-US" w:eastAsia="zh-CN"/>
        </w:rPr>
        <w:t>处理的情形即便未被及时发现而使该投标人进入初审、综合评审或其他后续程序，包括已经签订合同的情形，一旦该投标人的投标作无效投标处理或该投标人的此前评议结果被取消，其现有的位置将被其他投标人依序替代，相关的一切损失均由该投标人承担。</w:t>
      </w:r>
    </w:p>
    <w:p w14:paraId="34027149">
      <w:pPr>
        <w:pStyle w:val="4"/>
        <w:keepNext w:val="0"/>
        <w:keepLines w:val="0"/>
        <w:pageBreakBefore w:val="0"/>
        <w:widowControl w:val="0"/>
        <w:numPr>
          <w:ilvl w:val="0"/>
          <w:numId w:val="0"/>
        </w:numPr>
        <w:kinsoku/>
        <w:wordWrap/>
        <w:overflowPunct/>
        <w:topLinePunct w:val="0"/>
        <w:autoSpaceDE/>
        <w:autoSpaceDN/>
        <w:bidi w:val="0"/>
        <w:adjustRightInd/>
        <w:snapToGrid/>
        <w:spacing w:before="120" w:after="12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39" w:name="_Toc157"/>
      <w:bookmarkStart w:id="240" w:name="_Toc155185879"/>
      <w:bookmarkStart w:id="241" w:name="_Toc163492859"/>
      <w:bookmarkStart w:id="242" w:name="_Toc140132792"/>
      <w:r>
        <w:rPr>
          <w:rFonts w:hint="eastAsia" w:ascii="宋体" w:hAnsi="宋体" w:eastAsia="宋体" w:cs="宋体"/>
          <w:b/>
          <w:bCs/>
          <w:color w:val="auto"/>
          <w:kern w:val="2"/>
          <w:sz w:val="24"/>
          <w:szCs w:val="24"/>
          <w:highlight w:val="none"/>
          <w:lang w:val="en-US" w:eastAsia="zh-CN" w:bidi="ar-SA"/>
        </w:rPr>
        <w:t>（八）中标</w:t>
      </w:r>
      <w:bookmarkEnd w:id="239"/>
      <w:bookmarkEnd w:id="240"/>
      <w:bookmarkEnd w:id="241"/>
      <w:bookmarkEnd w:id="242"/>
    </w:p>
    <w:p w14:paraId="37B6B950">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43" w:name="_Toc140132793"/>
      <w:bookmarkStart w:id="244" w:name="_Toc163492860"/>
      <w:bookmarkStart w:id="245" w:name="_Toc23329"/>
      <w:r>
        <w:rPr>
          <w:rFonts w:hint="eastAsia" w:ascii="宋体" w:hAnsi="宋体" w:eastAsia="宋体" w:cs="宋体"/>
          <w:b/>
          <w:bCs/>
          <w:color w:val="auto"/>
          <w:kern w:val="2"/>
          <w:sz w:val="24"/>
          <w:szCs w:val="24"/>
          <w:highlight w:val="none"/>
          <w:lang w:val="en-US" w:eastAsia="zh-CN" w:bidi="ar-SA"/>
        </w:rPr>
        <w:t>30.确定中标人</w:t>
      </w:r>
      <w:bookmarkEnd w:id="243"/>
      <w:bookmarkEnd w:id="244"/>
      <w:bookmarkEnd w:id="245"/>
    </w:p>
    <w:p w14:paraId="23CC2B81">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sz w:val="24"/>
          <w:szCs w:val="24"/>
          <w:highlight w:val="none"/>
          <w:lang w:val="en-US" w:eastAsia="zh-CN"/>
        </w:rPr>
        <w:t>30.1</w:t>
      </w:r>
      <w:r>
        <w:rPr>
          <w:rFonts w:hint="eastAsia" w:ascii="宋体" w:hAnsi="宋体" w:eastAsia="宋体" w:cs="宋体"/>
          <w:color w:val="auto"/>
          <w:kern w:val="0"/>
          <w:sz w:val="24"/>
          <w:szCs w:val="24"/>
          <w:highlight w:val="none"/>
          <w:lang w:val="en-US" w:eastAsia="zh-CN" w:bidi="ar"/>
        </w:rPr>
        <w:t>采购人将在评标报告确定的中标候选人名单中按顺序确定中标人，中标候选人并列的，按照</w:t>
      </w:r>
      <w:r>
        <w:rPr>
          <w:rFonts w:hint="eastAsia" w:ascii="宋体" w:hAnsi="宋体" w:eastAsia="宋体" w:cs="宋体"/>
          <w:color w:val="auto"/>
          <w:sz w:val="24"/>
          <w:szCs w:val="24"/>
          <w:highlight w:val="none"/>
        </w:rPr>
        <w:t>“投标人须知前附表”</w:t>
      </w:r>
      <w:r>
        <w:rPr>
          <w:rFonts w:hint="eastAsia" w:ascii="宋体" w:hAnsi="宋体" w:eastAsia="宋体" w:cs="宋体"/>
          <w:color w:val="auto"/>
          <w:kern w:val="0"/>
          <w:sz w:val="24"/>
          <w:szCs w:val="24"/>
          <w:highlight w:val="none"/>
          <w:lang w:val="en-US" w:eastAsia="zh-CN" w:bidi="ar"/>
        </w:rPr>
        <w:t>确定中标人；招标文件未规定的，采取随机抽取的方式确定。采购人是否委托评标委员会直接确定中标人，见</w:t>
      </w:r>
      <w:r>
        <w:rPr>
          <w:rFonts w:hint="eastAsia" w:ascii="宋体" w:hAnsi="宋体" w:eastAsia="宋体" w:cs="宋体"/>
          <w:color w:val="auto"/>
          <w:sz w:val="24"/>
          <w:szCs w:val="24"/>
          <w:highlight w:val="none"/>
        </w:rPr>
        <w:t>“投标人须知前附表”</w:t>
      </w:r>
      <w:r>
        <w:rPr>
          <w:rFonts w:hint="eastAsia" w:ascii="宋体" w:hAnsi="宋体" w:eastAsia="宋体" w:cs="宋体"/>
          <w:color w:val="auto"/>
          <w:kern w:val="0"/>
          <w:sz w:val="24"/>
          <w:szCs w:val="24"/>
          <w:highlight w:val="none"/>
          <w:lang w:val="en-US" w:eastAsia="zh-CN" w:bidi="ar"/>
        </w:rPr>
        <w:t>。</w:t>
      </w:r>
    </w:p>
    <w:p w14:paraId="18971451">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46" w:name="_Toc24110"/>
      <w:bookmarkStart w:id="247" w:name="_Toc163492861"/>
      <w:bookmarkStart w:id="248" w:name="_Toc140132794"/>
      <w:r>
        <w:rPr>
          <w:rFonts w:hint="eastAsia" w:ascii="宋体" w:hAnsi="宋体" w:eastAsia="宋体" w:cs="宋体"/>
          <w:b/>
          <w:bCs/>
          <w:color w:val="auto"/>
          <w:kern w:val="2"/>
          <w:sz w:val="24"/>
          <w:szCs w:val="24"/>
          <w:highlight w:val="none"/>
          <w:lang w:val="en-US" w:eastAsia="zh-CN" w:bidi="ar-SA"/>
        </w:rPr>
        <w:t>31.中标结果公告</w:t>
      </w:r>
      <w:bookmarkEnd w:id="246"/>
      <w:bookmarkEnd w:id="247"/>
      <w:bookmarkEnd w:id="248"/>
    </w:p>
    <w:p w14:paraId="5975ECA2">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1</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采购人或</w:t>
      </w:r>
      <w:r>
        <w:rPr>
          <w:rFonts w:hint="eastAsia" w:ascii="宋体" w:hAnsi="宋体" w:eastAsia="宋体" w:cs="宋体"/>
          <w:color w:val="auto"/>
          <w:sz w:val="24"/>
          <w:szCs w:val="24"/>
          <w:highlight w:val="none"/>
        </w:rPr>
        <w:t>采购代理机构应当自中标人确定之日起2个工作日内，在</w:t>
      </w:r>
      <w:r>
        <w:rPr>
          <w:rFonts w:hint="eastAsia" w:ascii="宋体" w:hAnsi="宋体" w:eastAsia="宋体" w:cs="宋体"/>
          <w:color w:val="auto"/>
          <w:sz w:val="24"/>
          <w:szCs w:val="24"/>
          <w:highlight w:val="none"/>
          <w:lang w:val="en-US" w:eastAsia="zh-CN"/>
        </w:rPr>
        <w:t>发布招标公告的同一</w:t>
      </w:r>
      <w:r>
        <w:rPr>
          <w:rFonts w:hint="eastAsia" w:ascii="宋体" w:hAnsi="宋体" w:eastAsia="宋体" w:cs="宋体"/>
          <w:color w:val="auto"/>
          <w:sz w:val="24"/>
          <w:szCs w:val="24"/>
          <w:highlight w:val="none"/>
        </w:rPr>
        <w:t>媒体上发布中标结果公告，</w:t>
      </w:r>
      <w:r>
        <w:rPr>
          <w:rFonts w:hint="eastAsia" w:ascii="宋体" w:hAnsi="宋体" w:eastAsia="宋体" w:cs="宋体"/>
          <w:color w:val="auto"/>
          <w:sz w:val="24"/>
          <w:szCs w:val="24"/>
          <w:highlight w:val="none"/>
          <w:lang w:val="en-US" w:eastAsia="zh-CN"/>
        </w:rPr>
        <w:t>同时向中标人</w:t>
      </w:r>
      <w:r>
        <w:rPr>
          <w:rFonts w:hint="eastAsia" w:ascii="宋体" w:hAnsi="宋体" w:eastAsia="宋体" w:cs="宋体"/>
          <w:color w:val="auto"/>
          <w:sz w:val="24"/>
          <w:szCs w:val="24"/>
          <w:highlight w:val="none"/>
        </w:rPr>
        <w:t>发出中标通知书</w:t>
      </w:r>
      <w:r>
        <w:rPr>
          <w:rFonts w:hint="eastAsia" w:ascii="宋体" w:hAnsi="宋体" w:eastAsia="宋体" w:cs="宋体"/>
          <w:color w:val="auto"/>
          <w:sz w:val="24"/>
          <w:szCs w:val="24"/>
          <w:highlight w:val="none"/>
          <w:lang w:eastAsia="zh-CN"/>
        </w:rPr>
        <w:t>。招标文件随中标结果同时公告，</w:t>
      </w:r>
      <w:r>
        <w:rPr>
          <w:rFonts w:hint="eastAsia" w:ascii="宋体" w:hAnsi="宋体" w:eastAsia="宋体" w:cs="宋体"/>
          <w:color w:val="auto"/>
          <w:sz w:val="24"/>
          <w:szCs w:val="24"/>
          <w:highlight w:val="none"/>
        </w:rPr>
        <w:t>中标结果公告期限为1个工作日。</w:t>
      </w:r>
    </w:p>
    <w:p w14:paraId="5352A1FC">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中标供应商为中小企业</w:t>
      </w:r>
      <w:r>
        <w:rPr>
          <w:rFonts w:hint="eastAsia" w:ascii="宋体" w:hAnsi="宋体" w:eastAsia="宋体" w:cs="宋体"/>
          <w:bCs/>
          <w:color w:val="auto"/>
          <w:sz w:val="24"/>
          <w:szCs w:val="24"/>
          <w:highlight w:val="none"/>
          <w:lang w:val="en-US" w:eastAsia="zh-CN"/>
        </w:rPr>
        <w:t>享受中小企业扶持政策的</w:t>
      </w:r>
      <w:r>
        <w:rPr>
          <w:rFonts w:hint="eastAsia" w:ascii="宋体" w:hAnsi="宋体" w:eastAsia="宋体" w:cs="宋体"/>
          <w:bCs/>
          <w:color w:val="auto"/>
          <w:sz w:val="24"/>
          <w:szCs w:val="24"/>
          <w:highlight w:val="none"/>
          <w:lang w:eastAsia="zh-CN"/>
        </w:rPr>
        <w:t>，其“中小企业声明函”随中标结果同时公告。中标供应商为残疾人福利性单位的，其“残疾人福利性单位声明函”随中标结果同时公告。</w:t>
      </w:r>
    </w:p>
    <w:p w14:paraId="3302A7DA">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31.3</w:t>
      </w:r>
      <w:r>
        <w:rPr>
          <w:rFonts w:hint="eastAsia" w:ascii="宋体" w:hAnsi="宋体" w:eastAsia="宋体" w:cs="宋体"/>
          <w:color w:val="auto"/>
          <w:sz w:val="24"/>
          <w:szCs w:val="24"/>
          <w:highlight w:val="none"/>
        </w:rPr>
        <w:t>项目采购采用最低评标价法的，公告中标结果时同时公告因落实政府采购政策等原因进行价格扣除后中标供应商的评审报价；项目采购采用综合评分法的，公告中标结果时同时公告中标供应商的评审总得分。</w:t>
      </w:r>
    </w:p>
    <w:p w14:paraId="24E8EB4D">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49" w:name="_Toc10669"/>
      <w:bookmarkStart w:id="250" w:name="_Toc163492862"/>
      <w:bookmarkStart w:id="251" w:name="_Toc140132795"/>
      <w:r>
        <w:rPr>
          <w:rFonts w:hint="eastAsia" w:ascii="宋体" w:hAnsi="宋体" w:eastAsia="宋体" w:cs="宋体"/>
          <w:b/>
          <w:bCs/>
          <w:color w:val="auto"/>
          <w:kern w:val="2"/>
          <w:sz w:val="24"/>
          <w:szCs w:val="24"/>
          <w:highlight w:val="none"/>
          <w:lang w:val="en-US" w:eastAsia="zh-CN" w:bidi="ar-SA"/>
        </w:rPr>
        <w:t>32.中标通知</w:t>
      </w:r>
      <w:bookmarkEnd w:id="249"/>
      <w:bookmarkEnd w:id="250"/>
      <w:bookmarkEnd w:id="251"/>
    </w:p>
    <w:p w14:paraId="41D33E18">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2</w:t>
      </w:r>
      <w:r>
        <w:rPr>
          <w:rFonts w:hint="eastAsia" w:ascii="宋体" w:hAnsi="宋体" w:eastAsia="宋体" w:cs="宋体"/>
          <w:color w:val="auto"/>
          <w:sz w:val="24"/>
          <w:szCs w:val="24"/>
          <w:highlight w:val="none"/>
        </w:rPr>
        <w:t>.1采购人和采购代理机构以书面形式向中标人发出中标通知书，同时将招标结果通知未中标的投标人。对未通过资格审查的投标人，应当告知其未通过的原因；采用综合评分法评审的，还应当告知未中标人本人的评审得分与排序。</w:t>
      </w:r>
    </w:p>
    <w:p w14:paraId="67E9F9A5">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32.2中标通知书对采购人和中标供应商均具有法律效力。中标通知书发出后，采购人改变中标结果的，或者中标供应商放弃中标项目的，应当依法承担法律责任。</w:t>
      </w:r>
    </w:p>
    <w:p w14:paraId="004C264E">
      <w:pPr>
        <w:pStyle w:val="4"/>
        <w:keepNext w:val="0"/>
        <w:keepLines w:val="0"/>
        <w:pageBreakBefore w:val="0"/>
        <w:widowControl w:val="0"/>
        <w:numPr>
          <w:ilvl w:val="0"/>
          <w:numId w:val="0"/>
        </w:numPr>
        <w:kinsoku/>
        <w:wordWrap/>
        <w:overflowPunct/>
        <w:topLinePunct w:val="0"/>
        <w:autoSpaceDE/>
        <w:autoSpaceDN/>
        <w:bidi w:val="0"/>
        <w:adjustRightInd/>
        <w:snapToGrid/>
        <w:spacing w:before="120" w:after="12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52" w:name="_Toc163492863"/>
      <w:bookmarkStart w:id="253" w:name="_Toc25579"/>
      <w:r>
        <w:rPr>
          <w:rFonts w:hint="eastAsia" w:ascii="宋体" w:hAnsi="宋体" w:eastAsia="宋体" w:cs="宋体"/>
          <w:b/>
          <w:bCs/>
          <w:color w:val="auto"/>
          <w:kern w:val="2"/>
          <w:sz w:val="24"/>
          <w:szCs w:val="24"/>
          <w:highlight w:val="none"/>
          <w:lang w:val="en-US" w:eastAsia="zh-CN" w:bidi="ar-SA"/>
        </w:rPr>
        <w:t>（九）签订</w:t>
      </w:r>
      <w:bookmarkStart w:id="254" w:name="_Toc155185880"/>
      <w:bookmarkStart w:id="255" w:name="_Toc140132796"/>
      <w:r>
        <w:rPr>
          <w:rFonts w:hint="eastAsia" w:ascii="宋体" w:hAnsi="宋体" w:eastAsia="宋体" w:cs="宋体"/>
          <w:b/>
          <w:bCs/>
          <w:color w:val="auto"/>
          <w:kern w:val="2"/>
          <w:sz w:val="24"/>
          <w:szCs w:val="24"/>
          <w:highlight w:val="none"/>
          <w:lang w:val="en-US" w:eastAsia="zh-CN" w:bidi="ar-SA"/>
        </w:rPr>
        <w:t>合同</w:t>
      </w:r>
      <w:bookmarkEnd w:id="252"/>
      <w:bookmarkEnd w:id="253"/>
      <w:bookmarkEnd w:id="254"/>
      <w:bookmarkEnd w:id="255"/>
    </w:p>
    <w:p w14:paraId="547E6B99">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56" w:name="_Toc140132797"/>
      <w:bookmarkStart w:id="257" w:name="_Toc20208"/>
      <w:bookmarkStart w:id="258" w:name="_Toc163492864"/>
      <w:r>
        <w:rPr>
          <w:rFonts w:hint="eastAsia" w:ascii="宋体" w:hAnsi="宋体" w:eastAsia="宋体" w:cs="宋体"/>
          <w:b/>
          <w:bCs/>
          <w:color w:val="auto"/>
          <w:kern w:val="2"/>
          <w:sz w:val="24"/>
          <w:szCs w:val="24"/>
          <w:highlight w:val="none"/>
          <w:lang w:val="en-US" w:eastAsia="zh-CN" w:bidi="ar-SA"/>
        </w:rPr>
        <w:t>33.履约保证金</w:t>
      </w:r>
      <w:bookmarkEnd w:id="256"/>
      <w:bookmarkEnd w:id="257"/>
      <w:bookmarkEnd w:id="258"/>
    </w:p>
    <w:p w14:paraId="77717F01">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3</w:t>
      </w:r>
      <w:r>
        <w:rPr>
          <w:rFonts w:hint="eastAsia" w:ascii="宋体" w:hAnsi="宋体" w:eastAsia="宋体" w:cs="宋体"/>
          <w:color w:val="auto"/>
          <w:sz w:val="24"/>
          <w:szCs w:val="24"/>
          <w:highlight w:val="none"/>
        </w:rPr>
        <w:t>.1在签订合同前，中标人应按“投标人须知前附表”规定的金额、担保形式和采购人认可的履约担保格式向采购人提交履约保证金。</w:t>
      </w:r>
    </w:p>
    <w:p w14:paraId="73BC7DAF">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3</w:t>
      </w:r>
      <w:r>
        <w:rPr>
          <w:rFonts w:hint="eastAsia" w:ascii="宋体" w:hAnsi="宋体" w:eastAsia="宋体" w:cs="宋体"/>
          <w:color w:val="auto"/>
          <w:sz w:val="24"/>
          <w:szCs w:val="24"/>
          <w:highlight w:val="none"/>
        </w:rPr>
        <w:t>.2中标人不能按本章第3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.1项要求提交履约担保的，视为放弃中标，给采购人造成损失的，中标人还应当承担民事责任。</w:t>
      </w:r>
    </w:p>
    <w:p w14:paraId="4B3DD6F8">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59" w:name="_Toc163492865"/>
      <w:bookmarkStart w:id="260" w:name="_Toc12503"/>
      <w:bookmarkStart w:id="261" w:name="_Toc140132798"/>
      <w:r>
        <w:rPr>
          <w:rFonts w:hint="eastAsia" w:ascii="宋体" w:hAnsi="宋体" w:eastAsia="宋体" w:cs="宋体"/>
          <w:b/>
          <w:bCs/>
          <w:color w:val="auto"/>
          <w:kern w:val="2"/>
          <w:sz w:val="24"/>
          <w:szCs w:val="24"/>
          <w:highlight w:val="none"/>
          <w:lang w:val="en-US" w:eastAsia="zh-CN" w:bidi="ar-SA"/>
        </w:rPr>
        <w:t>34.签订合同</w:t>
      </w:r>
      <w:bookmarkEnd w:id="259"/>
      <w:bookmarkEnd w:id="260"/>
      <w:bookmarkEnd w:id="261"/>
    </w:p>
    <w:p w14:paraId="77507EBB">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4</w:t>
      </w:r>
      <w:r>
        <w:rPr>
          <w:rFonts w:hint="eastAsia" w:ascii="宋体" w:hAnsi="宋体" w:eastAsia="宋体" w:cs="宋体"/>
          <w:color w:val="auto"/>
          <w:sz w:val="24"/>
          <w:szCs w:val="24"/>
          <w:highlight w:val="none"/>
        </w:rPr>
        <w:t>.1 采购人和中标人应当自中标通知书发出之日起</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天内，根据招标文件和中标人的投标文件订立书面合同。采购人因不可抗力原因迟延签订合同的，应当自不可抗力事由消除之日起7日内完成合同签订事宜。所签订的合同不得对招标文件和中标人投标文件作实质性修改。中标人无正当理由拒签合同，给采购人造成损失的，中标人还应当承担民事责任。</w:t>
      </w:r>
    </w:p>
    <w:p w14:paraId="72CF4FDD">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34.2 中标人拒绝与采购人签订合同的，采购人可以按照评标报告推荐的中标候选人名单排序，确定下一候选人为中标人，也可以重新开展政府采购活动。</w:t>
      </w:r>
    </w:p>
    <w:p w14:paraId="0D3421B6">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采购人和中标人不得向对方提出任何不合理的要求，作为签订合同的条件，双方不得私下订立背离合同实质性内容的协议。</w:t>
      </w:r>
    </w:p>
    <w:p w14:paraId="5551DDAE">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34.4 联合体中标的，联合体各方应当共同与采购人签订合同，就采购合同约定的事项向采购人承担连带责任。</w:t>
      </w:r>
    </w:p>
    <w:p w14:paraId="2BA187E8">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34.5 本项目的非主体、非关键性工作是否允许分包，见“投标人须知前附表”。采购人允许采用分包方式履行合同的，中标人可以依法在中标后将中标项目的非主体、非关键性工作采取分包方式履行合同。政府采购合同分包履行的，应当在投标文件中载明分包承担主体，分包承担主体应当具备相应资质条件且不得再次分包，否则</w:t>
      </w:r>
      <w:r>
        <w:rPr>
          <w:rFonts w:hint="eastAsia" w:ascii="宋体" w:hAnsi="宋体" w:eastAsia="宋体" w:cs="宋体"/>
          <w:b/>
          <w:bCs/>
          <w:color w:val="auto"/>
          <w:sz w:val="24"/>
          <w:szCs w:val="24"/>
          <w:highlight w:val="none"/>
          <w:lang w:val="en-US" w:eastAsia="zh-CN"/>
        </w:rPr>
        <w:t>投标无效</w:t>
      </w:r>
      <w:r>
        <w:rPr>
          <w:rFonts w:hint="eastAsia" w:ascii="宋体" w:hAnsi="宋体" w:eastAsia="宋体" w:cs="宋体"/>
          <w:color w:val="auto"/>
          <w:sz w:val="24"/>
          <w:szCs w:val="24"/>
          <w:highlight w:val="none"/>
          <w:lang w:val="en-US" w:eastAsia="zh-CN"/>
        </w:rPr>
        <w:t>。中标人就采购项目和分包项目向采购人负责，分包供应商就分包项目承担责任。</w:t>
      </w:r>
      <w:r>
        <w:rPr>
          <w:rFonts w:hint="eastAsia" w:ascii="宋体" w:hAnsi="宋体" w:eastAsia="宋体" w:cs="宋体"/>
          <w:b/>
          <w:bCs/>
          <w:color w:val="auto"/>
          <w:sz w:val="24"/>
          <w:szCs w:val="24"/>
          <w:highlight w:val="none"/>
          <w:lang w:val="en-US" w:eastAsia="zh-CN"/>
        </w:rPr>
        <w:t>政府采购合同不能转包。</w:t>
      </w:r>
    </w:p>
    <w:p w14:paraId="13D12B87">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采购合同履行中，采购人需追加与合同标的相同的</w:t>
      </w:r>
      <w:r>
        <w:rPr>
          <w:rFonts w:hint="eastAsia" w:ascii="宋体" w:hAnsi="宋体" w:eastAsia="宋体" w:cs="宋体"/>
          <w:color w:val="auto"/>
          <w:sz w:val="24"/>
          <w:szCs w:val="24"/>
          <w:highlight w:val="none"/>
          <w:lang w:val="en-US" w:eastAsia="zh-CN"/>
        </w:rPr>
        <w:t>货物、工程或者服务</w:t>
      </w:r>
      <w:r>
        <w:rPr>
          <w:rFonts w:hint="eastAsia" w:ascii="宋体" w:hAnsi="宋体" w:eastAsia="宋体" w:cs="宋体"/>
          <w:color w:val="auto"/>
          <w:sz w:val="24"/>
          <w:szCs w:val="24"/>
          <w:highlight w:val="none"/>
        </w:rPr>
        <w:t>的，在不改变合同其他条款的前提下，可以与中标人协商签订补充合同，但所有补充合同的采购金额不得超过原合同采购金额的百分之十。</w:t>
      </w:r>
    </w:p>
    <w:p w14:paraId="259D0E8B">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34.7 采购人应于签订合同之日起2个工作日内在政采云平台备案公示。</w:t>
      </w:r>
    </w:p>
    <w:p w14:paraId="12490EB6">
      <w:pPr>
        <w:pStyle w:val="4"/>
        <w:keepNext w:val="0"/>
        <w:keepLines w:val="0"/>
        <w:pageBreakBefore w:val="0"/>
        <w:widowControl w:val="0"/>
        <w:numPr>
          <w:ilvl w:val="0"/>
          <w:numId w:val="0"/>
        </w:numPr>
        <w:kinsoku/>
        <w:wordWrap/>
        <w:overflowPunct/>
        <w:topLinePunct w:val="0"/>
        <w:autoSpaceDE/>
        <w:autoSpaceDN/>
        <w:bidi w:val="0"/>
        <w:adjustRightInd/>
        <w:snapToGrid/>
        <w:spacing w:before="120" w:after="12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62" w:name="_Toc163492866"/>
      <w:bookmarkStart w:id="263" w:name="_Toc4530"/>
      <w:bookmarkStart w:id="264" w:name="_Toc140132799"/>
      <w:bookmarkStart w:id="265" w:name="_Toc155185881"/>
      <w:r>
        <w:rPr>
          <w:rFonts w:hint="eastAsia" w:ascii="宋体" w:hAnsi="宋体" w:eastAsia="宋体" w:cs="宋体"/>
          <w:b/>
          <w:bCs/>
          <w:color w:val="auto"/>
          <w:kern w:val="2"/>
          <w:sz w:val="24"/>
          <w:szCs w:val="24"/>
          <w:highlight w:val="none"/>
          <w:lang w:val="en-US" w:eastAsia="zh-CN" w:bidi="ar-SA"/>
        </w:rPr>
        <w:t>（十）质疑和投诉</w:t>
      </w:r>
      <w:bookmarkEnd w:id="262"/>
      <w:bookmarkEnd w:id="263"/>
      <w:bookmarkEnd w:id="264"/>
      <w:bookmarkEnd w:id="265"/>
    </w:p>
    <w:p w14:paraId="23BE6A9F">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66" w:name="_Toc19743"/>
      <w:bookmarkStart w:id="267" w:name="_Toc163492867"/>
      <w:bookmarkStart w:id="268" w:name="_Toc140132800"/>
      <w:r>
        <w:rPr>
          <w:rFonts w:hint="eastAsia" w:ascii="宋体" w:hAnsi="宋体" w:eastAsia="宋体" w:cs="宋体"/>
          <w:b/>
          <w:bCs/>
          <w:color w:val="auto"/>
          <w:kern w:val="2"/>
          <w:sz w:val="24"/>
          <w:szCs w:val="24"/>
          <w:highlight w:val="none"/>
          <w:lang w:val="en-US" w:eastAsia="zh-CN" w:bidi="ar-SA"/>
        </w:rPr>
        <w:t>35.质疑</w:t>
      </w:r>
      <w:bookmarkEnd w:id="266"/>
      <w:bookmarkEnd w:id="267"/>
      <w:bookmarkEnd w:id="268"/>
    </w:p>
    <w:p w14:paraId="097AA162">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.1供应商认为采购文件、采购过程、中标结果使自己的权益受到损害的，可以在知道或者应知其权益受到损害之日起7个工作日内，以书面形式向采购人、采购代理机构提出质疑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详见“投标人须知前附表”</w:t>
      </w:r>
      <w:r>
        <w:rPr>
          <w:rFonts w:hint="eastAsia" w:ascii="宋体" w:hAnsi="宋体" w:eastAsia="宋体" w:cs="宋体"/>
          <w:color w:val="auto"/>
          <w:sz w:val="24"/>
          <w:szCs w:val="24"/>
          <w:highlight w:val="none"/>
        </w:rPr>
        <w:t>。供应商在法定质疑期内一次性提出针对同一采购程序环节的质疑。</w:t>
      </w:r>
    </w:p>
    <w:p w14:paraId="492A54F6">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.2提出质疑的供应商（以下简称质疑供应商）应当是参与所质疑项目采购活动的供应商。</w:t>
      </w:r>
    </w:p>
    <w:p w14:paraId="6503DC74">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35.3</w:t>
      </w:r>
      <w:r>
        <w:rPr>
          <w:rFonts w:hint="eastAsia" w:ascii="宋体" w:hAnsi="宋体" w:eastAsia="宋体" w:cs="宋体"/>
          <w:color w:val="auto"/>
          <w:sz w:val="24"/>
          <w:szCs w:val="24"/>
          <w:highlight w:val="none"/>
        </w:rPr>
        <w:t>潜在供应商已依法获取其可质疑的采购文件的，可以对该文件提出质疑。对采购文件提出质疑的，应当在获取采购文件或者采购文件公告期限届满之日起7个工作日内提出。</w:t>
      </w:r>
    </w:p>
    <w:p w14:paraId="58321ED8">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35.4</w:t>
      </w:r>
      <w:r>
        <w:rPr>
          <w:rFonts w:hint="eastAsia" w:ascii="宋体" w:hAnsi="宋体" w:eastAsia="宋体" w:cs="宋体"/>
          <w:color w:val="auto"/>
          <w:sz w:val="24"/>
          <w:szCs w:val="24"/>
          <w:highlight w:val="none"/>
        </w:rPr>
        <w:t>供应商提出质疑应当提交质疑函和必要的证明材料。质疑函应当包括下列内容：</w:t>
      </w:r>
    </w:p>
    <w:p w14:paraId="682A84DB">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）供应商的姓名或者名称、地址、邮编、联系人及联系电话；</w:t>
      </w:r>
    </w:p>
    <w:p w14:paraId="388DB77B">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）质疑项目的名称、</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编号</w:t>
      </w:r>
      <w:r>
        <w:rPr>
          <w:rFonts w:hint="eastAsia"/>
          <w:color w:val="auto"/>
          <w:sz w:val="24"/>
          <w:highlight w:val="none"/>
          <w:lang w:val="en-US" w:eastAsia="zh-CN"/>
        </w:rPr>
        <w:t>/包号</w:t>
      </w:r>
      <w:r>
        <w:rPr>
          <w:rFonts w:hint="eastAsia" w:ascii="宋体" w:hAnsi="宋体" w:eastAsia="宋体" w:cs="宋体"/>
          <w:color w:val="auto"/>
          <w:sz w:val="24"/>
          <w:szCs w:val="24"/>
          <w:highlight w:val="none"/>
        </w:rPr>
        <w:t>；</w:t>
      </w:r>
    </w:p>
    <w:p w14:paraId="7C9D4714">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）具体、明确的质疑事项和与质疑事项相关的请求；</w:t>
      </w:r>
    </w:p>
    <w:p w14:paraId="3C52874F">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）事实依据；</w:t>
      </w:r>
    </w:p>
    <w:p w14:paraId="3EEC5BF9">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）必要的法律依据；</w:t>
      </w:r>
    </w:p>
    <w:p w14:paraId="2E14DE4D">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）提出质疑的日期。</w:t>
      </w:r>
    </w:p>
    <w:p w14:paraId="553B627B">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供应商为自然人的，应当由本人签字；供应商为法人或者其他组织的，应当由法定代表人、主要负责人，或者其授权代表签字或者盖章，并加盖公章。</w:t>
      </w:r>
    </w:p>
    <w:p w14:paraId="5BBD16A6">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.5质疑函不符合上述要求的，采购人或代理机构应书面告知具体事项，质疑人应当按要求进行修改或补充，并在质疑有效期限内提交。</w:t>
      </w:r>
    </w:p>
    <w:p w14:paraId="4A4B9243">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3</w:t>
      </w:r>
      <w:r>
        <w:rPr>
          <w:rFonts w:hint="eastAsia" w:ascii="宋体" w:hAnsi="宋体" w:eastAsia="宋体" w:cs="宋体"/>
          <w:snapToGrid w:val="0"/>
          <w:color w:val="auto"/>
          <w:sz w:val="24"/>
          <w:szCs w:val="24"/>
          <w:highlight w:val="none"/>
          <w:lang w:val="en-US" w:eastAsia="zh-CN"/>
        </w:rPr>
        <w:t>5</w:t>
      </w:r>
      <w:r>
        <w:rPr>
          <w:rFonts w:hint="eastAsia" w:ascii="宋体" w:hAnsi="宋体" w:eastAsia="宋体" w:cs="宋体"/>
          <w:snapToGrid w:val="0"/>
          <w:color w:val="auto"/>
          <w:sz w:val="24"/>
          <w:szCs w:val="24"/>
          <w:highlight w:val="none"/>
        </w:rPr>
        <w:t>.</w:t>
      </w:r>
      <w:r>
        <w:rPr>
          <w:rFonts w:hint="eastAsia" w:ascii="宋体" w:hAnsi="宋体" w:eastAsia="宋体" w:cs="宋体"/>
          <w:snapToGrid w:val="0"/>
          <w:color w:val="auto"/>
          <w:sz w:val="24"/>
          <w:szCs w:val="24"/>
          <w:highlight w:val="none"/>
          <w:lang w:val="en-US" w:eastAsia="zh-CN"/>
        </w:rPr>
        <w:t>6</w:t>
      </w:r>
      <w:r>
        <w:rPr>
          <w:rFonts w:hint="eastAsia" w:ascii="宋体" w:hAnsi="宋体" w:eastAsia="宋体" w:cs="宋体"/>
          <w:snapToGrid w:val="0"/>
          <w:color w:val="auto"/>
          <w:sz w:val="24"/>
          <w:szCs w:val="24"/>
          <w:highlight w:val="none"/>
        </w:rPr>
        <w:t>投标人进行虚假和恶意</w:t>
      </w:r>
      <w:r>
        <w:rPr>
          <w:rFonts w:hint="eastAsia" w:ascii="宋体" w:hAnsi="宋体" w:eastAsia="宋体" w:cs="宋体"/>
          <w:snapToGrid w:val="0"/>
          <w:color w:val="auto"/>
          <w:sz w:val="24"/>
          <w:szCs w:val="24"/>
          <w:highlight w:val="none"/>
          <w:lang w:val="en-US" w:eastAsia="zh-CN"/>
        </w:rPr>
        <w:t>质疑投诉</w:t>
      </w:r>
      <w:r>
        <w:rPr>
          <w:rFonts w:hint="eastAsia" w:ascii="宋体" w:hAnsi="宋体" w:eastAsia="宋体" w:cs="宋体"/>
          <w:snapToGrid w:val="0"/>
          <w:color w:val="auto"/>
          <w:sz w:val="24"/>
          <w:szCs w:val="24"/>
          <w:highlight w:val="none"/>
        </w:rPr>
        <w:t>的，采购代理机构将提请有关部门将其列入不良记录名单，在一至三年内禁止参加政府采购活动，并将处理决定在相关政府采购媒体上公布。</w:t>
      </w:r>
    </w:p>
    <w:p w14:paraId="184C71DC">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35.7</w:t>
      </w:r>
      <w:r>
        <w:rPr>
          <w:rFonts w:hint="eastAsia" w:ascii="宋体" w:hAnsi="宋体" w:eastAsia="宋体" w:cs="宋体"/>
          <w:color w:val="auto"/>
          <w:sz w:val="24"/>
          <w:szCs w:val="24"/>
          <w:highlight w:val="none"/>
        </w:rPr>
        <w:t>质疑函</w:t>
      </w:r>
      <w:r>
        <w:rPr>
          <w:rFonts w:hint="eastAsia" w:ascii="宋体" w:hAnsi="宋体" w:eastAsia="宋体" w:cs="宋体"/>
          <w:color w:val="auto"/>
          <w:sz w:val="24"/>
          <w:szCs w:val="24"/>
          <w:highlight w:val="none"/>
          <w:lang w:val="en-US" w:eastAsia="zh-CN"/>
        </w:rPr>
        <w:t>应当使用中文，并采用财政部门制定的范本。</w:t>
      </w:r>
    </w:p>
    <w:p w14:paraId="6E7964C0">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69" w:name="_Toc163492868"/>
      <w:bookmarkStart w:id="270" w:name="_Toc27598"/>
      <w:bookmarkStart w:id="271" w:name="_Toc140132801"/>
      <w:r>
        <w:rPr>
          <w:rFonts w:hint="eastAsia" w:ascii="宋体" w:hAnsi="宋体" w:eastAsia="宋体" w:cs="宋体"/>
          <w:b/>
          <w:bCs/>
          <w:color w:val="auto"/>
          <w:kern w:val="2"/>
          <w:sz w:val="24"/>
          <w:szCs w:val="24"/>
          <w:highlight w:val="none"/>
          <w:lang w:val="en-US" w:eastAsia="zh-CN" w:bidi="ar-SA"/>
        </w:rPr>
        <w:t>36.质疑答复</w:t>
      </w:r>
      <w:bookmarkEnd w:id="269"/>
      <w:bookmarkEnd w:id="270"/>
      <w:bookmarkEnd w:id="271"/>
    </w:p>
    <w:p w14:paraId="43D7F91D">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bookmarkStart w:id="272" w:name="_Toc140132802"/>
      <w:bookmarkStart w:id="273" w:name="_Toc163492869"/>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.1采购人、采购代理机构不得拒收质疑供应商在法定质疑期内发出的质疑函，应当在收到质疑函后7个工作日内作出答复，并以书面形式通知质疑供应商和其他有关供应商。</w:t>
      </w:r>
    </w:p>
    <w:p w14:paraId="4E9D6E2D">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36.2供应商对评审过程、中标结果提出质疑的，采购人、采购代理机构可以组织原评标委员会协助答复质疑。</w:t>
      </w:r>
    </w:p>
    <w:p w14:paraId="0056DA51">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质疑答复应当包括下列内容：</w:t>
      </w:r>
    </w:p>
    <w:p w14:paraId="34339C8A">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zh-CN"/>
        </w:rPr>
        <w:t>）质疑供应商的姓名或者名称；</w:t>
      </w:r>
    </w:p>
    <w:p w14:paraId="2F251724">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）收到质疑函的日期、质疑项目名称及</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lang w:val="zh-CN" w:eastAsia="zh-CN"/>
        </w:rPr>
        <w:t>编号</w:t>
      </w:r>
      <w:r>
        <w:rPr>
          <w:rFonts w:hint="eastAsia"/>
          <w:color w:val="auto"/>
          <w:sz w:val="24"/>
          <w:highlight w:val="none"/>
          <w:lang w:val="en-US" w:eastAsia="zh-CN"/>
        </w:rPr>
        <w:t>/包号</w:t>
      </w:r>
      <w:r>
        <w:rPr>
          <w:rFonts w:hint="eastAsia" w:ascii="宋体" w:hAnsi="宋体" w:eastAsia="宋体" w:cs="宋体"/>
          <w:color w:val="auto"/>
          <w:sz w:val="24"/>
          <w:szCs w:val="24"/>
          <w:highlight w:val="none"/>
          <w:lang w:val="zh-CN" w:eastAsia="zh-CN"/>
        </w:rPr>
        <w:t>；</w:t>
      </w:r>
    </w:p>
    <w:p w14:paraId="1365ED73">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）质疑事项、质疑答复的具体内容、事实依据和法律依据；</w:t>
      </w:r>
    </w:p>
    <w:p w14:paraId="3C71AFF8">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）告知质疑供应商依法投诉的权利；</w:t>
      </w:r>
    </w:p>
    <w:p w14:paraId="77F64A38">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）质疑答复人名称；</w:t>
      </w:r>
    </w:p>
    <w:p w14:paraId="52743A2B">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）答复质疑的日期。</w:t>
      </w:r>
    </w:p>
    <w:p w14:paraId="56A5E1E9">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质疑答复的内容不得涉及商业秘密。</w:t>
      </w:r>
    </w:p>
    <w:p w14:paraId="631FD1E7">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74" w:name="_Toc7181"/>
      <w:r>
        <w:rPr>
          <w:rFonts w:hint="eastAsia" w:ascii="宋体" w:hAnsi="宋体" w:eastAsia="宋体" w:cs="宋体"/>
          <w:b/>
          <w:bCs/>
          <w:color w:val="auto"/>
          <w:kern w:val="2"/>
          <w:sz w:val="24"/>
          <w:szCs w:val="24"/>
          <w:highlight w:val="none"/>
          <w:lang w:val="en-US" w:eastAsia="zh-CN" w:bidi="ar-SA"/>
        </w:rPr>
        <w:t>37.投诉</w:t>
      </w:r>
      <w:bookmarkEnd w:id="272"/>
      <w:bookmarkEnd w:id="273"/>
      <w:bookmarkEnd w:id="274"/>
    </w:p>
    <w:p w14:paraId="34C5EAA0">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37.1</w:t>
      </w:r>
      <w:r>
        <w:rPr>
          <w:rFonts w:hint="eastAsia" w:ascii="宋体" w:hAnsi="宋体" w:eastAsia="宋体" w:cs="宋体"/>
          <w:color w:val="auto"/>
          <w:sz w:val="24"/>
          <w:szCs w:val="24"/>
          <w:highlight w:val="none"/>
        </w:rPr>
        <w:t>质疑供应商对采购人、采购代理机构的答复不满意，或者采购人、采购代理机构未在规定时间内作出答复的，可以在答复期满后15个工作日内向</w:t>
      </w:r>
      <w:r>
        <w:rPr>
          <w:rFonts w:hint="eastAsia" w:ascii="宋体" w:hAnsi="宋体" w:eastAsia="宋体" w:cs="宋体"/>
          <w:color w:val="auto"/>
          <w:sz w:val="24"/>
          <w:szCs w:val="24"/>
          <w:highlight w:val="none"/>
          <w:lang w:val="en-US" w:eastAsia="zh-CN"/>
        </w:rPr>
        <w:t>同级政府采购监督管理部门</w:t>
      </w:r>
      <w:r>
        <w:rPr>
          <w:rFonts w:hint="eastAsia" w:ascii="宋体" w:hAnsi="宋体" w:eastAsia="宋体" w:cs="宋体"/>
          <w:color w:val="auto"/>
          <w:sz w:val="24"/>
          <w:szCs w:val="24"/>
          <w:highlight w:val="none"/>
        </w:rPr>
        <w:t>提起投诉。</w:t>
      </w:r>
    </w:p>
    <w:p w14:paraId="7AE3C0F6">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37.2</w:t>
      </w:r>
      <w:r>
        <w:rPr>
          <w:rFonts w:hint="eastAsia" w:ascii="宋体" w:hAnsi="宋体" w:eastAsia="宋体" w:cs="宋体"/>
          <w:color w:val="auto"/>
          <w:sz w:val="24"/>
          <w:szCs w:val="24"/>
          <w:highlight w:val="none"/>
        </w:rPr>
        <w:t>投诉人投诉时,应当提交投诉书和必要的证明材料，并按照被投诉采购人、采购代理机构（以下简称被投诉人）和与投诉事项有关的供应商数量提供投诉书的副本。投诉书应当包括下列内容：</w:t>
      </w:r>
    </w:p>
    <w:p w14:paraId="49546547">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）投诉人和被投诉人的姓名或者名称、通讯地址、邮编、联系人及联系电话；</w:t>
      </w:r>
    </w:p>
    <w:p w14:paraId="1A65A103">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）质疑和质疑答复情况说明及相关证明材料；</w:t>
      </w:r>
    </w:p>
    <w:p w14:paraId="675A6D97">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）具体、明确的投诉事项和与投诉事项相关的投诉请求；</w:t>
      </w:r>
    </w:p>
    <w:p w14:paraId="4A0C1598">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）事实依据；</w:t>
      </w:r>
    </w:p>
    <w:p w14:paraId="4CFD3E01">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）法律依据；</w:t>
      </w:r>
    </w:p>
    <w:p w14:paraId="35FA6A4A">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）提起投诉的日期。</w:t>
      </w:r>
    </w:p>
    <w:p w14:paraId="4FC7C3AB">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投诉人为自然人的，应当由本人签字；投诉人为法人或者其他组织的，应当由法定代表人、主要负责人，或者其授权代表签字或者盖章，并加盖公章。</w:t>
      </w:r>
    </w:p>
    <w:p w14:paraId="4DF335BD">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37.3</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rPr>
        <w:t>质疑、</w:t>
      </w:r>
      <w:r>
        <w:rPr>
          <w:rFonts w:hint="eastAsia" w:ascii="宋体" w:hAnsi="宋体" w:eastAsia="宋体" w:cs="宋体"/>
          <w:color w:val="auto"/>
          <w:sz w:val="24"/>
          <w:szCs w:val="24"/>
          <w:highlight w:val="none"/>
        </w:rPr>
        <w:t>投诉</w:t>
      </w:r>
      <w:r>
        <w:rPr>
          <w:rFonts w:hint="eastAsia" w:ascii="宋体" w:hAnsi="宋体" w:eastAsia="宋体" w:cs="宋体"/>
          <w:color w:val="auto"/>
          <w:sz w:val="24"/>
          <w:szCs w:val="24"/>
          <w:highlight w:val="none"/>
          <w:lang w:val="en-US" w:eastAsia="zh-CN"/>
        </w:rPr>
        <w:t>应当有明确的请求和必要的证明材料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供应商投诉的事项不得超出</w:t>
      </w:r>
      <w:r>
        <w:rPr>
          <w:rFonts w:hint="eastAsia" w:ascii="宋体" w:hAnsi="宋体" w:eastAsia="宋体" w:cs="宋体"/>
          <w:color w:val="auto"/>
          <w:sz w:val="24"/>
          <w:szCs w:val="24"/>
          <w:highlight w:val="none"/>
          <w:lang w:val="en-US" w:eastAsia="zh-CN"/>
        </w:rPr>
        <w:t>已</w:t>
      </w:r>
      <w:r>
        <w:rPr>
          <w:rFonts w:hint="eastAsia" w:ascii="宋体" w:hAnsi="宋体" w:eastAsia="宋体" w:cs="宋体"/>
          <w:color w:val="auto"/>
          <w:sz w:val="24"/>
          <w:szCs w:val="24"/>
          <w:highlight w:val="none"/>
        </w:rPr>
        <w:t>质疑事项的范围，但基于质疑答复内容提出的投诉事项除外</w:t>
      </w:r>
      <w:r>
        <w:rPr>
          <w:rFonts w:hint="eastAsia" w:ascii="宋体" w:hAnsi="宋体" w:eastAsia="宋体" w:cs="宋体"/>
          <w:bCs/>
          <w:color w:val="auto"/>
          <w:sz w:val="24"/>
          <w:szCs w:val="24"/>
          <w:highlight w:val="none"/>
        </w:rPr>
        <w:t>。</w:t>
      </w:r>
    </w:p>
    <w:p w14:paraId="0C7738C6">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bCs/>
          <w:color w:val="auto"/>
          <w:sz w:val="24"/>
          <w:szCs w:val="24"/>
          <w:highlight w:val="none"/>
        </w:rPr>
      </w:pPr>
      <w:r>
        <w:rPr>
          <w:rFonts w:hint="eastAsia" w:ascii="宋体" w:hAnsi="宋体" w:eastAsia="宋体" w:cs="宋体"/>
          <w:snapToGrid w:val="0"/>
          <w:color w:val="auto"/>
          <w:sz w:val="24"/>
          <w:szCs w:val="24"/>
          <w:highlight w:val="none"/>
          <w:lang w:val="en-US" w:eastAsia="zh-CN"/>
        </w:rPr>
        <w:t>37.4</w:t>
      </w:r>
      <w:r>
        <w:rPr>
          <w:rFonts w:hint="eastAsia" w:ascii="宋体" w:hAnsi="宋体" w:eastAsia="宋体" w:cs="宋体"/>
          <w:color w:val="auto"/>
          <w:sz w:val="24"/>
          <w:szCs w:val="24"/>
          <w:highlight w:val="none"/>
          <w:lang w:val="en-US" w:eastAsia="zh-CN"/>
        </w:rPr>
        <w:t>投诉书应当使用中文，并采用财政部门制定的范本。</w:t>
      </w:r>
    </w:p>
    <w:p w14:paraId="076E00EB">
      <w:pPr>
        <w:pStyle w:val="4"/>
        <w:keepNext w:val="0"/>
        <w:keepLines w:val="0"/>
        <w:pageBreakBefore w:val="0"/>
        <w:widowControl w:val="0"/>
        <w:numPr>
          <w:ilvl w:val="0"/>
          <w:numId w:val="0"/>
        </w:numPr>
        <w:kinsoku/>
        <w:wordWrap/>
        <w:overflowPunct/>
        <w:topLinePunct w:val="0"/>
        <w:autoSpaceDE/>
        <w:autoSpaceDN/>
        <w:bidi w:val="0"/>
        <w:adjustRightInd/>
        <w:snapToGrid/>
        <w:spacing w:before="120" w:after="12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75" w:name="_Toc155185882"/>
      <w:bookmarkStart w:id="276" w:name="_Toc163492870"/>
      <w:bookmarkStart w:id="277" w:name="_Toc10455"/>
      <w:bookmarkStart w:id="278" w:name="_Toc140132803"/>
      <w:r>
        <w:rPr>
          <w:rFonts w:hint="eastAsia" w:ascii="宋体" w:hAnsi="宋体" w:eastAsia="宋体" w:cs="宋体"/>
          <w:b/>
          <w:bCs/>
          <w:color w:val="auto"/>
          <w:kern w:val="2"/>
          <w:sz w:val="24"/>
          <w:szCs w:val="24"/>
          <w:highlight w:val="none"/>
          <w:lang w:val="en-US" w:eastAsia="zh-CN" w:bidi="ar-SA"/>
        </w:rPr>
        <w:t>（十一）采购代理服务费</w:t>
      </w:r>
      <w:bookmarkEnd w:id="275"/>
      <w:bookmarkEnd w:id="276"/>
      <w:bookmarkEnd w:id="277"/>
      <w:bookmarkEnd w:id="278"/>
    </w:p>
    <w:p w14:paraId="3EF5B76A">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79" w:name="_Toc8855"/>
      <w:bookmarkStart w:id="280" w:name="_Toc140132804"/>
      <w:bookmarkStart w:id="281" w:name="_Toc163492871"/>
      <w:r>
        <w:rPr>
          <w:rFonts w:hint="eastAsia" w:ascii="宋体" w:hAnsi="宋体" w:eastAsia="宋体" w:cs="宋体"/>
          <w:b/>
          <w:bCs/>
          <w:color w:val="auto"/>
          <w:kern w:val="2"/>
          <w:sz w:val="24"/>
          <w:szCs w:val="24"/>
          <w:highlight w:val="none"/>
          <w:lang w:val="en-US" w:eastAsia="zh-CN" w:bidi="ar-SA"/>
        </w:rPr>
        <w:t>38.收取方式和标准</w:t>
      </w:r>
      <w:bookmarkEnd w:id="279"/>
      <w:bookmarkEnd w:id="280"/>
      <w:bookmarkEnd w:id="281"/>
    </w:p>
    <w:p w14:paraId="0FDD9E25">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8</w:t>
      </w:r>
      <w:r>
        <w:rPr>
          <w:rFonts w:hint="eastAsia" w:ascii="宋体" w:hAnsi="宋体" w:eastAsia="宋体" w:cs="宋体"/>
          <w:color w:val="auto"/>
          <w:sz w:val="24"/>
          <w:szCs w:val="24"/>
          <w:highlight w:val="none"/>
        </w:rPr>
        <w:t>.1采购代理机构按“投标人须知前附表”规定的方式和标准收取采购代理服务费。</w:t>
      </w:r>
    </w:p>
    <w:p w14:paraId="3ED844E1">
      <w:pPr>
        <w:pStyle w:val="4"/>
        <w:keepNext w:val="0"/>
        <w:keepLines w:val="0"/>
        <w:pageBreakBefore w:val="0"/>
        <w:widowControl w:val="0"/>
        <w:numPr>
          <w:ilvl w:val="0"/>
          <w:numId w:val="0"/>
        </w:numPr>
        <w:kinsoku/>
        <w:wordWrap/>
        <w:overflowPunct/>
        <w:topLinePunct w:val="0"/>
        <w:autoSpaceDE/>
        <w:autoSpaceDN/>
        <w:bidi w:val="0"/>
        <w:adjustRightInd/>
        <w:snapToGrid/>
        <w:spacing w:before="120" w:after="12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82" w:name="_Toc155185883"/>
      <w:bookmarkStart w:id="283" w:name="_Toc10992"/>
      <w:bookmarkStart w:id="284" w:name="_Toc140132805"/>
      <w:bookmarkStart w:id="285" w:name="_Toc163492872"/>
      <w:r>
        <w:rPr>
          <w:rFonts w:hint="eastAsia" w:ascii="宋体" w:hAnsi="宋体" w:eastAsia="宋体" w:cs="宋体"/>
          <w:b/>
          <w:bCs/>
          <w:color w:val="auto"/>
          <w:kern w:val="2"/>
          <w:sz w:val="24"/>
          <w:szCs w:val="24"/>
          <w:highlight w:val="none"/>
          <w:lang w:val="en-US" w:eastAsia="zh-CN" w:bidi="ar-SA"/>
        </w:rPr>
        <w:t>（十二）无效投标和废标</w:t>
      </w:r>
      <w:bookmarkEnd w:id="282"/>
      <w:bookmarkEnd w:id="283"/>
      <w:bookmarkEnd w:id="284"/>
      <w:bookmarkEnd w:id="285"/>
    </w:p>
    <w:p w14:paraId="25869235">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86" w:name="_Toc163492873"/>
      <w:bookmarkStart w:id="287" w:name="_Toc140132806"/>
      <w:bookmarkStart w:id="288" w:name="_Toc28487"/>
      <w:r>
        <w:rPr>
          <w:rFonts w:hint="eastAsia" w:ascii="宋体" w:hAnsi="宋体" w:eastAsia="宋体" w:cs="宋体"/>
          <w:b/>
          <w:bCs/>
          <w:color w:val="auto"/>
          <w:kern w:val="2"/>
          <w:sz w:val="24"/>
          <w:szCs w:val="24"/>
          <w:highlight w:val="none"/>
          <w:lang w:val="en-US" w:eastAsia="zh-CN" w:bidi="ar-SA"/>
        </w:rPr>
        <w:t>39.无效投标</w:t>
      </w:r>
      <w:bookmarkEnd w:id="286"/>
      <w:bookmarkEnd w:id="287"/>
      <w:bookmarkEnd w:id="288"/>
    </w:p>
    <w:p w14:paraId="0EBD1306">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39</w:t>
      </w:r>
      <w:r>
        <w:rPr>
          <w:rFonts w:hint="eastAsia" w:ascii="宋体" w:hAnsi="宋体" w:eastAsia="宋体" w:cs="宋体"/>
          <w:color w:val="auto"/>
          <w:sz w:val="24"/>
          <w:szCs w:val="24"/>
          <w:highlight w:val="none"/>
        </w:rPr>
        <w:t>.1投标文件存在“第四章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资格审查”、“第五章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评标</w:t>
      </w:r>
      <w:r>
        <w:rPr>
          <w:rFonts w:hint="eastAsia" w:ascii="宋体" w:hAnsi="宋体" w:eastAsia="宋体" w:cs="宋体"/>
          <w:color w:val="auto"/>
          <w:sz w:val="24"/>
          <w:szCs w:val="24"/>
          <w:highlight w:val="none"/>
          <w:lang w:val="en-US" w:eastAsia="zh-CN"/>
        </w:rPr>
        <w:t>方</w:t>
      </w:r>
      <w:r>
        <w:rPr>
          <w:rFonts w:hint="eastAsia" w:ascii="宋体" w:hAnsi="宋体" w:eastAsia="宋体" w:cs="宋体"/>
          <w:color w:val="auto"/>
          <w:sz w:val="24"/>
          <w:szCs w:val="24"/>
          <w:highlight w:val="none"/>
        </w:rPr>
        <w:t>法及标准”</w:t>
      </w:r>
      <w:r>
        <w:rPr>
          <w:rFonts w:hint="eastAsia" w:ascii="宋体" w:hAnsi="宋体" w:eastAsia="宋体" w:cs="宋体"/>
          <w:color w:val="auto"/>
          <w:sz w:val="24"/>
          <w:szCs w:val="24"/>
          <w:highlight w:val="none"/>
          <w:lang w:val="en-US" w:eastAsia="zh-CN"/>
        </w:rPr>
        <w:t>及本招标文件</w:t>
      </w:r>
      <w:r>
        <w:rPr>
          <w:rFonts w:hint="eastAsia" w:ascii="宋体" w:hAnsi="宋体" w:eastAsia="宋体" w:cs="宋体"/>
          <w:color w:val="auto"/>
          <w:sz w:val="24"/>
          <w:szCs w:val="24"/>
          <w:highlight w:val="none"/>
        </w:rPr>
        <w:t>规定的投标无效情形的，其</w:t>
      </w:r>
      <w:r>
        <w:rPr>
          <w:rFonts w:hint="eastAsia" w:ascii="宋体" w:hAnsi="宋体" w:eastAsia="宋体" w:cs="宋体"/>
          <w:b/>
          <w:bCs/>
          <w:color w:val="auto"/>
          <w:sz w:val="24"/>
          <w:szCs w:val="24"/>
          <w:highlight w:val="none"/>
        </w:rPr>
        <w:t>投标无效</w:t>
      </w:r>
      <w:r>
        <w:rPr>
          <w:rFonts w:hint="eastAsia" w:ascii="宋体" w:hAnsi="宋体" w:eastAsia="宋体" w:cs="宋体"/>
          <w:color w:val="auto"/>
          <w:sz w:val="24"/>
          <w:szCs w:val="24"/>
          <w:highlight w:val="none"/>
        </w:rPr>
        <w:t>。</w:t>
      </w:r>
    </w:p>
    <w:p w14:paraId="7306E47B">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89" w:name="_Toc140132807"/>
      <w:bookmarkStart w:id="290" w:name="_Toc163492874"/>
      <w:bookmarkStart w:id="291" w:name="_Toc3980"/>
      <w:r>
        <w:rPr>
          <w:rFonts w:hint="eastAsia" w:ascii="宋体" w:hAnsi="宋体" w:eastAsia="宋体" w:cs="宋体"/>
          <w:b/>
          <w:bCs/>
          <w:color w:val="auto"/>
          <w:kern w:val="2"/>
          <w:sz w:val="24"/>
          <w:szCs w:val="24"/>
          <w:highlight w:val="none"/>
          <w:lang w:val="en-US" w:eastAsia="zh-CN" w:bidi="ar-SA"/>
        </w:rPr>
        <w:t>40.废标</w:t>
      </w:r>
      <w:bookmarkEnd w:id="289"/>
      <w:bookmarkEnd w:id="290"/>
      <w:bookmarkEnd w:id="291"/>
    </w:p>
    <w:p w14:paraId="7B569749">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.1在招标采购中出现有“第五章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评标</w:t>
      </w:r>
      <w:r>
        <w:rPr>
          <w:rFonts w:hint="eastAsia" w:ascii="宋体" w:hAnsi="宋体" w:eastAsia="宋体" w:cs="宋体"/>
          <w:color w:val="auto"/>
          <w:sz w:val="24"/>
          <w:szCs w:val="24"/>
          <w:highlight w:val="none"/>
          <w:lang w:val="en-US" w:eastAsia="zh-CN"/>
        </w:rPr>
        <w:t>方</w:t>
      </w:r>
      <w:r>
        <w:rPr>
          <w:rFonts w:hint="eastAsia" w:ascii="宋体" w:hAnsi="宋体" w:eastAsia="宋体" w:cs="宋体"/>
          <w:color w:val="auto"/>
          <w:sz w:val="24"/>
          <w:szCs w:val="24"/>
          <w:highlight w:val="none"/>
        </w:rPr>
        <w:t>法及标准”</w:t>
      </w:r>
      <w:r>
        <w:rPr>
          <w:rFonts w:hint="eastAsia" w:ascii="宋体" w:hAnsi="宋体" w:eastAsia="宋体" w:cs="宋体"/>
          <w:color w:val="auto"/>
          <w:sz w:val="24"/>
          <w:szCs w:val="24"/>
          <w:highlight w:val="none"/>
          <w:lang w:val="en-US" w:eastAsia="zh-CN"/>
        </w:rPr>
        <w:t>及本招标文件</w:t>
      </w:r>
      <w:r>
        <w:rPr>
          <w:rFonts w:hint="eastAsia" w:ascii="宋体" w:hAnsi="宋体" w:eastAsia="宋体" w:cs="宋体"/>
          <w:color w:val="auto"/>
          <w:sz w:val="24"/>
          <w:szCs w:val="24"/>
          <w:highlight w:val="none"/>
        </w:rPr>
        <w:t>规定的废标情形的，应予以</w:t>
      </w:r>
      <w:r>
        <w:rPr>
          <w:rFonts w:hint="eastAsia" w:ascii="宋体" w:hAnsi="宋体" w:eastAsia="宋体" w:cs="宋体"/>
          <w:b/>
          <w:bCs/>
          <w:color w:val="auto"/>
          <w:sz w:val="24"/>
          <w:szCs w:val="24"/>
          <w:highlight w:val="none"/>
        </w:rPr>
        <w:t>废标</w:t>
      </w:r>
      <w:r>
        <w:rPr>
          <w:rFonts w:hint="eastAsia" w:ascii="宋体" w:hAnsi="宋体" w:eastAsia="宋体" w:cs="宋体"/>
          <w:color w:val="auto"/>
          <w:sz w:val="24"/>
          <w:szCs w:val="24"/>
          <w:highlight w:val="none"/>
          <w:lang w:eastAsia="zh-CN"/>
        </w:rPr>
        <w:t>。</w:t>
      </w:r>
    </w:p>
    <w:p w14:paraId="0C4DEC92">
      <w:pPr>
        <w:pStyle w:val="4"/>
        <w:keepNext w:val="0"/>
        <w:keepLines w:val="0"/>
        <w:pageBreakBefore w:val="0"/>
        <w:widowControl w:val="0"/>
        <w:numPr>
          <w:ilvl w:val="0"/>
          <w:numId w:val="0"/>
        </w:numPr>
        <w:kinsoku/>
        <w:wordWrap/>
        <w:overflowPunct/>
        <w:topLinePunct w:val="0"/>
        <w:autoSpaceDE/>
        <w:autoSpaceDN/>
        <w:bidi w:val="0"/>
        <w:adjustRightInd/>
        <w:snapToGrid/>
        <w:spacing w:before="120" w:after="12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92" w:name="_Toc163492875"/>
      <w:bookmarkStart w:id="293" w:name="_Toc140132766"/>
      <w:bookmarkStart w:id="294" w:name="_Toc5781"/>
      <w:bookmarkStart w:id="295" w:name="_Toc140132808"/>
      <w:bookmarkStart w:id="296" w:name="_Toc155185884"/>
      <w:r>
        <w:rPr>
          <w:rFonts w:hint="eastAsia" w:ascii="宋体" w:hAnsi="宋体" w:eastAsia="宋体" w:cs="宋体"/>
          <w:b/>
          <w:bCs/>
          <w:color w:val="auto"/>
          <w:kern w:val="2"/>
          <w:sz w:val="24"/>
          <w:szCs w:val="24"/>
          <w:highlight w:val="none"/>
          <w:lang w:val="en-US" w:eastAsia="zh-CN" w:bidi="ar-SA"/>
        </w:rPr>
        <w:t>（十三）落实政府采购政策</w:t>
      </w:r>
      <w:bookmarkEnd w:id="292"/>
      <w:bookmarkEnd w:id="293"/>
      <w:r>
        <w:rPr>
          <w:rFonts w:hint="eastAsia" w:ascii="宋体" w:hAnsi="宋体" w:eastAsia="宋体" w:cs="宋体"/>
          <w:b/>
          <w:bCs/>
          <w:color w:val="auto"/>
          <w:kern w:val="2"/>
          <w:sz w:val="24"/>
          <w:szCs w:val="24"/>
          <w:highlight w:val="none"/>
          <w:lang w:val="en-US" w:eastAsia="zh-CN" w:bidi="ar-SA"/>
        </w:rPr>
        <w:t>（包括但不限于下列具体政策要求）</w:t>
      </w:r>
      <w:bookmarkEnd w:id="294"/>
    </w:p>
    <w:p w14:paraId="5800BCE0">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97" w:name="_Toc31458"/>
      <w:bookmarkStart w:id="298" w:name="_Toc163492876"/>
      <w:r>
        <w:rPr>
          <w:rFonts w:hint="eastAsia" w:ascii="宋体" w:hAnsi="宋体" w:eastAsia="宋体" w:cs="宋体"/>
          <w:b/>
          <w:bCs/>
          <w:color w:val="auto"/>
          <w:kern w:val="2"/>
          <w:sz w:val="24"/>
          <w:szCs w:val="24"/>
          <w:highlight w:val="none"/>
          <w:lang w:val="en-US" w:eastAsia="zh-CN" w:bidi="ar-SA"/>
        </w:rPr>
        <w:t>41.支持国产和进口产品审批</w:t>
      </w:r>
      <w:bookmarkEnd w:id="297"/>
      <w:bookmarkEnd w:id="298"/>
    </w:p>
    <w:p w14:paraId="26D924DD">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4</w:t>
      </w:r>
      <w:r>
        <w:rPr>
          <w:rFonts w:hint="eastAsia" w:ascii="宋体" w:hAnsi="宋体" w:eastAsia="宋体" w:cs="宋体"/>
          <w:snapToGrid w:val="0"/>
          <w:color w:val="auto"/>
          <w:sz w:val="24"/>
          <w:szCs w:val="24"/>
          <w:highlight w:val="none"/>
          <w:lang w:val="en-US" w:eastAsia="zh-CN"/>
        </w:rPr>
        <w:t>1</w:t>
      </w:r>
      <w:r>
        <w:rPr>
          <w:rFonts w:hint="eastAsia" w:ascii="宋体" w:hAnsi="宋体" w:eastAsia="宋体" w:cs="宋体"/>
          <w:snapToGrid w:val="0"/>
          <w:color w:val="auto"/>
          <w:sz w:val="24"/>
          <w:szCs w:val="24"/>
          <w:highlight w:val="none"/>
        </w:rPr>
        <w:t>.1除“投标人须知前附表”另有规定外，政府采购应当采购本国</w:t>
      </w:r>
      <w:r>
        <w:rPr>
          <w:rFonts w:hint="eastAsia" w:ascii="宋体" w:hAnsi="宋体" w:eastAsia="宋体" w:cs="宋体"/>
          <w:snapToGrid w:val="0"/>
          <w:color w:val="auto"/>
          <w:sz w:val="24"/>
          <w:szCs w:val="24"/>
          <w:highlight w:val="none"/>
          <w:lang w:val="en-US" w:eastAsia="zh-CN"/>
        </w:rPr>
        <w:t>货物、工程和服务</w:t>
      </w:r>
      <w:r>
        <w:rPr>
          <w:rFonts w:hint="eastAsia" w:ascii="宋体" w:hAnsi="宋体" w:eastAsia="宋体" w:cs="宋体"/>
          <w:snapToGrid w:val="0"/>
          <w:color w:val="auto"/>
          <w:sz w:val="24"/>
          <w:szCs w:val="24"/>
          <w:highlight w:val="none"/>
        </w:rPr>
        <w:t>，确需采购进口产品的，采购人应当按照</w:t>
      </w:r>
      <w:r>
        <w:rPr>
          <w:rFonts w:hint="eastAsia" w:ascii="宋体" w:hAnsi="宋体" w:eastAsia="宋体" w:cs="宋体"/>
          <w:snapToGrid w:val="0"/>
          <w:color w:val="auto"/>
          <w:sz w:val="24"/>
          <w:szCs w:val="24"/>
          <w:highlight w:val="none"/>
          <w:lang w:val="en-US" w:eastAsia="zh-CN"/>
        </w:rPr>
        <w:t>《政府采购进口产品管理办法》（财库〔2007〕119 号文）、</w:t>
      </w:r>
      <w:r>
        <w:rPr>
          <w:rFonts w:hint="eastAsia" w:ascii="宋体" w:hAnsi="宋体" w:eastAsia="宋体" w:cs="宋体"/>
          <w:snapToGrid w:val="0"/>
          <w:color w:val="auto"/>
          <w:sz w:val="24"/>
          <w:szCs w:val="24"/>
          <w:highlight w:val="none"/>
        </w:rPr>
        <w:t>《关于政府采购进口产品管理有关问题的通知》（财办库〔2008〕248号）规定执行（进口产品审批制，科研院所监管部门另有规定的从其规定）。项目若涉及采购进口产品的，具体要求详见“第三章 采购需求”。</w:t>
      </w:r>
    </w:p>
    <w:p w14:paraId="201F13F9">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 xml:space="preserve">41.2进口产品指通过中国海关报关验放进入中国境内且产自关境外的产品，包括已经进入中国境内的进口产品。 </w:t>
      </w:r>
    </w:p>
    <w:p w14:paraId="0C404CE2">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41.3若采购需求中写明允许采购进口产品，投标人应保证所投产品可履行合法报通关手续进入中国关境内。</w:t>
      </w:r>
    </w:p>
    <w:p w14:paraId="50A8DE9A">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41.4若采购需求中未写明允许采购进口产品，如投标人所投产品为进口产品，其投标将被认定为</w:t>
      </w:r>
      <w:r>
        <w:rPr>
          <w:rFonts w:hint="eastAsia" w:ascii="宋体" w:hAnsi="宋体" w:eastAsia="宋体" w:cs="宋体"/>
          <w:b/>
          <w:bCs/>
          <w:snapToGrid w:val="0"/>
          <w:color w:val="auto"/>
          <w:sz w:val="24"/>
          <w:szCs w:val="24"/>
          <w:highlight w:val="none"/>
          <w:lang w:val="en-US" w:eastAsia="zh-CN"/>
        </w:rPr>
        <w:t>投标无效</w:t>
      </w:r>
      <w:r>
        <w:rPr>
          <w:rFonts w:hint="eastAsia" w:ascii="宋体" w:hAnsi="宋体" w:eastAsia="宋体" w:cs="宋体"/>
          <w:snapToGrid w:val="0"/>
          <w:color w:val="auto"/>
          <w:sz w:val="24"/>
          <w:szCs w:val="24"/>
          <w:highlight w:val="none"/>
          <w:lang w:val="en-US" w:eastAsia="zh-CN"/>
        </w:rPr>
        <w:t>。</w:t>
      </w:r>
    </w:p>
    <w:p w14:paraId="6764F885">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99" w:name="_Toc3821"/>
      <w:bookmarkStart w:id="300" w:name="_Toc163492877"/>
      <w:r>
        <w:rPr>
          <w:rFonts w:hint="eastAsia" w:ascii="宋体" w:hAnsi="宋体" w:eastAsia="宋体" w:cs="宋体"/>
          <w:b/>
          <w:bCs/>
          <w:color w:val="auto"/>
          <w:kern w:val="2"/>
          <w:sz w:val="24"/>
          <w:szCs w:val="24"/>
          <w:highlight w:val="none"/>
          <w:lang w:val="en-US" w:eastAsia="zh-CN" w:bidi="ar-SA"/>
        </w:rPr>
        <w:t>42.中小企业、监狱企业及残疾人福利性单位</w:t>
      </w:r>
      <w:bookmarkEnd w:id="299"/>
      <w:bookmarkEnd w:id="300"/>
    </w:p>
    <w:p w14:paraId="6CF3C244">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42</w:t>
      </w:r>
      <w:r>
        <w:rPr>
          <w:rFonts w:hint="eastAsia" w:ascii="宋体" w:hAnsi="宋体" w:eastAsia="宋体" w:cs="宋体"/>
          <w:snapToGrid w:val="0"/>
          <w:color w:val="auto"/>
          <w:sz w:val="24"/>
          <w:szCs w:val="24"/>
          <w:highlight w:val="none"/>
        </w:rPr>
        <w:t>.</w:t>
      </w:r>
      <w:r>
        <w:rPr>
          <w:rFonts w:hint="eastAsia" w:ascii="宋体" w:hAnsi="宋体" w:eastAsia="宋体" w:cs="宋体"/>
          <w:snapToGrid w:val="0"/>
          <w:color w:val="auto"/>
          <w:sz w:val="24"/>
          <w:szCs w:val="24"/>
          <w:highlight w:val="none"/>
          <w:lang w:val="en-US" w:eastAsia="zh-CN"/>
        </w:rPr>
        <w:t xml:space="preserve">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号）、《金融业企业划型标准规定》（〔2015〕309 号）等国务院批准的中小企业划分标准执行。 </w:t>
      </w:r>
    </w:p>
    <w:p w14:paraId="775C3158">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42</w:t>
      </w:r>
      <w:r>
        <w:rPr>
          <w:rFonts w:hint="eastAsia" w:ascii="宋体" w:hAnsi="宋体" w:eastAsia="宋体" w:cs="宋体"/>
          <w:snapToGrid w:val="0"/>
          <w:color w:val="auto"/>
          <w:sz w:val="24"/>
          <w:szCs w:val="24"/>
          <w:highlight w:val="none"/>
        </w:rPr>
        <w:t>.</w:t>
      </w:r>
      <w:r>
        <w:rPr>
          <w:rFonts w:hint="eastAsia" w:ascii="宋体" w:hAnsi="宋体" w:eastAsia="宋体" w:cs="宋体"/>
          <w:snapToGrid w:val="0"/>
          <w:color w:val="auto"/>
          <w:sz w:val="24"/>
          <w:szCs w:val="24"/>
          <w:highlight w:val="none"/>
          <w:lang w:val="en-US" w:eastAsia="zh-CN"/>
        </w:rPr>
        <w:t>2</w:t>
      </w:r>
      <w:r>
        <w:rPr>
          <w:rFonts w:hint="eastAsia" w:ascii="宋体" w:hAnsi="宋体" w:eastAsia="宋体" w:cs="宋体"/>
          <w:snapToGrid w:val="0"/>
          <w:color w:val="auto"/>
          <w:sz w:val="24"/>
          <w:szCs w:val="24"/>
          <w:highlight w:val="none"/>
        </w:rPr>
        <w:t>为促进中小企业发展，依据《关于印发&lt;政府采购促进中小企业发展管理办法&gt;的通知》（财库〔2020〕46号）、《财政部 司法部关于政府采购支持监狱企业发展有关问题的通知》（财库〔2014〕68号）、《关于促进残疾人就业政府采购政策的通知》（财库〔2017〕141号）的规定，本项目供应商如</w:t>
      </w:r>
      <w:r>
        <w:rPr>
          <w:rFonts w:hint="eastAsia" w:ascii="宋体" w:hAnsi="宋体" w:eastAsia="宋体" w:cs="宋体"/>
          <w:snapToGrid w:val="0"/>
          <w:color w:val="auto"/>
          <w:sz w:val="24"/>
          <w:szCs w:val="24"/>
          <w:highlight w:val="none"/>
          <w:lang w:eastAsia="zh-CN"/>
        </w:rPr>
        <w:t>需享受中小企业相关政策的，且</w:t>
      </w:r>
      <w:r>
        <w:rPr>
          <w:rFonts w:hint="eastAsia" w:ascii="宋体" w:hAnsi="宋体" w:eastAsia="宋体" w:cs="宋体"/>
          <w:snapToGrid w:val="0"/>
          <w:color w:val="auto"/>
          <w:sz w:val="24"/>
          <w:szCs w:val="24"/>
          <w:highlight w:val="none"/>
        </w:rPr>
        <w:t>符合上述文件规定的，</w:t>
      </w:r>
      <w:r>
        <w:rPr>
          <w:rFonts w:hint="eastAsia" w:ascii="宋体" w:hAnsi="宋体" w:eastAsia="宋体" w:cs="宋体"/>
          <w:snapToGrid w:val="0"/>
          <w:color w:val="auto"/>
          <w:sz w:val="24"/>
          <w:szCs w:val="24"/>
          <w:highlight w:val="none"/>
          <w:lang w:eastAsia="zh-CN"/>
        </w:rPr>
        <w:t>应按本</w:t>
      </w:r>
      <w:r>
        <w:rPr>
          <w:rFonts w:hint="eastAsia" w:ascii="宋体" w:hAnsi="宋体" w:eastAsia="宋体" w:cs="宋体"/>
          <w:snapToGrid w:val="0"/>
          <w:color w:val="auto"/>
          <w:sz w:val="24"/>
          <w:szCs w:val="24"/>
          <w:highlight w:val="none"/>
          <w:lang w:val="en-US" w:eastAsia="zh-CN"/>
        </w:rPr>
        <w:t>招标</w:t>
      </w:r>
      <w:r>
        <w:rPr>
          <w:rFonts w:hint="eastAsia" w:ascii="宋体" w:hAnsi="宋体" w:eastAsia="宋体" w:cs="宋体"/>
          <w:snapToGrid w:val="0"/>
          <w:color w:val="auto"/>
          <w:sz w:val="24"/>
          <w:szCs w:val="24"/>
          <w:highlight w:val="none"/>
          <w:lang w:eastAsia="zh-CN"/>
        </w:rPr>
        <w:t>文件规定格式</w:t>
      </w:r>
      <w:r>
        <w:rPr>
          <w:rFonts w:hint="eastAsia" w:ascii="宋体" w:hAnsi="宋体" w:eastAsia="宋体" w:cs="宋体"/>
          <w:snapToGrid w:val="0"/>
          <w:color w:val="auto"/>
          <w:sz w:val="24"/>
          <w:szCs w:val="24"/>
          <w:highlight w:val="none"/>
        </w:rPr>
        <w:t>提供</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中小企业声明函</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或“</w:t>
      </w:r>
      <w:r>
        <w:rPr>
          <w:rFonts w:hint="eastAsia" w:ascii="宋体" w:hAnsi="宋体" w:eastAsia="宋体" w:cs="宋体"/>
          <w:snapToGrid w:val="0"/>
          <w:color w:val="auto"/>
          <w:sz w:val="24"/>
          <w:szCs w:val="24"/>
          <w:highlight w:val="none"/>
        </w:rPr>
        <w:t>监狱企业证明文件</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或</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残疾人福利性单位声明函</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，评审时，</w:t>
      </w:r>
      <w:r>
        <w:rPr>
          <w:rFonts w:hint="eastAsia" w:ascii="宋体" w:hAnsi="宋体" w:eastAsia="宋体" w:cs="宋体"/>
          <w:snapToGrid w:val="0"/>
          <w:color w:val="auto"/>
          <w:sz w:val="24"/>
          <w:szCs w:val="24"/>
          <w:highlight w:val="none"/>
          <w:lang w:val="en-US" w:eastAsia="zh-CN"/>
        </w:rPr>
        <w:t>评标委员会</w:t>
      </w:r>
      <w:r>
        <w:rPr>
          <w:rFonts w:hint="eastAsia" w:ascii="宋体" w:hAnsi="宋体" w:eastAsia="宋体" w:cs="宋体"/>
          <w:snapToGrid w:val="0"/>
          <w:color w:val="auto"/>
          <w:sz w:val="24"/>
          <w:szCs w:val="24"/>
          <w:highlight w:val="none"/>
        </w:rPr>
        <w:t>将依据</w:t>
      </w:r>
      <w:r>
        <w:rPr>
          <w:rFonts w:hint="eastAsia" w:ascii="宋体" w:hAnsi="宋体" w:eastAsia="宋体" w:cs="宋体"/>
          <w:snapToGrid w:val="0"/>
          <w:color w:val="auto"/>
          <w:sz w:val="24"/>
          <w:szCs w:val="24"/>
          <w:highlight w:val="none"/>
          <w:lang w:eastAsia="zh-CN"/>
        </w:rPr>
        <w:t>本</w:t>
      </w:r>
      <w:r>
        <w:rPr>
          <w:rFonts w:hint="eastAsia" w:ascii="宋体" w:hAnsi="宋体" w:eastAsia="宋体" w:cs="宋体"/>
          <w:snapToGrid w:val="0"/>
          <w:color w:val="auto"/>
          <w:sz w:val="24"/>
          <w:szCs w:val="24"/>
          <w:highlight w:val="none"/>
          <w:lang w:val="en-US" w:eastAsia="zh-CN"/>
        </w:rPr>
        <w:t>招标</w:t>
      </w:r>
      <w:r>
        <w:rPr>
          <w:rFonts w:hint="eastAsia" w:ascii="宋体" w:hAnsi="宋体" w:eastAsia="宋体" w:cs="宋体"/>
          <w:snapToGrid w:val="0"/>
          <w:color w:val="auto"/>
          <w:sz w:val="24"/>
          <w:szCs w:val="24"/>
          <w:highlight w:val="none"/>
          <w:lang w:eastAsia="zh-CN"/>
        </w:rPr>
        <w:t>文件</w:t>
      </w:r>
      <w:r>
        <w:rPr>
          <w:rFonts w:hint="eastAsia" w:ascii="宋体" w:hAnsi="宋体" w:eastAsia="宋体" w:cs="宋体"/>
          <w:snapToGrid w:val="0"/>
          <w:color w:val="auto"/>
          <w:sz w:val="24"/>
          <w:szCs w:val="24"/>
          <w:highlight w:val="none"/>
        </w:rPr>
        <w:t>“</w:t>
      </w:r>
      <w:r>
        <w:rPr>
          <w:rFonts w:hint="eastAsia" w:ascii="宋体" w:hAnsi="宋体" w:eastAsia="宋体" w:cs="宋体"/>
          <w:snapToGrid w:val="0"/>
          <w:color w:val="auto"/>
          <w:sz w:val="24"/>
          <w:szCs w:val="24"/>
          <w:highlight w:val="none"/>
          <w:lang w:val="en-US" w:eastAsia="zh-CN"/>
        </w:rPr>
        <w:t>投标人</w:t>
      </w:r>
      <w:r>
        <w:rPr>
          <w:rFonts w:hint="eastAsia" w:ascii="宋体" w:hAnsi="宋体" w:eastAsia="宋体" w:cs="宋体"/>
          <w:snapToGrid w:val="0"/>
          <w:color w:val="auto"/>
          <w:sz w:val="24"/>
          <w:szCs w:val="24"/>
          <w:highlight w:val="none"/>
        </w:rPr>
        <w:t>须知前附表”规定的报价扣除比例，对供应商报价进行价格扣除，用扣除后的价格参与评审</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招标</w:t>
      </w:r>
      <w:r>
        <w:rPr>
          <w:rFonts w:hint="eastAsia" w:ascii="宋体" w:hAnsi="宋体" w:eastAsia="宋体" w:cs="宋体"/>
          <w:snapToGrid w:val="0"/>
          <w:color w:val="auto"/>
          <w:sz w:val="24"/>
          <w:szCs w:val="24"/>
          <w:highlight w:val="none"/>
          <w:lang w:eastAsia="zh-CN"/>
        </w:rPr>
        <w:t>公告中明确项目专门面向中小企业采购的，“</w:t>
      </w:r>
      <w:r>
        <w:rPr>
          <w:rFonts w:hint="eastAsia" w:ascii="宋体" w:hAnsi="宋体" w:eastAsia="宋体" w:cs="宋体"/>
          <w:snapToGrid w:val="0"/>
          <w:color w:val="auto"/>
          <w:sz w:val="24"/>
          <w:szCs w:val="24"/>
          <w:highlight w:val="none"/>
        </w:rPr>
        <w:t>中小企业声明函</w:t>
      </w:r>
      <w:r>
        <w:rPr>
          <w:rFonts w:hint="eastAsia" w:ascii="宋体" w:hAnsi="宋体" w:eastAsia="宋体" w:cs="宋体"/>
          <w:snapToGrid w:val="0"/>
          <w:color w:val="auto"/>
          <w:sz w:val="24"/>
          <w:szCs w:val="24"/>
          <w:highlight w:val="none"/>
          <w:lang w:eastAsia="zh-CN"/>
        </w:rPr>
        <w:t>”为资格要求文件，</w:t>
      </w:r>
      <w:r>
        <w:rPr>
          <w:rFonts w:hint="eastAsia" w:ascii="宋体" w:hAnsi="宋体" w:eastAsia="宋体" w:cs="宋体"/>
          <w:snapToGrid w:val="0"/>
          <w:color w:val="auto"/>
          <w:sz w:val="24"/>
          <w:szCs w:val="24"/>
          <w:highlight w:val="none"/>
        </w:rPr>
        <w:t>供应商</w:t>
      </w:r>
      <w:r>
        <w:rPr>
          <w:rFonts w:hint="eastAsia" w:ascii="宋体" w:hAnsi="宋体" w:eastAsia="宋体" w:cs="宋体"/>
          <w:snapToGrid w:val="0"/>
          <w:color w:val="auto"/>
          <w:sz w:val="24"/>
          <w:szCs w:val="24"/>
          <w:highlight w:val="none"/>
          <w:lang w:eastAsia="zh-CN"/>
        </w:rPr>
        <w:t>参与</w:t>
      </w:r>
      <w:r>
        <w:rPr>
          <w:rFonts w:hint="eastAsia" w:ascii="宋体" w:hAnsi="宋体" w:eastAsia="宋体" w:cs="宋体"/>
          <w:snapToGrid w:val="0"/>
          <w:color w:val="auto"/>
          <w:sz w:val="24"/>
          <w:szCs w:val="24"/>
          <w:highlight w:val="none"/>
          <w:lang w:val="en-US" w:eastAsia="zh-CN"/>
        </w:rPr>
        <w:t>投标</w:t>
      </w:r>
      <w:r>
        <w:rPr>
          <w:rFonts w:hint="eastAsia" w:ascii="宋体" w:hAnsi="宋体" w:eastAsia="宋体" w:cs="宋体"/>
          <w:snapToGrid w:val="0"/>
          <w:color w:val="auto"/>
          <w:sz w:val="24"/>
          <w:szCs w:val="24"/>
          <w:highlight w:val="none"/>
          <w:lang w:eastAsia="zh-CN"/>
        </w:rPr>
        <w:t>须按本</w:t>
      </w:r>
      <w:r>
        <w:rPr>
          <w:rFonts w:hint="eastAsia" w:ascii="宋体" w:hAnsi="宋体" w:eastAsia="宋体" w:cs="宋体"/>
          <w:snapToGrid w:val="0"/>
          <w:color w:val="auto"/>
          <w:sz w:val="24"/>
          <w:szCs w:val="24"/>
          <w:highlight w:val="none"/>
          <w:lang w:val="en-US" w:eastAsia="zh-CN"/>
        </w:rPr>
        <w:t>招标</w:t>
      </w:r>
      <w:r>
        <w:rPr>
          <w:rFonts w:hint="eastAsia" w:ascii="宋体" w:hAnsi="宋体" w:eastAsia="宋体" w:cs="宋体"/>
          <w:snapToGrid w:val="0"/>
          <w:color w:val="auto"/>
          <w:sz w:val="24"/>
          <w:szCs w:val="24"/>
          <w:highlight w:val="none"/>
          <w:lang w:eastAsia="zh-CN"/>
        </w:rPr>
        <w:t>文件规定格式</w:t>
      </w:r>
      <w:r>
        <w:rPr>
          <w:rFonts w:hint="eastAsia" w:ascii="宋体" w:hAnsi="宋体" w:eastAsia="宋体" w:cs="宋体"/>
          <w:snapToGrid w:val="0"/>
          <w:color w:val="auto"/>
          <w:sz w:val="24"/>
          <w:szCs w:val="24"/>
          <w:highlight w:val="none"/>
        </w:rPr>
        <w:t>提供</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中小企业声明函</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或“</w:t>
      </w:r>
      <w:r>
        <w:rPr>
          <w:rFonts w:hint="eastAsia" w:ascii="宋体" w:hAnsi="宋体" w:eastAsia="宋体" w:cs="宋体"/>
          <w:snapToGrid w:val="0"/>
          <w:color w:val="auto"/>
          <w:sz w:val="24"/>
          <w:szCs w:val="24"/>
          <w:highlight w:val="none"/>
        </w:rPr>
        <w:t>监狱企业证明文件</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或</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残疾人福利性单位声明函</w:t>
      </w:r>
      <w:r>
        <w:rPr>
          <w:rFonts w:hint="eastAsia" w:ascii="宋体" w:hAnsi="宋体" w:eastAsia="宋体" w:cs="宋体"/>
          <w:snapToGrid w:val="0"/>
          <w:color w:val="auto"/>
          <w:sz w:val="24"/>
          <w:szCs w:val="24"/>
          <w:highlight w:val="none"/>
          <w:lang w:eastAsia="zh-CN"/>
        </w:rPr>
        <w:t>”等作为资格证明文件。</w:t>
      </w:r>
      <w:r>
        <w:rPr>
          <w:rFonts w:hint="eastAsia" w:ascii="宋体" w:hAnsi="宋体" w:eastAsia="宋体" w:cs="宋体"/>
          <w:snapToGrid w:val="0"/>
          <w:color w:val="auto"/>
          <w:sz w:val="24"/>
          <w:szCs w:val="24"/>
          <w:highlight w:val="none"/>
          <w:lang w:val="en-US" w:eastAsia="zh-CN"/>
        </w:rPr>
        <w:t xml:space="preserve"> </w:t>
      </w:r>
    </w:p>
    <w:p w14:paraId="743E5E0E">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42.3 供应商提供的货物、工程或者服务符合下列情形的，享受中小企业扶持政策： </w:t>
      </w:r>
    </w:p>
    <w:p w14:paraId="07E7A00A">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（1）在货物采购项目中，货物由中小企业制造，即货物由中小企业生产且使用该中小企业商号或者注册商标； </w:t>
      </w:r>
    </w:p>
    <w:p w14:paraId="128FB5A1">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（2）在工程采购项目中，工程由中小企业承建，即工程施工单位为中小企业； </w:t>
      </w:r>
    </w:p>
    <w:p w14:paraId="4557B965">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（3）在服务采购项目中，服务由中小企业承接，即提供服务的人员为中小企业依照《中华人民共和国劳动合同法》订立劳动合同的从业人员。</w:t>
      </w:r>
    </w:p>
    <w:p w14:paraId="5C38B69F">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42.4 在服务采购项目中，供应商提供的服务既有中小企业承接，也有大型企业承接的，不享受中小企业扶持政策。 </w:t>
      </w:r>
    </w:p>
    <w:p w14:paraId="31F905A3">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42.5 以联合体形式参加政府采购活动，联合体各方均为中小企业的，联合体视同中小企业。其中，联合体各方均为小微企业的，联合体视同小微企业。</w:t>
      </w:r>
    </w:p>
    <w:p w14:paraId="589A89E3">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42.6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1EF9D90B">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 在政府采购活动中，残疾人福利性单位视同小型、微型企业，享受预留份额、评审中价格扣除等促进中小企业发展的政府采购政策。残疾人福利性单位定义：享受政府采购支持政策的残疾人福利性单位应当同时满足以下条件： </w:t>
      </w:r>
    </w:p>
    <w:p w14:paraId="2EADF7DB">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42.7.1 安置的残疾人占本单位在职职工人数的比例不低于 25% （含 25%），并且安置的残疾人人数不少于 10 人（含 10人）； </w:t>
      </w:r>
    </w:p>
    <w:p w14:paraId="5B128E6C">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42.7.2 依法与安置的每位残疾人签订了1年以上（含1年）的劳动合同或服务协议； </w:t>
      </w:r>
    </w:p>
    <w:p w14:paraId="750299D4">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42.7.3 为安置的每位残疾人按月足额缴纳了基本养老保险、基本医疗保险、失业保险、工伤保险和生育保险等社会保险费； </w:t>
      </w:r>
    </w:p>
    <w:p w14:paraId="5494926D">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42.7.4 通过银行等金融机构向安置的每位残疾人，按月支付了不低于单位所在区县适用的经省级人民政府批准的月最低工资标准的工资； </w:t>
      </w:r>
    </w:p>
    <w:p w14:paraId="6AD696D2">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42.7.5 提供本单位制造的货物、承担的工程或者服务（以下简称产品），或者提供其他残疾人福利性单位制造的货物（不包括使用非残疾人福利性单位注册商标的货物）； </w:t>
      </w:r>
    </w:p>
    <w:p w14:paraId="6F6930A8">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 </w:t>
      </w:r>
    </w:p>
    <w:p w14:paraId="50A69BFA">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42.8 本项目是否专门面向中小企业预留采购份额见“第一章 </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snapToGrid w:val="0"/>
          <w:color w:val="auto"/>
          <w:sz w:val="24"/>
          <w:szCs w:val="24"/>
          <w:highlight w:val="none"/>
          <w:lang w:val="en-US" w:eastAsia="zh-CN"/>
        </w:rPr>
        <w:t>”。    42.9 采购标的对应的中小企业划分标准所属行业见“投标人须知前附表”。    42.10 小微企业价格评审优惠的政策调整：见“投标人须知前附表”及“第五章 评标方法及标准”。</w:t>
      </w:r>
    </w:p>
    <w:p w14:paraId="17DD5FF7">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01" w:name="_Toc163492878"/>
      <w:bookmarkStart w:id="302" w:name="_Toc18531"/>
      <w:r>
        <w:rPr>
          <w:rFonts w:hint="eastAsia" w:ascii="宋体" w:hAnsi="宋体" w:eastAsia="宋体" w:cs="宋体"/>
          <w:b/>
          <w:bCs/>
          <w:color w:val="auto"/>
          <w:kern w:val="2"/>
          <w:sz w:val="24"/>
          <w:szCs w:val="24"/>
          <w:highlight w:val="none"/>
          <w:lang w:val="en-US" w:eastAsia="zh-CN" w:bidi="ar-SA"/>
        </w:rPr>
        <w:t>43.政府采购节能产品、环境标志产品</w:t>
      </w:r>
      <w:bookmarkEnd w:id="301"/>
      <w:bookmarkEnd w:id="302"/>
    </w:p>
    <w:p w14:paraId="741E7E7A">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43.1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关于政府采购节能产品、环境标志产品的相关规定依据《关于调整优化节能产品、环境标志产品政府采购执行机制的通知》（财库〔2019〕9 号）、《关于印发环境标志产品政府采购品目清单的通知》（财库〔2019〕18号）、《关于印发节能产品政府采购品目清单的通知》（财库〔2019〕19号）的规定。</w:t>
      </w:r>
    </w:p>
    <w:p w14:paraId="2EC4C51A">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43.2 采购人拟采购的产品属于品目清单范围的，采购人及其委托的采购代理机构依据国家确定的认证机构出具的、处于有效期之内的节能产品、环境标志产品认证证书，对获得证书的产品实施政府优先采购或强制采购。 </w:t>
      </w:r>
    </w:p>
    <w:p w14:paraId="25CFE0EE">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43.3 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bCs/>
          <w:snapToGrid w:val="0"/>
          <w:color w:val="auto"/>
          <w:sz w:val="24"/>
          <w:szCs w:val="24"/>
          <w:highlight w:val="none"/>
          <w:lang w:val="en-US" w:eastAsia="zh-CN"/>
        </w:rPr>
        <w:t>投标无效</w:t>
      </w:r>
      <w:r>
        <w:rPr>
          <w:rFonts w:hint="eastAsia" w:ascii="宋体" w:hAnsi="宋体" w:eastAsia="宋体" w:cs="宋体"/>
          <w:snapToGrid w:val="0"/>
          <w:color w:val="auto"/>
          <w:sz w:val="24"/>
          <w:szCs w:val="24"/>
          <w:highlight w:val="none"/>
          <w:lang w:val="en-US" w:eastAsia="zh-CN"/>
        </w:rPr>
        <w:t xml:space="preserve">。 </w:t>
      </w:r>
    </w:p>
    <w:p w14:paraId="04E599F1">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43.4 非政府强制采购的节能产品或环境标志产品，依据品目清单和认证证书实施政府优先采购。优先采购的具体规定见“第五章 评标方法及标准”（如涉及）。</w:t>
      </w:r>
    </w:p>
    <w:p w14:paraId="51B3D928">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43.5 </w:t>
      </w:r>
      <w:r>
        <w:rPr>
          <w:rFonts w:hint="eastAsia" w:ascii="宋体" w:hAnsi="宋体" w:eastAsia="宋体" w:cs="宋体"/>
          <w:snapToGrid w:val="0"/>
          <w:color w:val="auto"/>
          <w:sz w:val="24"/>
          <w:szCs w:val="24"/>
          <w:highlight w:val="none"/>
        </w:rPr>
        <w:t>投标人所投产品如属于节能产品政府采购品目清单、环境标志产品政府采购品目清单范围的，须提供国家确定的认证机构出具的、处于有效期内的产品认证证书，认证证书的产品型号与所投产品不一致的，视为未提供。属于政府强制采购产品的，已作为投标时强制性要求不再给予</w:t>
      </w:r>
      <w:r>
        <w:rPr>
          <w:rFonts w:hint="eastAsia" w:ascii="宋体" w:hAnsi="宋体" w:eastAsia="宋体" w:cs="宋体"/>
          <w:snapToGrid w:val="0"/>
          <w:color w:val="auto"/>
          <w:sz w:val="24"/>
          <w:szCs w:val="24"/>
          <w:highlight w:val="none"/>
          <w:lang w:val="en-US" w:eastAsia="zh-CN"/>
        </w:rPr>
        <w:t>评审优惠</w:t>
      </w:r>
      <w:r>
        <w:rPr>
          <w:rFonts w:hint="eastAsia" w:ascii="宋体" w:hAnsi="宋体" w:eastAsia="宋体" w:cs="宋体"/>
          <w:snapToGrid w:val="0"/>
          <w:color w:val="auto"/>
          <w:sz w:val="24"/>
          <w:szCs w:val="24"/>
          <w:highlight w:val="none"/>
        </w:rPr>
        <w:t>，未提供认证证书的视为</w:t>
      </w:r>
      <w:r>
        <w:rPr>
          <w:rFonts w:hint="eastAsia" w:ascii="宋体" w:hAnsi="宋体" w:eastAsia="宋体" w:cs="宋体"/>
          <w:b/>
          <w:bCs/>
          <w:snapToGrid w:val="0"/>
          <w:color w:val="auto"/>
          <w:sz w:val="24"/>
          <w:szCs w:val="24"/>
          <w:highlight w:val="none"/>
          <w:lang w:val="en-US" w:eastAsia="zh-CN"/>
        </w:rPr>
        <w:t>投标</w:t>
      </w:r>
      <w:r>
        <w:rPr>
          <w:rFonts w:hint="eastAsia" w:ascii="宋体" w:hAnsi="宋体" w:eastAsia="宋体" w:cs="宋体"/>
          <w:b/>
          <w:bCs/>
          <w:snapToGrid w:val="0"/>
          <w:color w:val="auto"/>
          <w:sz w:val="24"/>
          <w:szCs w:val="24"/>
          <w:highlight w:val="none"/>
        </w:rPr>
        <w:t>无效</w:t>
      </w:r>
      <w:r>
        <w:rPr>
          <w:rFonts w:hint="eastAsia" w:ascii="宋体" w:hAnsi="宋体" w:eastAsia="宋体" w:cs="宋体"/>
          <w:snapToGrid w:val="0"/>
          <w:color w:val="auto"/>
          <w:sz w:val="24"/>
          <w:szCs w:val="24"/>
          <w:highlight w:val="none"/>
        </w:rPr>
        <w:t>。属于</w:t>
      </w:r>
      <w:r>
        <w:rPr>
          <w:rFonts w:hint="eastAsia" w:ascii="宋体" w:hAnsi="宋体" w:eastAsia="宋体" w:cs="宋体"/>
          <w:snapToGrid w:val="0"/>
          <w:color w:val="auto"/>
          <w:sz w:val="24"/>
          <w:szCs w:val="24"/>
          <w:highlight w:val="none"/>
          <w:lang w:val="en-US" w:eastAsia="zh-CN"/>
        </w:rPr>
        <w:t>优先采购</w:t>
      </w:r>
      <w:r>
        <w:rPr>
          <w:rFonts w:hint="eastAsia" w:ascii="宋体" w:hAnsi="宋体" w:eastAsia="宋体" w:cs="宋体"/>
          <w:snapToGrid w:val="0"/>
          <w:color w:val="auto"/>
          <w:sz w:val="24"/>
          <w:szCs w:val="24"/>
          <w:highlight w:val="none"/>
        </w:rPr>
        <w:t>节能产品政府采购品目清单、环境标志产品政府采购品目清单</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创新产品</w:t>
      </w:r>
      <w:r>
        <w:rPr>
          <w:rFonts w:hint="eastAsia" w:ascii="宋体" w:hAnsi="宋体" w:eastAsia="宋体" w:cs="宋体"/>
          <w:snapToGrid w:val="0"/>
          <w:color w:val="auto"/>
          <w:sz w:val="24"/>
          <w:szCs w:val="24"/>
          <w:highlight w:val="none"/>
        </w:rPr>
        <w:t>范围的，按照“</w:t>
      </w:r>
      <w:r>
        <w:rPr>
          <w:rFonts w:hint="eastAsia" w:ascii="宋体" w:hAnsi="宋体" w:eastAsia="宋体" w:cs="宋体"/>
          <w:color w:val="auto"/>
          <w:sz w:val="24"/>
          <w:szCs w:val="24"/>
          <w:highlight w:val="none"/>
          <w:lang w:val="en-US" w:eastAsia="zh-CN"/>
        </w:rPr>
        <w:t>第五章 评标方法及标准</w:t>
      </w:r>
      <w:r>
        <w:rPr>
          <w:rFonts w:hint="eastAsia" w:ascii="宋体" w:hAnsi="宋体" w:eastAsia="宋体" w:cs="宋体"/>
          <w:snapToGrid w:val="0"/>
          <w:color w:val="auto"/>
          <w:sz w:val="24"/>
          <w:szCs w:val="24"/>
          <w:highlight w:val="none"/>
        </w:rPr>
        <w:t>”中相关规定</w:t>
      </w:r>
      <w:r>
        <w:rPr>
          <w:rFonts w:hint="eastAsia" w:ascii="宋体" w:hAnsi="宋体" w:eastAsia="宋体" w:cs="宋体"/>
          <w:color w:val="auto"/>
          <w:sz w:val="24"/>
          <w:szCs w:val="24"/>
          <w:highlight w:val="none"/>
          <w:lang w:val="en-US" w:eastAsia="zh-CN"/>
        </w:rPr>
        <w:t>在</w:t>
      </w:r>
      <w:r>
        <w:rPr>
          <w:rFonts w:hint="eastAsia" w:ascii="宋体" w:hAnsi="宋体" w:eastAsia="宋体" w:cs="宋体"/>
          <w:snapToGrid w:val="0"/>
          <w:color w:val="auto"/>
          <w:sz w:val="24"/>
          <w:szCs w:val="24"/>
          <w:highlight w:val="none"/>
          <w:lang w:val="en-US" w:eastAsia="zh-CN"/>
        </w:rPr>
        <w:t>评审时给予优惠，具</w:t>
      </w:r>
      <w:r>
        <w:rPr>
          <w:rFonts w:hint="eastAsia" w:ascii="宋体" w:hAnsi="宋体" w:eastAsia="宋体" w:cs="宋体"/>
          <w:color w:val="auto"/>
          <w:sz w:val="24"/>
          <w:szCs w:val="24"/>
          <w:highlight w:val="none"/>
          <w:lang w:val="en-US" w:eastAsia="zh-CN"/>
        </w:rPr>
        <w:t>体详见</w:t>
      </w:r>
      <w:r>
        <w:rPr>
          <w:rFonts w:hint="eastAsia" w:ascii="宋体" w:hAnsi="宋体" w:eastAsia="宋体" w:cs="宋体"/>
          <w:snapToGrid w:val="0"/>
          <w:color w:val="auto"/>
          <w:sz w:val="24"/>
          <w:szCs w:val="24"/>
          <w:highlight w:val="none"/>
          <w:lang w:val="en-US" w:eastAsia="zh-CN"/>
        </w:rPr>
        <w:t>“投标人须知前附表”及</w:t>
      </w:r>
      <w:r>
        <w:rPr>
          <w:rFonts w:hint="eastAsia" w:ascii="宋体" w:hAnsi="宋体" w:eastAsia="宋体" w:cs="宋体"/>
          <w:color w:val="auto"/>
          <w:sz w:val="24"/>
          <w:szCs w:val="24"/>
          <w:highlight w:val="none"/>
          <w:lang w:val="en-US" w:eastAsia="zh-CN"/>
        </w:rPr>
        <w:t>“第五章 评标方法及标准”</w:t>
      </w:r>
      <w:r>
        <w:rPr>
          <w:rFonts w:hint="eastAsia" w:ascii="宋体" w:hAnsi="宋体" w:eastAsia="宋体" w:cs="宋体"/>
          <w:color w:val="auto"/>
          <w:sz w:val="24"/>
          <w:szCs w:val="24"/>
          <w:highlight w:val="none"/>
        </w:rPr>
        <w:t>。</w:t>
      </w:r>
    </w:p>
    <w:p w14:paraId="5F04C72A">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03" w:name="_Toc20976"/>
      <w:bookmarkStart w:id="304" w:name="_Toc163492879"/>
      <w:r>
        <w:rPr>
          <w:rFonts w:hint="eastAsia" w:ascii="宋体" w:hAnsi="宋体" w:eastAsia="宋体" w:cs="宋体"/>
          <w:b/>
          <w:bCs/>
          <w:color w:val="auto"/>
          <w:kern w:val="2"/>
          <w:sz w:val="24"/>
          <w:szCs w:val="24"/>
          <w:highlight w:val="none"/>
          <w:lang w:val="en-US" w:eastAsia="zh-CN" w:bidi="ar-SA"/>
        </w:rPr>
        <w:t>44.正版软件</w:t>
      </w:r>
      <w:bookmarkEnd w:id="303"/>
      <w:r>
        <w:rPr>
          <w:rFonts w:hint="eastAsia" w:ascii="宋体" w:hAnsi="宋体" w:eastAsia="宋体" w:cs="宋体"/>
          <w:b/>
          <w:bCs/>
          <w:color w:val="auto"/>
          <w:kern w:val="2"/>
          <w:sz w:val="24"/>
          <w:szCs w:val="24"/>
          <w:highlight w:val="none"/>
          <w:lang w:val="en-US" w:eastAsia="zh-CN" w:bidi="ar-SA"/>
        </w:rPr>
        <w:t xml:space="preserve">  </w:t>
      </w:r>
    </w:p>
    <w:p w14:paraId="415973C1">
      <w:pPr>
        <w:pStyle w:val="36"/>
        <w:keepNext w:val="0"/>
        <w:keepLines w:val="0"/>
        <w:pageBreakBefore w:val="0"/>
        <w:widowControl w:val="0"/>
        <w:kinsoku/>
        <w:overflowPunct/>
        <w:topLinePunct w:val="0"/>
        <w:autoSpaceDE/>
        <w:autoSpaceDN/>
        <w:bidi w:val="0"/>
        <w:adjustRightInd/>
        <w:snapToGri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44.1 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bCs/>
          <w:snapToGrid w:val="0"/>
          <w:color w:val="auto"/>
          <w:sz w:val="24"/>
          <w:szCs w:val="24"/>
          <w:highlight w:val="none"/>
          <w:lang w:val="en-US" w:eastAsia="zh-CN"/>
        </w:rPr>
        <w:t>投标无效</w:t>
      </w:r>
      <w:r>
        <w:rPr>
          <w:rFonts w:hint="eastAsia" w:ascii="宋体" w:hAnsi="宋体" w:eastAsia="宋体" w:cs="宋体"/>
          <w:snapToGrid w:val="0"/>
          <w:color w:val="auto"/>
          <w:sz w:val="24"/>
          <w:szCs w:val="24"/>
          <w:highlight w:val="none"/>
          <w:lang w:val="en-US" w:eastAsia="zh-CN"/>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 </w:t>
      </w:r>
    </w:p>
    <w:p w14:paraId="7504E407">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号）、《国务院办公厅关于印发政府机关使用正版软件管理办法的通知》国办发〔2013〕88号。</w:t>
      </w:r>
    </w:p>
    <w:p w14:paraId="139B1CB1">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05" w:name="_Toc3951"/>
      <w:r>
        <w:rPr>
          <w:rFonts w:hint="eastAsia" w:ascii="宋体" w:hAnsi="宋体" w:eastAsia="宋体" w:cs="宋体"/>
          <w:b/>
          <w:bCs/>
          <w:color w:val="auto"/>
          <w:kern w:val="2"/>
          <w:sz w:val="24"/>
          <w:szCs w:val="24"/>
          <w:highlight w:val="none"/>
          <w:lang w:val="en-US" w:eastAsia="zh-CN" w:bidi="ar-SA"/>
        </w:rPr>
        <w:t>45.网络安全专用产品</w:t>
      </w:r>
      <w:bookmarkEnd w:id="305"/>
      <w:r>
        <w:rPr>
          <w:rFonts w:hint="eastAsia" w:ascii="宋体" w:hAnsi="宋体" w:eastAsia="宋体" w:cs="宋体"/>
          <w:b/>
          <w:bCs/>
          <w:color w:val="auto"/>
          <w:kern w:val="2"/>
          <w:sz w:val="24"/>
          <w:szCs w:val="24"/>
          <w:highlight w:val="none"/>
          <w:lang w:val="en-US" w:eastAsia="zh-CN" w:bidi="ar-SA"/>
        </w:rPr>
        <w:t xml:space="preserve">   </w:t>
      </w:r>
    </w:p>
    <w:p w14:paraId="13C08773">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45.1本项目中如涉及网络关键设备或网络安全专用产品的，应严格执行国家互联网信息办公室、工业和信息化部、公安部、财政部和国家认证认可监督管理委员会 2023年第 1 号《关于调整网络安全专用产品安全管理有关事项的公告》及国家互联网信息办公室、工业和信息化部、公安部和国家认证认可监督管理委员会 2023 年第 2号《关于调整&lt;网络关键设备和网络安全专用产品目录&gt;的公告》等相关文件要求，所投标（响应）设备或产品至少符合以下条件之一：一是已由具备资格的机构安全认证合格或安全检测符合要求；二是已获得《计算机信息系统安全专用产品销售许可证》，且在有效期内。采购人、中标(成交)人双方签订合同及验收环节，应包含上述网络安全要求的条款。</w:t>
      </w:r>
    </w:p>
    <w:p w14:paraId="575DAF11">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 xml:space="preserve">45.2本项目中如涉及国家强制性产品认证证书（CCC 认证证书）、电信设备进网许可证、无线电发射设备核准证等市场准入类资质的，应严格执行国家相关法律法规的要求。采购人、中标(成交)人双方签订合同及验收环节，应包含上述市场准入类资质要求的条款。 </w:t>
      </w:r>
    </w:p>
    <w:p w14:paraId="567E703D">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06" w:name="_Toc5298"/>
      <w:r>
        <w:rPr>
          <w:rFonts w:hint="eastAsia" w:ascii="宋体" w:hAnsi="宋体" w:eastAsia="宋体" w:cs="宋体"/>
          <w:b/>
          <w:bCs/>
          <w:color w:val="auto"/>
          <w:kern w:val="2"/>
          <w:sz w:val="24"/>
          <w:szCs w:val="24"/>
          <w:highlight w:val="none"/>
          <w:lang w:val="en-US" w:eastAsia="zh-CN" w:bidi="ar-SA"/>
        </w:rPr>
        <w:t>46.采购需求标准</w:t>
      </w:r>
      <w:bookmarkEnd w:id="306"/>
      <w:r>
        <w:rPr>
          <w:rFonts w:hint="eastAsia" w:ascii="宋体" w:hAnsi="宋体" w:eastAsia="宋体" w:cs="宋体"/>
          <w:b/>
          <w:bCs/>
          <w:color w:val="auto"/>
          <w:kern w:val="2"/>
          <w:sz w:val="24"/>
          <w:szCs w:val="24"/>
          <w:highlight w:val="none"/>
          <w:lang w:val="en-US" w:eastAsia="zh-CN" w:bidi="ar-SA"/>
        </w:rPr>
        <w:t xml:space="preserve">   </w:t>
      </w:r>
    </w:p>
    <w:p w14:paraId="77C63652">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 xml:space="preserve">46.1 商品包装、快递包装政府采购需求标准（试行） </w:t>
      </w:r>
    </w:p>
    <w:p w14:paraId="3DA94789">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 xml:space="preserve">为助力打好污染防治攻坚战，推广使用绿色包装，根据财政部关于印发《商品包装政府采购需求标准（试行）》、《快递包装政府采购需求标准（试行）》的通知（财办库〔2020〕123 号），本项目如涉及商品包装和快递包装的，则其具体要求见第三章《采购需求》。 </w:t>
      </w:r>
    </w:p>
    <w:p w14:paraId="27B020C7">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 xml:space="preserve">46.2 绿色数据中心政府采购需求标准（试行） </w:t>
      </w:r>
    </w:p>
    <w:p w14:paraId="16173830">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 xml:space="preserve">为加快数据中心绿色转型，根据财政部 生态环境部 工业和信息化部关于印发《绿色数据中心政府采购需求标准（试行）》的通知（财库〔2023〕7 号），本项目如涉及绿色数据中心，则具体要求见第三章《采购需求》。 </w:t>
      </w:r>
    </w:p>
    <w:p w14:paraId="752FA939">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46.3台式计算机政府采购需求标准</w:t>
      </w:r>
    </w:p>
    <w:p w14:paraId="3830872B">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为提高台式计算机政府采购需求管理的科学化、规范化水平，进一步落实政府采购公平竞争原则，优化营商环境，营造良好的产业生态，财政部 工业和信息化部关于印发《台式计算机政府采购需求标准（2023年版）》的通知（财库〔2023〕29号），本项目如涉及台式计算机采购，则具体要求见第三章《采购需求》。</w:t>
      </w:r>
    </w:p>
    <w:p w14:paraId="3E8B3153">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46.4便携式计算机政府采购需求标准</w:t>
      </w:r>
    </w:p>
    <w:p w14:paraId="2DDABA79">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为提高便携式计算机政府采购需求管理的科学化、规范化水平，进一步落实政府采购公平竞争原则，优化营商环境，营造良好的产业生态，财政部 工业和信息化部关于印发《便携式计算机政府采购需求标准（2023年版）》的通知（财库〔2023〕30号），本项目如涉及便携式计算机采购，则具体要求见第三章《采购需求》。</w:t>
      </w:r>
    </w:p>
    <w:p w14:paraId="385FE90A">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46.5一体式计算机政府采购需求标准</w:t>
      </w:r>
    </w:p>
    <w:p w14:paraId="30E81396">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为提高一体式计算机政府采购需求管理的科学化、规范化水平，进一步落实政府采购公平竞争原则，优化营商环境，营造良好的产业生态，财政部 工业和信息化部关于印发《一体式计算机政府采购需求标准（2023年版）》的通知（财库〔2023〕31号），本项目如涉及一体式计算机采购，则具体要求见第三章《采购需求》。</w:t>
      </w:r>
    </w:p>
    <w:p w14:paraId="07FD3B31">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46.6工作站政府采购需求标准</w:t>
      </w:r>
    </w:p>
    <w:p w14:paraId="23F8A15A">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为提高工作站政府采购需求管理的科学化、规范化水平，进一步落实政府采购公平竞争原则，优化营商环境，营造良好的产业生态，财政部 工业和信息化部关于印发《工作站政府采购需求标准（2023年版）》的通知（财库〔2023〕32号），本项目如涉及工作站采购，则具体要求见第三章《采购需求》。</w:t>
      </w:r>
    </w:p>
    <w:p w14:paraId="6FE6E6D6">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46.7通用服务器政府采购需求标准</w:t>
      </w:r>
    </w:p>
    <w:p w14:paraId="2DC5EFFC">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为提高通用服务器政府采购需求管理的科学化、规范化水平，进一步落实政府采购公平竞争原则，优化营商环境，营造良好的产业生态，财政部 工业和信息化部关于印发《通用服务器政府采购需求标准（2023年版）》的通知（财库〔2023〕33号），本项目如涉及通用服务器采购，则具体要求见第三章《采购需求》。</w:t>
      </w:r>
    </w:p>
    <w:p w14:paraId="5822E475">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46.8操作系统政府采购需求标准</w:t>
      </w:r>
    </w:p>
    <w:p w14:paraId="0C0F87EE">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为提高操作系统政府采购需求管理的科学化、规范化水平，进一步落实政府采购公平竞争原则，优化营商环境，营造良好的产业生态，财政部 工业和信息化部关于印发《操作系统政府采购需求标准（2023年版）》的通知（财库〔2023〕34号），本项目如涉及操作系统采购，则具体要求见第三章《采购需求》。</w:t>
      </w:r>
    </w:p>
    <w:p w14:paraId="1177BDB0">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46.9数据库政府采购需求标准</w:t>
      </w:r>
    </w:p>
    <w:p w14:paraId="45BE4E61">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为提高数据库政府采购需求管理的科学化、规范化水平，进一步落实政府采购公平竞争原则，优化营商环境，营造良好的产业生态，财政部 工业和信息化部关于印发《数据库政府采购需求标准（2023年版）》的通知（财库〔2023〕35号），本项目如涉及数据库采购，则具体要求见第三章《采购需求》。</w:t>
      </w:r>
    </w:p>
    <w:p w14:paraId="116745F5">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46.10物业管理服务政府采购需求标准（办公场所类）（试行）</w:t>
      </w:r>
    </w:p>
    <w:p w14:paraId="0169F247">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贯彻落实中央全面深化改革委员会审议通过的《深化政府采购制度改革方案》有关要求，推动政府采购需求标准建设，财政部办公厅关于印发《物业管理服务政府采购需求标准（办公场所类）（试行）》的通知（财办库〔2024〕113号），本项目如涉及物业管理服务采购，则具体要求见第三章《采购需求》。</w:t>
      </w:r>
    </w:p>
    <w:p w14:paraId="07C1DA2C">
      <w:pPr>
        <w:pStyle w:val="4"/>
        <w:keepNext w:val="0"/>
        <w:keepLines w:val="0"/>
        <w:pageBreakBefore w:val="0"/>
        <w:widowControl w:val="0"/>
        <w:numPr>
          <w:ilvl w:val="0"/>
          <w:numId w:val="0"/>
        </w:numPr>
        <w:kinsoku/>
        <w:wordWrap/>
        <w:overflowPunct/>
        <w:topLinePunct w:val="0"/>
        <w:autoSpaceDE/>
        <w:autoSpaceDN/>
        <w:bidi w:val="0"/>
        <w:adjustRightInd/>
        <w:snapToGrid/>
        <w:spacing w:before="120" w:after="12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07" w:name="_Toc10007"/>
      <w:r>
        <w:rPr>
          <w:rFonts w:hint="eastAsia" w:ascii="宋体" w:hAnsi="宋体" w:eastAsia="宋体" w:cs="宋体"/>
          <w:b/>
          <w:bCs/>
          <w:color w:val="auto"/>
          <w:kern w:val="2"/>
          <w:sz w:val="24"/>
          <w:szCs w:val="24"/>
          <w:highlight w:val="none"/>
          <w:lang w:val="en-US" w:eastAsia="zh-CN" w:bidi="ar-SA"/>
        </w:rPr>
        <w:t>（十四）政府采购合同融资政策</w:t>
      </w:r>
      <w:bookmarkEnd w:id="295"/>
      <w:bookmarkEnd w:id="296"/>
      <w:bookmarkEnd w:id="304"/>
      <w:bookmarkEnd w:id="307"/>
    </w:p>
    <w:p w14:paraId="7CF32745">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08" w:name="_Toc163492880"/>
      <w:bookmarkStart w:id="309" w:name="_Toc14089"/>
      <w:r>
        <w:rPr>
          <w:rFonts w:hint="eastAsia" w:ascii="宋体" w:hAnsi="宋体" w:eastAsia="宋体" w:cs="宋体"/>
          <w:b/>
          <w:bCs/>
          <w:color w:val="auto"/>
          <w:kern w:val="2"/>
          <w:sz w:val="24"/>
          <w:szCs w:val="24"/>
          <w:highlight w:val="none"/>
          <w:lang w:val="en-US" w:eastAsia="zh-CN" w:bidi="ar-SA"/>
        </w:rPr>
        <w:t>47.政府采购合同融资政策</w:t>
      </w:r>
      <w:bookmarkEnd w:id="308"/>
      <w:bookmarkEnd w:id="309"/>
    </w:p>
    <w:p w14:paraId="2F908697">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.1政府采购合同融资政策：见投标人须知前附表。</w:t>
      </w:r>
    </w:p>
    <w:p w14:paraId="198FC626">
      <w:pPr>
        <w:pStyle w:val="4"/>
        <w:keepNext w:val="0"/>
        <w:keepLines w:val="0"/>
        <w:pageBreakBefore w:val="0"/>
        <w:widowControl w:val="0"/>
        <w:numPr>
          <w:ilvl w:val="0"/>
          <w:numId w:val="0"/>
        </w:numPr>
        <w:kinsoku/>
        <w:wordWrap/>
        <w:overflowPunct/>
        <w:topLinePunct w:val="0"/>
        <w:autoSpaceDE/>
        <w:autoSpaceDN/>
        <w:bidi w:val="0"/>
        <w:adjustRightInd/>
        <w:snapToGrid/>
        <w:spacing w:before="120" w:after="12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10" w:name="_Toc163492881"/>
      <w:bookmarkStart w:id="311" w:name="_Toc26816"/>
      <w:r>
        <w:rPr>
          <w:rFonts w:hint="eastAsia" w:ascii="宋体" w:hAnsi="宋体" w:eastAsia="宋体" w:cs="宋体"/>
          <w:b/>
          <w:bCs/>
          <w:color w:val="auto"/>
          <w:kern w:val="2"/>
          <w:sz w:val="24"/>
          <w:szCs w:val="24"/>
          <w:highlight w:val="none"/>
          <w:lang w:val="en-US" w:eastAsia="zh-CN" w:bidi="ar-SA"/>
        </w:rPr>
        <w:t>（十五）其他</w:t>
      </w:r>
      <w:bookmarkEnd w:id="310"/>
      <w:bookmarkEnd w:id="311"/>
    </w:p>
    <w:p w14:paraId="370F802C">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12" w:name="_Toc18980"/>
      <w:bookmarkStart w:id="313" w:name="_Toc163492882"/>
      <w:r>
        <w:rPr>
          <w:rFonts w:hint="eastAsia" w:ascii="宋体" w:hAnsi="宋体" w:eastAsia="宋体" w:cs="宋体"/>
          <w:b/>
          <w:bCs/>
          <w:color w:val="auto"/>
          <w:kern w:val="2"/>
          <w:sz w:val="24"/>
          <w:szCs w:val="24"/>
          <w:highlight w:val="none"/>
          <w:lang w:val="en-US" w:eastAsia="zh-CN" w:bidi="ar-SA"/>
        </w:rPr>
        <w:t>48.需要补充的其他内容</w:t>
      </w:r>
      <w:bookmarkEnd w:id="312"/>
      <w:bookmarkEnd w:id="313"/>
    </w:p>
    <w:p w14:paraId="32516407">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.1需要补充的其他内容：见投标人须知前附表。</w:t>
      </w:r>
    </w:p>
    <w:p w14:paraId="1BD29CBA">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14" w:name="_Toc140132810"/>
      <w:bookmarkStart w:id="315" w:name="_Toc12494"/>
      <w:bookmarkStart w:id="316" w:name="_Toc163492883"/>
      <w:bookmarkStart w:id="317" w:name="_Toc155185886"/>
      <w:r>
        <w:rPr>
          <w:rFonts w:hint="eastAsia" w:ascii="宋体" w:hAnsi="宋体" w:eastAsia="宋体" w:cs="宋体"/>
          <w:b/>
          <w:bCs/>
          <w:color w:val="auto"/>
          <w:kern w:val="2"/>
          <w:sz w:val="24"/>
          <w:szCs w:val="24"/>
          <w:highlight w:val="none"/>
          <w:lang w:val="en-US" w:eastAsia="zh-CN" w:bidi="ar-SA"/>
        </w:rPr>
        <w:t>49.适用法律</w:t>
      </w:r>
      <w:bookmarkEnd w:id="314"/>
      <w:bookmarkEnd w:id="315"/>
      <w:bookmarkEnd w:id="316"/>
      <w:bookmarkEnd w:id="317"/>
    </w:p>
    <w:p w14:paraId="0953B8AD">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49</w:t>
      </w:r>
      <w:r>
        <w:rPr>
          <w:rFonts w:hint="eastAsia" w:ascii="宋体" w:hAnsi="宋体" w:eastAsia="宋体" w:cs="宋体"/>
          <w:snapToGrid w:val="0"/>
          <w:color w:val="auto"/>
          <w:sz w:val="24"/>
          <w:szCs w:val="24"/>
          <w:highlight w:val="none"/>
        </w:rPr>
        <w:t>.1采购人、采购代理机构及投标人的一切采购活动均适用《中华人民共和国政府采购法》、《中华人民共和国政府采购法实施条例》、《政府采购货物和服务招标投标管理办法》（财政部令第87号）及相关法律法规。</w:t>
      </w:r>
    </w:p>
    <w:p w14:paraId="6AD32247">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snapToGrid w:val="0"/>
          <w:color w:val="auto"/>
          <w:sz w:val="24"/>
          <w:szCs w:val="24"/>
          <w:highlight w:val="none"/>
          <w:lang w:val="en-US" w:eastAsia="zh-CN"/>
        </w:rPr>
        <w:t>49</w:t>
      </w:r>
      <w:r>
        <w:rPr>
          <w:rFonts w:hint="eastAsia" w:ascii="宋体" w:hAnsi="宋体" w:eastAsia="宋体" w:cs="宋体"/>
          <w:snapToGrid w:val="0"/>
          <w:color w:val="auto"/>
          <w:sz w:val="24"/>
          <w:szCs w:val="24"/>
          <w:highlight w:val="none"/>
        </w:rPr>
        <w:t>.2政府采购合同的履行、违约责任和解决争议的方法等适用《中华人民共和国民法典》。</w:t>
      </w:r>
    </w:p>
    <w:p w14:paraId="468836B9">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18" w:name="_Toc163492884"/>
      <w:bookmarkStart w:id="319" w:name="_Toc20737"/>
      <w:bookmarkStart w:id="320" w:name="_Toc155185887"/>
      <w:r>
        <w:rPr>
          <w:rFonts w:hint="eastAsia" w:ascii="宋体" w:hAnsi="宋体" w:eastAsia="宋体" w:cs="宋体"/>
          <w:b/>
          <w:bCs/>
          <w:color w:val="auto"/>
          <w:kern w:val="2"/>
          <w:sz w:val="24"/>
          <w:szCs w:val="24"/>
          <w:highlight w:val="none"/>
          <w:lang w:val="en-US" w:eastAsia="zh-CN" w:bidi="ar-SA"/>
        </w:rPr>
        <w:t>50.解释权</w:t>
      </w:r>
      <w:bookmarkEnd w:id="318"/>
      <w:bookmarkEnd w:id="319"/>
      <w:bookmarkEnd w:id="320"/>
    </w:p>
    <w:p w14:paraId="5C6D27F8">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50</w:t>
      </w:r>
      <w:r>
        <w:rPr>
          <w:rFonts w:hint="eastAsia" w:ascii="宋体" w:hAnsi="宋体" w:eastAsia="宋体" w:cs="宋体"/>
          <w:snapToGrid w:val="0"/>
          <w:color w:val="auto"/>
          <w:sz w:val="24"/>
          <w:szCs w:val="24"/>
          <w:highlight w:val="none"/>
        </w:rPr>
        <w:t>.1本招标文件最终解释权归采购人或采购代理机构所有。</w:t>
      </w:r>
    </w:p>
    <w:p w14:paraId="3C497DAE">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highlight w:val="none"/>
        </w:rPr>
      </w:pPr>
    </w:p>
    <w:p w14:paraId="70704BD1">
      <w:pPr>
        <w:pStyle w:val="2"/>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321" w:name="_Toc21960"/>
      <w:bookmarkStart w:id="322" w:name="_Toc155185888"/>
      <w:bookmarkStart w:id="323" w:name="_Toc527"/>
      <w:r>
        <w:rPr>
          <w:rFonts w:hint="eastAsia" w:ascii="宋体" w:hAnsi="宋体" w:eastAsia="宋体" w:cs="宋体"/>
          <w:b/>
          <w:bCs/>
          <w:color w:val="auto"/>
          <w:kern w:val="44"/>
          <w:sz w:val="36"/>
          <w:szCs w:val="36"/>
          <w:highlight w:val="none"/>
          <w:lang w:val="en-US" w:eastAsia="zh-CN" w:bidi="ar-SA"/>
        </w:rPr>
        <w:t>第三章 采购需求</w:t>
      </w:r>
      <w:bookmarkEnd w:id="321"/>
      <w:bookmarkEnd w:id="322"/>
      <w:bookmarkEnd w:id="323"/>
    </w:p>
    <w:p w14:paraId="398BAAE6">
      <w:pPr>
        <w:rPr>
          <w:color w:val="auto"/>
          <w:sz w:val="24"/>
          <w:szCs w:val="24"/>
          <w:highlight w:val="none"/>
        </w:rPr>
      </w:pPr>
      <w:r>
        <w:rPr>
          <w:rFonts w:hint="eastAsia"/>
          <w:color w:val="auto"/>
          <w:sz w:val="24"/>
          <w:szCs w:val="24"/>
          <w:highlight w:val="none"/>
        </w:rPr>
        <w:t>【以下内容应根据项目情况作出具体采购需求描述，同时，制定各条款具体内容时与采购需求无关的将不得纳入】</w:t>
      </w:r>
    </w:p>
    <w:p w14:paraId="2C43F922">
      <w:pPr>
        <w:pStyle w:val="36"/>
        <w:keepNext w:val="0"/>
        <w:keepLines w:val="0"/>
        <w:pageBreakBefore w:val="0"/>
        <w:widowControl w:val="0"/>
        <w:kinsoku/>
        <w:overflowPunct/>
        <w:topLinePunct w:val="0"/>
        <w:autoSpaceDE/>
        <w:autoSpaceDN/>
        <w:bidi w:val="0"/>
        <w:adjustRightInd/>
        <w:textAlignment w:val="auto"/>
        <w:rPr>
          <w:rFonts w:hint="eastAsia"/>
          <w:b/>
          <w:bCs/>
          <w:snapToGrid w:val="0"/>
          <w:color w:val="auto"/>
          <w:sz w:val="24"/>
          <w:szCs w:val="24"/>
          <w:highlight w:val="none"/>
          <w:lang w:val="en-US" w:eastAsia="zh-CN"/>
        </w:rPr>
      </w:pPr>
      <w:bookmarkStart w:id="324" w:name="_Toc140132812"/>
      <w:bookmarkStart w:id="325" w:name="_Toc155185889"/>
      <w:r>
        <w:rPr>
          <w:rFonts w:hint="eastAsia"/>
          <w:b/>
          <w:bCs/>
          <w:snapToGrid w:val="0"/>
          <w:color w:val="auto"/>
          <w:sz w:val="24"/>
          <w:szCs w:val="24"/>
          <w:highlight w:val="none"/>
          <w:lang w:val="en-US" w:eastAsia="zh-CN"/>
        </w:rPr>
        <w:t xml:space="preserve">说明： </w:t>
      </w:r>
    </w:p>
    <w:p w14:paraId="04A97FB9">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eastAsia"/>
          <w:snapToGrid w:val="0"/>
          <w:color w:val="auto"/>
          <w:sz w:val="24"/>
          <w:szCs w:val="24"/>
          <w:highlight w:val="none"/>
          <w:lang w:val="en-US" w:eastAsia="zh-CN"/>
        </w:rPr>
        <w:t>1. 当采购项目涉及数据中心相关设备、运维服务时，采购需求应当符合《绿色数据中心政府采购需求标准（试行）》（财库〔</w:t>
      </w:r>
      <w:r>
        <w:rPr>
          <w:rFonts w:hint="default"/>
          <w:snapToGrid w:val="0"/>
          <w:color w:val="auto"/>
          <w:sz w:val="24"/>
          <w:szCs w:val="24"/>
          <w:highlight w:val="none"/>
          <w:lang w:val="en-US" w:eastAsia="zh-CN"/>
        </w:rPr>
        <w:t>2023</w:t>
      </w:r>
      <w:r>
        <w:rPr>
          <w:rFonts w:hint="eastAsia"/>
          <w:snapToGrid w:val="0"/>
          <w:color w:val="auto"/>
          <w:sz w:val="24"/>
          <w:szCs w:val="24"/>
          <w:highlight w:val="none"/>
          <w:lang w:val="en-US" w:eastAsia="zh-CN"/>
        </w:rPr>
        <w:t>〕</w:t>
      </w:r>
      <w:r>
        <w:rPr>
          <w:rFonts w:hint="default"/>
          <w:snapToGrid w:val="0"/>
          <w:color w:val="auto"/>
          <w:sz w:val="24"/>
          <w:szCs w:val="24"/>
          <w:highlight w:val="none"/>
          <w:lang w:val="en-US" w:eastAsia="zh-CN"/>
        </w:rPr>
        <w:t xml:space="preserve">7 </w:t>
      </w:r>
      <w:r>
        <w:rPr>
          <w:rFonts w:hint="eastAsia"/>
          <w:snapToGrid w:val="0"/>
          <w:color w:val="auto"/>
          <w:sz w:val="24"/>
          <w:szCs w:val="24"/>
          <w:highlight w:val="none"/>
          <w:lang w:val="en-US" w:eastAsia="zh-CN"/>
        </w:rPr>
        <w:t xml:space="preserve">号）的有关要求。 </w:t>
      </w:r>
    </w:p>
    <w:p w14:paraId="19609329">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 </w:t>
      </w:r>
      <w:r>
        <w:rPr>
          <w:rFonts w:hint="eastAsia"/>
          <w:snapToGrid w:val="0"/>
          <w:color w:val="auto"/>
          <w:sz w:val="24"/>
          <w:szCs w:val="24"/>
          <w:highlight w:val="none"/>
          <w:lang w:val="en-US" w:eastAsia="zh-CN"/>
        </w:rPr>
        <w:t>当采购项目涉及政务信息系统时，采购需求应当符合《政务信息系统政府采购管理暂行办法》（财库〔</w:t>
      </w:r>
      <w:r>
        <w:rPr>
          <w:rFonts w:hint="default"/>
          <w:snapToGrid w:val="0"/>
          <w:color w:val="auto"/>
          <w:sz w:val="24"/>
          <w:szCs w:val="24"/>
          <w:highlight w:val="none"/>
          <w:lang w:val="en-US" w:eastAsia="zh-CN"/>
        </w:rPr>
        <w:t>2017</w:t>
      </w:r>
      <w:r>
        <w:rPr>
          <w:rFonts w:hint="eastAsia"/>
          <w:snapToGrid w:val="0"/>
          <w:color w:val="auto"/>
          <w:sz w:val="24"/>
          <w:szCs w:val="24"/>
          <w:highlight w:val="none"/>
          <w:lang w:val="en-US" w:eastAsia="zh-CN"/>
        </w:rPr>
        <w:t>〕</w:t>
      </w:r>
      <w:r>
        <w:rPr>
          <w:rFonts w:hint="default"/>
          <w:snapToGrid w:val="0"/>
          <w:color w:val="auto"/>
          <w:sz w:val="24"/>
          <w:szCs w:val="24"/>
          <w:highlight w:val="none"/>
          <w:lang w:val="en-US" w:eastAsia="zh-CN"/>
        </w:rPr>
        <w:t xml:space="preserve">210 </w:t>
      </w:r>
      <w:r>
        <w:rPr>
          <w:rFonts w:hint="eastAsia"/>
          <w:snapToGrid w:val="0"/>
          <w:color w:val="auto"/>
          <w:sz w:val="24"/>
          <w:szCs w:val="24"/>
          <w:highlight w:val="none"/>
          <w:lang w:val="en-US" w:eastAsia="zh-CN"/>
        </w:rPr>
        <w:t xml:space="preserve">号）的相关要求。 </w:t>
      </w:r>
    </w:p>
    <w:p w14:paraId="74BCECBF">
      <w:pPr>
        <w:pStyle w:val="36"/>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24"/>
          <w:szCs w:val="24"/>
          <w:highlight w:val="none"/>
          <w:lang w:val="en-US" w:eastAsia="zh-CN"/>
        </w:rPr>
      </w:pPr>
      <w:r>
        <w:rPr>
          <w:rFonts w:hint="eastAsia"/>
          <w:b/>
          <w:bCs/>
          <w:snapToGrid w:val="0"/>
          <w:color w:val="auto"/>
          <w:sz w:val="24"/>
          <w:szCs w:val="24"/>
          <w:highlight w:val="none"/>
          <w:lang w:val="en-US" w:eastAsia="zh-CN"/>
        </w:rPr>
        <w:t xml:space="preserve">一、采购标的 </w:t>
      </w:r>
    </w:p>
    <w:p w14:paraId="3E57EDE4">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1. </w:t>
      </w:r>
      <w:r>
        <w:rPr>
          <w:rFonts w:hint="eastAsia"/>
          <w:snapToGrid w:val="0"/>
          <w:color w:val="auto"/>
          <w:sz w:val="24"/>
          <w:szCs w:val="24"/>
          <w:highlight w:val="none"/>
          <w:lang w:val="en-US" w:eastAsia="zh-CN"/>
        </w:rPr>
        <w:t xml:space="preserve">采购标的（服务需求一览表或简要服务内容及数量） </w:t>
      </w:r>
    </w:p>
    <w:p w14:paraId="366DD99F">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eastAsia"/>
          <w:snapToGrid w:val="0"/>
          <w:color w:val="auto"/>
          <w:sz w:val="24"/>
          <w:szCs w:val="24"/>
          <w:highlight w:val="none"/>
          <w:lang w:val="en-US" w:eastAsia="zh-CN"/>
        </w:rPr>
        <w:t xml:space="preserve">说明：如为含货物采购的服务项目，须标明是否接受进口产品。 </w:t>
      </w:r>
    </w:p>
    <w:p w14:paraId="1611B4AC">
      <w:pPr>
        <w:pStyle w:val="36"/>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700BA3D0">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 </w:t>
      </w:r>
      <w:r>
        <w:rPr>
          <w:rFonts w:hint="eastAsia"/>
          <w:snapToGrid w:val="0"/>
          <w:color w:val="auto"/>
          <w:sz w:val="24"/>
          <w:szCs w:val="24"/>
          <w:highlight w:val="none"/>
          <w:lang w:val="en-US" w:eastAsia="zh-CN"/>
        </w:rPr>
        <w:t>项目背景</w:t>
      </w:r>
      <w:r>
        <w:rPr>
          <w:rFonts w:hint="default"/>
          <w:snapToGrid w:val="0"/>
          <w:color w:val="auto"/>
          <w:sz w:val="24"/>
          <w:szCs w:val="24"/>
          <w:highlight w:val="none"/>
          <w:lang w:val="en-US" w:eastAsia="zh-CN"/>
        </w:rPr>
        <w:t>/</w:t>
      </w:r>
      <w:r>
        <w:rPr>
          <w:rFonts w:hint="eastAsia"/>
          <w:snapToGrid w:val="0"/>
          <w:color w:val="auto"/>
          <w:sz w:val="24"/>
          <w:szCs w:val="24"/>
          <w:highlight w:val="none"/>
          <w:lang w:val="en-US" w:eastAsia="zh-CN"/>
        </w:rPr>
        <w:t xml:space="preserve">项目概述【如有】 </w:t>
      </w:r>
    </w:p>
    <w:p w14:paraId="6D523F8D">
      <w:pPr>
        <w:pStyle w:val="36"/>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24"/>
          <w:szCs w:val="24"/>
          <w:highlight w:val="none"/>
          <w:lang w:val="en-US" w:eastAsia="zh-CN"/>
        </w:rPr>
      </w:pPr>
      <w:r>
        <w:rPr>
          <w:rFonts w:hint="eastAsia"/>
          <w:b/>
          <w:bCs/>
          <w:snapToGrid w:val="0"/>
          <w:color w:val="auto"/>
          <w:sz w:val="24"/>
          <w:szCs w:val="24"/>
          <w:highlight w:val="none"/>
          <w:lang w:val="en-US" w:eastAsia="zh-CN"/>
        </w:rPr>
        <w:t>二、商务要求</w:t>
      </w:r>
      <w:r>
        <w:rPr>
          <w:rFonts w:hint="eastAsia"/>
          <w:b/>
          <w:bCs/>
          <w:i w:val="0"/>
          <w:iCs w:val="0"/>
          <w:snapToGrid w:val="0"/>
          <w:color w:val="auto"/>
          <w:sz w:val="24"/>
          <w:szCs w:val="24"/>
          <w:highlight w:val="none"/>
          <w:lang w:val="en-US" w:eastAsia="zh-CN"/>
        </w:rPr>
        <w:t>【根据项目实际需求调整，如有实质性响应条款要求的，以“★”号作醒目标识</w:t>
      </w:r>
      <w:r>
        <w:rPr>
          <w:rFonts w:hint="eastAsia" w:ascii="宋体" w:hAnsi="宋体" w:eastAsia="宋体"/>
          <w:b/>
          <w:bCs/>
          <w:i w:val="0"/>
          <w:iCs w:val="0"/>
          <w:snapToGrid w:val="0"/>
          <w:color w:val="auto"/>
          <w:sz w:val="24"/>
          <w:szCs w:val="24"/>
          <w:highlight w:val="none"/>
          <w:lang w:val="en-US" w:eastAsia="zh-CN"/>
        </w:rPr>
        <w:t>，其他非实质性条款明确是否允许负偏离，允许几项负偏离</w:t>
      </w:r>
      <w:r>
        <w:rPr>
          <w:rFonts w:hint="eastAsia"/>
          <w:b/>
          <w:bCs/>
          <w:i w:val="0"/>
          <w:iCs w:val="0"/>
          <w:snapToGrid w:val="0"/>
          <w:color w:val="auto"/>
          <w:sz w:val="24"/>
          <w:szCs w:val="24"/>
          <w:highlight w:val="none"/>
          <w:lang w:val="en-US" w:eastAsia="zh-CN"/>
        </w:rPr>
        <w:t>】</w:t>
      </w:r>
      <w:r>
        <w:rPr>
          <w:rFonts w:hint="eastAsia"/>
          <w:b/>
          <w:bCs/>
          <w:snapToGrid w:val="0"/>
          <w:color w:val="auto"/>
          <w:sz w:val="24"/>
          <w:szCs w:val="24"/>
          <w:highlight w:val="none"/>
          <w:lang w:val="en-US" w:eastAsia="zh-CN"/>
        </w:rPr>
        <w:t xml:space="preserve"> </w:t>
      </w:r>
    </w:p>
    <w:p w14:paraId="0BA73EE6">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1. </w:t>
      </w:r>
      <w:r>
        <w:rPr>
          <w:rFonts w:hint="eastAsia"/>
          <w:snapToGrid w:val="0"/>
          <w:color w:val="auto"/>
          <w:sz w:val="24"/>
          <w:szCs w:val="24"/>
          <w:highlight w:val="none"/>
          <w:lang w:val="en-US" w:eastAsia="zh-CN"/>
        </w:rPr>
        <w:t xml:space="preserve">交付（实施）的时间（期限）和地点（范围） </w:t>
      </w:r>
    </w:p>
    <w:p w14:paraId="395092DD">
      <w:pPr>
        <w:pStyle w:val="36"/>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2017E928">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 </w:t>
      </w:r>
      <w:r>
        <w:rPr>
          <w:rFonts w:hint="eastAsia"/>
          <w:snapToGrid w:val="0"/>
          <w:color w:val="auto"/>
          <w:sz w:val="24"/>
          <w:szCs w:val="24"/>
          <w:highlight w:val="none"/>
          <w:lang w:val="en-US" w:eastAsia="zh-CN"/>
        </w:rPr>
        <w:t xml:space="preserve">付款条件（进度和方式） </w:t>
      </w:r>
    </w:p>
    <w:p w14:paraId="053D4F60">
      <w:pPr>
        <w:pStyle w:val="36"/>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4CD07220">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3. </w:t>
      </w:r>
      <w:r>
        <w:rPr>
          <w:rFonts w:hint="eastAsia"/>
          <w:snapToGrid w:val="0"/>
          <w:color w:val="auto"/>
          <w:sz w:val="24"/>
          <w:szCs w:val="24"/>
          <w:highlight w:val="none"/>
          <w:lang w:val="en-US" w:eastAsia="zh-CN"/>
        </w:rPr>
        <w:t>包装和运输（如适用，须满足《关于印发〈商品包装政府采购需求标准（试行）〉、〈快递包装政府采购需求标准（试行）〉的通知》（财办库﹝</w:t>
      </w:r>
      <w:r>
        <w:rPr>
          <w:rFonts w:hint="default"/>
          <w:snapToGrid w:val="0"/>
          <w:color w:val="auto"/>
          <w:sz w:val="24"/>
          <w:szCs w:val="24"/>
          <w:highlight w:val="none"/>
          <w:lang w:val="en-US" w:eastAsia="zh-CN"/>
        </w:rPr>
        <w:t>2020</w:t>
      </w:r>
      <w:r>
        <w:rPr>
          <w:rFonts w:hint="eastAsia"/>
          <w:snapToGrid w:val="0"/>
          <w:color w:val="auto"/>
          <w:sz w:val="24"/>
          <w:szCs w:val="24"/>
          <w:highlight w:val="none"/>
          <w:lang w:val="en-US" w:eastAsia="zh-CN"/>
        </w:rPr>
        <w:t>﹞</w:t>
      </w:r>
      <w:r>
        <w:rPr>
          <w:rFonts w:hint="default"/>
          <w:snapToGrid w:val="0"/>
          <w:color w:val="auto"/>
          <w:sz w:val="24"/>
          <w:szCs w:val="24"/>
          <w:highlight w:val="none"/>
          <w:lang w:val="en-US" w:eastAsia="zh-CN"/>
        </w:rPr>
        <w:t xml:space="preserve">123 </w:t>
      </w:r>
      <w:r>
        <w:rPr>
          <w:rFonts w:hint="eastAsia"/>
          <w:snapToGrid w:val="0"/>
          <w:color w:val="auto"/>
          <w:sz w:val="24"/>
          <w:szCs w:val="24"/>
          <w:highlight w:val="none"/>
          <w:lang w:val="en-US" w:eastAsia="zh-CN"/>
        </w:rPr>
        <w:t xml:space="preserve">号）） </w:t>
      </w:r>
    </w:p>
    <w:p w14:paraId="25B90F3B">
      <w:pPr>
        <w:pStyle w:val="36"/>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68249201">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4. </w:t>
      </w:r>
      <w:r>
        <w:rPr>
          <w:rFonts w:hint="eastAsia"/>
          <w:snapToGrid w:val="0"/>
          <w:color w:val="auto"/>
          <w:sz w:val="24"/>
          <w:szCs w:val="24"/>
          <w:highlight w:val="none"/>
          <w:lang w:val="en-US" w:eastAsia="zh-CN"/>
        </w:rPr>
        <w:t xml:space="preserve">售后服务（质保期）【如适用】 </w:t>
      </w:r>
    </w:p>
    <w:p w14:paraId="472C32BB">
      <w:pPr>
        <w:pStyle w:val="36"/>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0FD7FEBC">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5. </w:t>
      </w:r>
      <w:r>
        <w:rPr>
          <w:rFonts w:hint="eastAsia"/>
          <w:snapToGrid w:val="0"/>
          <w:color w:val="auto"/>
          <w:sz w:val="24"/>
          <w:szCs w:val="24"/>
          <w:highlight w:val="none"/>
          <w:lang w:val="en-US" w:eastAsia="zh-CN"/>
        </w:rPr>
        <w:t xml:space="preserve">保险【如适用】 </w:t>
      </w:r>
    </w:p>
    <w:p w14:paraId="05E0D52A">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eastAsia"/>
          <w:snapToGrid w:val="0"/>
          <w:color w:val="auto"/>
          <w:sz w:val="24"/>
          <w:szCs w:val="24"/>
          <w:highlight w:val="none"/>
          <w:lang w:val="en-US" w:eastAsia="zh-CN"/>
        </w:rPr>
        <w:t>6.其他要求【如有】</w:t>
      </w:r>
    </w:p>
    <w:p w14:paraId="661F1086">
      <w:pPr>
        <w:pStyle w:val="36"/>
        <w:keepNext w:val="0"/>
        <w:keepLines w:val="0"/>
        <w:pageBreakBefore w:val="0"/>
        <w:widowControl w:val="0"/>
        <w:kinsoku/>
        <w:overflowPunct/>
        <w:topLinePunct w:val="0"/>
        <w:autoSpaceDE/>
        <w:autoSpaceDN/>
        <w:bidi w:val="0"/>
        <w:adjustRightInd/>
        <w:textAlignment w:val="auto"/>
        <w:rPr>
          <w:rFonts w:hint="eastAsia" w:ascii="宋体" w:hAnsi="宋体" w:eastAsia="宋体"/>
          <w:snapToGrid w:val="0"/>
          <w:color w:val="auto"/>
          <w:sz w:val="24"/>
          <w:szCs w:val="24"/>
          <w:highlight w:val="none"/>
          <w:lang w:val="en-US" w:eastAsia="zh-CN"/>
        </w:rPr>
      </w:pPr>
    </w:p>
    <w:p w14:paraId="3F90EB44">
      <w:pPr>
        <w:pStyle w:val="36"/>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24"/>
          <w:szCs w:val="24"/>
          <w:highlight w:val="none"/>
          <w:lang w:val="en-US" w:eastAsia="zh-CN"/>
        </w:rPr>
      </w:pPr>
      <w:r>
        <w:rPr>
          <w:rFonts w:hint="eastAsia"/>
          <w:b/>
          <w:bCs/>
          <w:snapToGrid w:val="0"/>
          <w:color w:val="auto"/>
          <w:sz w:val="24"/>
          <w:szCs w:val="24"/>
          <w:highlight w:val="none"/>
          <w:lang w:val="en-US" w:eastAsia="zh-CN"/>
        </w:rPr>
        <w:t>三、技术要求</w:t>
      </w:r>
      <w:r>
        <w:rPr>
          <w:rFonts w:hint="eastAsia"/>
          <w:b/>
          <w:bCs/>
          <w:i w:val="0"/>
          <w:iCs w:val="0"/>
          <w:snapToGrid w:val="0"/>
          <w:color w:val="auto"/>
          <w:sz w:val="24"/>
          <w:szCs w:val="24"/>
          <w:highlight w:val="none"/>
          <w:lang w:val="en-US" w:eastAsia="zh-CN"/>
        </w:rPr>
        <w:t>【根据项目实际需求调整，如有实质性响应条款要求的，以“★”号作醒目标识</w:t>
      </w:r>
      <w:r>
        <w:rPr>
          <w:rFonts w:hint="eastAsia" w:ascii="宋体" w:hAnsi="宋体" w:eastAsia="宋体"/>
          <w:b/>
          <w:bCs/>
          <w:i w:val="0"/>
          <w:iCs w:val="0"/>
          <w:snapToGrid w:val="0"/>
          <w:color w:val="auto"/>
          <w:sz w:val="24"/>
          <w:szCs w:val="24"/>
          <w:highlight w:val="none"/>
          <w:lang w:val="en-US" w:eastAsia="zh-CN"/>
        </w:rPr>
        <w:t>，其他非实质性条款明确是否允许负偏离，允许几项负偏离</w:t>
      </w:r>
      <w:r>
        <w:rPr>
          <w:rFonts w:hint="eastAsia"/>
          <w:b/>
          <w:bCs/>
          <w:i w:val="0"/>
          <w:iCs w:val="0"/>
          <w:snapToGrid w:val="0"/>
          <w:color w:val="auto"/>
          <w:sz w:val="24"/>
          <w:szCs w:val="24"/>
          <w:highlight w:val="none"/>
          <w:lang w:val="en-US" w:eastAsia="zh-CN"/>
        </w:rPr>
        <w:t>】</w:t>
      </w:r>
      <w:r>
        <w:rPr>
          <w:rFonts w:hint="eastAsia"/>
          <w:b/>
          <w:bCs/>
          <w:snapToGrid w:val="0"/>
          <w:color w:val="auto"/>
          <w:sz w:val="24"/>
          <w:szCs w:val="24"/>
          <w:highlight w:val="none"/>
          <w:lang w:val="en-US" w:eastAsia="zh-CN"/>
        </w:rPr>
        <w:t xml:space="preserve"> </w:t>
      </w:r>
    </w:p>
    <w:p w14:paraId="1CCCD90C">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1. </w:t>
      </w:r>
      <w:r>
        <w:rPr>
          <w:rFonts w:hint="eastAsia"/>
          <w:snapToGrid w:val="0"/>
          <w:color w:val="auto"/>
          <w:sz w:val="24"/>
          <w:szCs w:val="24"/>
          <w:highlight w:val="none"/>
          <w:lang w:val="en-US" w:eastAsia="zh-CN"/>
        </w:rPr>
        <w:t xml:space="preserve">基本要求 </w:t>
      </w:r>
    </w:p>
    <w:p w14:paraId="56C34720">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1.1 </w:t>
      </w:r>
      <w:r>
        <w:rPr>
          <w:rFonts w:hint="eastAsia"/>
          <w:snapToGrid w:val="0"/>
          <w:color w:val="auto"/>
          <w:sz w:val="24"/>
          <w:szCs w:val="24"/>
          <w:highlight w:val="none"/>
          <w:lang w:val="en-US" w:eastAsia="zh-CN"/>
        </w:rPr>
        <w:t xml:space="preserve">采购标的需实现的功能或者目标 </w:t>
      </w:r>
    </w:p>
    <w:p w14:paraId="41C02C3A">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1.2 </w:t>
      </w:r>
      <w:r>
        <w:rPr>
          <w:rFonts w:hint="eastAsia"/>
          <w:snapToGrid w:val="0"/>
          <w:color w:val="auto"/>
          <w:sz w:val="24"/>
          <w:szCs w:val="24"/>
          <w:highlight w:val="none"/>
          <w:lang w:val="en-US" w:eastAsia="zh-CN"/>
        </w:rPr>
        <w:t>需执行的国家相关标准、行业标准、地方标准或者其他标准、规范</w:t>
      </w:r>
    </w:p>
    <w:p w14:paraId="396BF90D">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p>
    <w:p w14:paraId="54B68886">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eastAsia"/>
          <w:snapToGrid w:val="0"/>
          <w:color w:val="auto"/>
          <w:sz w:val="24"/>
          <w:szCs w:val="24"/>
          <w:highlight w:val="none"/>
          <w:lang w:val="en-US" w:eastAsia="zh-CN"/>
        </w:rPr>
        <w:t>2. 服务内容及要求</w:t>
      </w:r>
      <w:r>
        <w:rPr>
          <w:rFonts w:hint="default"/>
          <w:snapToGrid w:val="0"/>
          <w:color w:val="auto"/>
          <w:sz w:val="24"/>
          <w:szCs w:val="24"/>
          <w:highlight w:val="none"/>
          <w:lang w:val="en-US" w:eastAsia="zh-CN"/>
        </w:rPr>
        <w:t>/</w:t>
      </w:r>
      <w:r>
        <w:rPr>
          <w:rFonts w:hint="eastAsia"/>
          <w:snapToGrid w:val="0"/>
          <w:color w:val="auto"/>
          <w:sz w:val="24"/>
          <w:szCs w:val="24"/>
          <w:highlight w:val="none"/>
          <w:lang w:val="en-US" w:eastAsia="zh-CN"/>
        </w:rPr>
        <w:t xml:space="preserve">货物技术要求 </w:t>
      </w:r>
    </w:p>
    <w:p w14:paraId="08193B93">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2.1 </w:t>
      </w:r>
      <w:r>
        <w:rPr>
          <w:rFonts w:hint="eastAsia"/>
          <w:snapToGrid w:val="0"/>
          <w:color w:val="auto"/>
          <w:sz w:val="24"/>
          <w:szCs w:val="24"/>
          <w:highlight w:val="none"/>
          <w:lang w:val="en-US" w:eastAsia="zh-CN"/>
        </w:rPr>
        <w:t xml:space="preserve">采购标的需满足的性能、材料、结构、外观、质量、安全、技术规格、物理特性等要求 </w:t>
      </w:r>
    </w:p>
    <w:p w14:paraId="45197FA9">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2.2 </w:t>
      </w:r>
      <w:r>
        <w:rPr>
          <w:rFonts w:hint="eastAsia"/>
          <w:snapToGrid w:val="0"/>
          <w:color w:val="auto"/>
          <w:sz w:val="24"/>
          <w:szCs w:val="24"/>
          <w:highlight w:val="none"/>
          <w:lang w:val="en-US" w:eastAsia="zh-CN"/>
        </w:rPr>
        <w:t xml:space="preserve">采购标的需满足的服务标准、期限、效率等要求 </w:t>
      </w:r>
    </w:p>
    <w:p w14:paraId="08E75096">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2.3 </w:t>
      </w:r>
      <w:r>
        <w:rPr>
          <w:rFonts w:hint="eastAsia"/>
          <w:snapToGrid w:val="0"/>
          <w:color w:val="auto"/>
          <w:sz w:val="24"/>
          <w:szCs w:val="24"/>
          <w:highlight w:val="none"/>
          <w:lang w:val="en-US" w:eastAsia="zh-CN"/>
        </w:rPr>
        <w:t xml:space="preserve">为落实政府采购政策需满足的要求 </w:t>
      </w:r>
    </w:p>
    <w:p w14:paraId="6CBA7ADB">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2.4 </w:t>
      </w:r>
      <w:r>
        <w:rPr>
          <w:rFonts w:hint="eastAsia"/>
          <w:snapToGrid w:val="0"/>
          <w:color w:val="auto"/>
          <w:sz w:val="24"/>
          <w:szCs w:val="24"/>
          <w:highlight w:val="none"/>
          <w:lang w:val="en-US" w:eastAsia="zh-CN"/>
        </w:rPr>
        <w:t xml:space="preserve">采购标的的其他技术、服务等要求 </w:t>
      </w:r>
    </w:p>
    <w:p w14:paraId="052359C4">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2.5 </w:t>
      </w:r>
      <w:r>
        <w:rPr>
          <w:rFonts w:hint="eastAsia"/>
          <w:snapToGrid w:val="0"/>
          <w:color w:val="auto"/>
          <w:sz w:val="24"/>
          <w:szCs w:val="24"/>
          <w:highlight w:val="none"/>
          <w:lang w:val="en-US" w:eastAsia="zh-CN"/>
        </w:rPr>
        <w:t xml:space="preserve">需由供应商提供设计方案、解决方案或者组织方案的采购项目，应当说明采购标的的功能、应用场景、目标等基本要求 </w:t>
      </w:r>
    </w:p>
    <w:p w14:paraId="35E26B39">
      <w:pPr>
        <w:pStyle w:val="36"/>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088FCADA">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3. </w:t>
      </w:r>
      <w:r>
        <w:rPr>
          <w:rFonts w:hint="eastAsia"/>
          <w:snapToGrid w:val="0"/>
          <w:color w:val="auto"/>
          <w:sz w:val="24"/>
          <w:szCs w:val="24"/>
          <w:highlight w:val="none"/>
          <w:lang w:val="en-US" w:eastAsia="zh-CN"/>
        </w:rPr>
        <w:t xml:space="preserve">验收标准 </w:t>
      </w:r>
    </w:p>
    <w:p w14:paraId="6FD24ACB">
      <w:pPr>
        <w:pStyle w:val="36"/>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64474083">
      <w:pPr>
        <w:pStyle w:val="36"/>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4. </w:t>
      </w:r>
      <w:r>
        <w:rPr>
          <w:rFonts w:hint="eastAsia"/>
          <w:snapToGrid w:val="0"/>
          <w:color w:val="auto"/>
          <w:sz w:val="24"/>
          <w:szCs w:val="24"/>
          <w:highlight w:val="none"/>
          <w:lang w:val="en-US" w:eastAsia="zh-CN"/>
        </w:rPr>
        <w:t>其他要求【如有】</w:t>
      </w:r>
    </w:p>
    <w:p w14:paraId="087FBCED">
      <w:pPr>
        <w:pStyle w:val="54"/>
        <w:pageBreakBefore w:val="0"/>
        <w:shd w:val="clear" w:color="auto" w:fill="auto"/>
        <w:kinsoku/>
        <w:wordWrap/>
        <w:overflowPunct/>
        <w:topLinePunct w:val="0"/>
        <w:bidi w:val="0"/>
        <w:spacing w:line="360" w:lineRule="auto"/>
        <w:ind w:firstLine="424" w:firstLineChars="177"/>
        <w:rPr>
          <w:rFonts w:hint="eastAsia" w:ascii="宋体" w:hAnsi="宋体" w:eastAsia="宋体" w:cs="宋体"/>
          <w:color w:val="auto"/>
          <w:sz w:val="24"/>
          <w:highlight w:val="none"/>
          <w:lang w:val="en-US" w:eastAsia="zh-CN"/>
        </w:rPr>
      </w:pPr>
    </w:p>
    <w:bookmarkEnd w:id="324"/>
    <w:bookmarkEnd w:id="325"/>
    <w:p w14:paraId="7F89161E">
      <w:pPr>
        <w:pStyle w:val="54"/>
        <w:pageBreakBefore w:val="0"/>
        <w:shd w:val="clear" w:color="auto" w:fill="auto"/>
        <w:kinsoku/>
        <w:wordWrap/>
        <w:overflowPunct/>
        <w:topLinePunct w:val="0"/>
        <w:bidi w:val="0"/>
        <w:spacing w:line="360" w:lineRule="auto"/>
        <w:ind w:firstLine="424" w:firstLineChars="177"/>
        <w:rPr>
          <w:rFonts w:hint="eastAsia" w:ascii="宋体" w:hAnsi="宋体" w:eastAsia="宋体" w:cs="宋体"/>
          <w:color w:val="auto"/>
          <w:sz w:val="24"/>
          <w:highlight w:val="none"/>
        </w:rPr>
      </w:pPr>
    </w:p>
    <w:p w14:paraId="6401552E">
      <w:pPr>
        <w:pStyle w:val="54"/>
        <w:pageBreakBefore w:val="0"/>
        <w:shd w:val="clear" w:color="auto" w:fill="auto"/>
        <w:kinsoku/>
        <w:wordWrap/>
        <w:overflowPunct/>
        <w:topLinePunct w:val="0"/>
        <w:bidi w:val="0"/>
        <w:spacing w:line="360" w:lineRule="auto"/>
        <w:ind w:firstLine="424" w:firstLineChars="177"/>
        <w:rPr>
          <w:rFonts w:hint="eastAsia" w:ascii="宋体" w:hAnsi="宋体" w:eastAsia="宋体" w:cs="宋体"/>
          <w:color w:val="auto"/>
          <w:sz w:val="24"/>
          <w:highlight w:val="none"/>
        </w:rPr>
      </w:pPr>
    </w:p>
    <w:p w14:paraId="1EC5B892">
      <w:pPr>
        <w:pStyle w:val="54"/>
        <w:pageBreakBefore w:val="0"/>
        <w:shd w:val="clear" w:color="auto" w:fill="auto"/>
        <w:kinsoku/>
        <w:wordWrap/>
        <w:overflowPunct/>
        <w:topLinePunct w:val="0"/>
        <w:bidi w:val="0"/>
        <w:spacing w:line="360" w:lineRule="auto"/>
        <w:ind w:firstLine="424" w:firstLineChars="177"/>
        <w:rPr>
          <w:rFonts w:hint="eastAsia" w:ascii="宋体" w:hAnsi="宋体" w:eastAsia="宋体" w:cs="宋体"/>
          <w:color w:val="auto"/>
          <w:sz w:val="24"/>
          <w:highlight w:val="none"/>
        </w:rPr>
      </w:pPr>
    </w:p>
    <w:p w14:paraId="08BEC8F1">
      <w:pPr>
        <w:pStyle w:val="10"/>
        <w:rPr>
          <w:rFonts w:hint="eastAsia"/>
          <w:color w:val="auto"/>
          <w:highlight w:val="none"/>
          <w:lang w:val="zh-CN" w:eastAsia="zh-CN"/>
        </w:rPr>
      </w:pPr>
    </w:p>
    <w:p w14:paraId="6711D9E9">
      <w:pPr>
        <w:pStyle w:val="10"/>
        <w:rPr>
          <w:rFonts w:hint="eastAsia"/>
          <w:color w:val="auto"/>
          <w:highlight w:val="none"/>
          <w:lang w:val="zh-CN" w:eastAsia="zh-CN"/>
        </w:rPr>
      </w:pPr>
    </w:p>
    <w:p w14:paraId="11B227F7">
      <w:pPr>
        <w:pStyle w:val="2"/>
        <w:keepNext/>
        <w:keepLines/>
        <w:pageBreakBefore w:val="0"/>
        <w:widowControl w:val="0"/>
        <w:numPr>
          <w:ilvl w:val="0"/>
          <w:numId w:val="0"/>
        </w:numPr>
        <w:kinsoku/>
        <w:wordWrap/>
        <w:overflowPunct/>
        <w:topLinePunct w:val="0"/>
        <w:autoSpaceDE/>
        <w:autoSpaceDN/>
        <w:bidi w:val="0"/>
        <w:adjustRightInd/>
        <w:snapToGrid/>
        <w:spacing w:before="100" w:after="60" w:line="36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326" w:name="_Toc155185895"/>
      <w:bookmarkStart w:id="327" w:name="_Toc20175"/>
      <w:bookmarkStart w:id="328" w:name="_Toc12673"/>
      <w:r>
        <w:rPr>
          <w:rFonts w:hint="eastAsia" w:ascii="宋体" w:hAnsi="宋体" w:eastAsia="宋体" w:cs="宋体"/>
          <w:b/>
          <w:bCs/>
          <w:color w:val="auto"/>
          <w:kern w:val="44"/>
          <w:sz w:val="36"/>
          <w:szCs w:val="36"/>
          <w:highlight w:val="none"/>
          <w:lang w:val="en-US" w:eastAsia="zh-CN" w:bidi="ar-SA"/>
        </w:rPr>
        <w:t>第四章 资格审查</w:t>
      </w:r>
      <w:bookmarkEnd w:id="326"/>
      <w:bookmarkEnd w:id="327"/>
      <w:bookmarkEnd w:id="328"/>
    </w:p>
    <w:p w14:paraId="2133133E">
      <w:pPr>
        <w:pStyle w:val="3"/>
        <w:keepNext/>
        <w:keepLines/>
        <w:pageBreakBefore w:val="0"/>
        <w:widowControl w:val="0"/>
        <w:numPr>
          <w:ilvl w:val="0"/>
          <w:numId w:val="0"/>
        </w:numPr>
        <w:kinsoku/>
        <w:wordWrap/>
        <w:overflowPunct/>
        <w:topLinePunct w:val="0"/>
        <w:autoSpaceDE/>
        <w:autoSpaceDN/>
        <w:bidi w:val="0"/>
        <w:adjustRightInd/>
        <w:snapToGrid/>
        <w:spacing w:before="60" w:after="60" w:line="360" w:lineRule="auto"/>
        <w:ind w:left="420" w:leftChars="0" w:hanging="420" w:firstLineChars="0"/>
        <w:textAlignment w:val="auto"/>
        <w:rPr>
          <w:rFonts w:hint="eastAsia"/>
          <w:color w:val="auto"/>
          <w:sz w:val="28"/>
          <w:szCs w:val="28"/>
          <w:highlight w:val="none"/>
          <w:lang w:val="zh-CN" w:eastAsia="zh-CN"/>
        </w:rPr>
      </w:pPr>
      <w:bookmarkStart w:id="329" w:name="_Toc20891"/>
      <w:bookmarkStart w:id="330" w:name="_Toc1697"/>
      <w:r>
        <w:rPr>
          <w:rFonts w:hint="eastAsia"/>
          <w:color w:val="auto"/>
          <w:sz w:val="28"/>
          <w:szCs w:val="28"/>
          <w:highlight w:val="none"/>
          <w:lang w:val="en-US" w:eastAsia="zh-CN"/>
        </w:rPr>
        <w:t>一、资格审查程序</w:t>
      </w:r>
      <w:bookmarkEnd w:id="329"/>
      <w:bookmarkEnd w:id="330"/>
      <w:r>
        <w:rPr>
          <w:rFonts w:hint="eastAsia"/>
          <w:color w:val="auto"/>
          <w:sz w:val="28"/>
          <w:szCs w:val="28"/>
          <w:highlight w:val="none"/>
          <w:lang w:val="en-US" w:eastAsia="zh-CN"/>
        </w:rPr>
        <w:t xml:space="preserve"> </w:t>
      </w:r>
    </w:p>
    <w:p w14:paraId="4E4090D3">
      <w:pPr>
        <w:pStyle w:val="36"/>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color w:val="auto"/>
          <w:highlight w:val="none"/>
        </w:rPr>
      </w:pPr>
      <w:r>
        <w:rPr>
          <w:rFonts w:hint="eastAsia"/>
          <w:color w:val="auto"/>
          <w:highlight w:val="none"/>
          <w:lang w:val="en-US" w:eastAsia="zh-CN"/>
        </w:rPr>
        <w:t xml:space="preserve">1 开标结束后，采购人或采购代理机构将根据《资格审查要求》中的规定，对投标人进行资格审查，并形成资格审查结果。 </w:t>
      </w:r>
    </w:p>
    <w:p w14:paraId="62799CDE">
      <w:pPr>
        <w:pStyle w:val="36"/>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color w:val="auto"/>
          <w:highlight w:val="none"/>
        </w:rPr>
      </w:pPr>
      <w:r>
        <w:rPr>
          <w:rFonts w:hint="default"/>
          <w:color w:val="auto"/>
          <w:highlight w:val="none"/>
          <w:lang w:val="en-US" w:eastAsia="zh-CN"/>
        </w:rPr>
        <w:t xml:space="preserve">2 </w:t>
      </w:r>
      <w:r>
        <w:rPr>
          <w:rFonts w:hint="eastAsia"/>
          <w:color w:val="auto"/>
          <w:highlight w:val="none"/>
          <w:lang w:val="en-US" w:eastAsia="zh-CN"/>
        </w:rPr>
        <w:t>投标人《资格证明文件》有任何一项不符合《资格审查要求》的，资格审查不合格，其</w:t>
      </w:r>
      <w:r>
        <w:rPr>
          <w:rFonts w:hint="eastAsia"/>
          <w:b/>
          <w:bCs/>
          <w:color w:val="auto"/>
          <w:highlight w:val="none"/>
          <w:lang w:val="en-US" w:eastAsia="zh-CN"/>
        </w:rPr>
        <w:t>投标无效</w:t>
      </w:r>
      <w:r>
        <w:rPr>
          <w:rFonts w:hint="eastAsia"/>
          <w:color w:val="auto"/>
          <w:highlight w:val="none"/>
          <w:lang w:val="en-US" w:eastAsia="zh-CN"/>
        </w:rPr>
        <w:t xml:space="preserve">。 </w:t>
      </w:r>
    </w:p>
    <w:p w14:paraId="37E914D8">
      <w:pPr>
        <w:pStyle w:val="36"/>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color w:val="auto"/>
          <w:highlight w:val="none"/>
        </w:rPr>
      </w:pPr>
      <w:r>
        <w:rPr>
          <w:rFonts w:hint="eastAsia"/>
          <w:color w:val="auto"/>
          <w:highlight w:val="none"/>
          <w:lang w:val="en-US" w:eastAsia="zh-CN"/>
        </w:rPr>
        <w:t>3</w:t>
      </w:r>
      <w:r>
        <w:rPr>
          <w:rFonts w:hint="default"/>
          <w:color w:val="auto"/>
          <w:highlight w:val="none"/>
          <w:lang w:val="en-US" w:eastAsia="zh-CN"/>
        </w:rPr>
        <w:t xml:space="preserve"> </w:t>
      </w:r>
      <w:r>
        <w:rPr>
          <w:rFonts w:hint="eastAsia"/>
          <w:color w:val="auto"/>
          <w:highlight w:val="none"/>
          <w:lang w:val="en-US" w:eastAsia="zh-CN"/>
        </w:rPr>
        <w:t xml:space="preserve">资格审查合格的投标人不足 </w:t>
      </w:r>
      <w:r>
        <w:rPr>
          <w:rFonts w:hint="default"/>
          <w:color w:val="auto"/>
          <w:highlight w:val="none"/>
          <w:lang w:val="en-US" w:eastAsia="zh-CN"/>
        </w:rPr>
        <w:t xml:space="preserve">3 </w:t>
      </w:r>
      <w:r>
        <w:rPr>
          <w:rFonts w:hint="eastAsia"/>
          <w:color w:val="auto"/>
          <w:highlight w:val="none"/>
          <w:lang w:val="en-US" w:eastAsia="zh-CN"/>
        </w:rPr>
        <w:t xml:space="preserve">家的，不进行评标。 </w:t>
      </w:r>
    </w:p>
    <w:p w14:paraId="1720E868">
      <w:pPr>
        <w:pStyle w:val="3"/>
        <w:keepNext/>
        <w:keepLines/>
        <w:pageBreakBefore w:val="0"/>
        <w:widowControl w:val="0"/>
        <w:numPr>
          <w:ilvl w:val="0"/>
          <w:numId w:val="0"/>
        </w:numPr>
        <w:kinsoku/>
        <w:wordWrap/>
        <w:overflowPunct/>
        <w:topLinePunct w:val="0"/>
        <w:autoSpaceDE/>
        <w:autoSpaceDN/>
        <w:bidi w:val="0"/>
        <w:adjustRightInd/>
        <w:snapToGrid/>
        <w:spacing w:before="60" w:after="60" w:line="360" w:lineRule="auto"/>
        <w:ind w:left="420" w:leftChars="0" w:hanging="420" w:firstLineChars="0"/>
        <w:textAlignment w:val="auto"/>
        <w:rPr>
          <w:rFonts w:hint="eastAsia"/>
          <w:color w:val="auto"/>
          <w:sz w:val="28"/>
          <w:szCs w:val="28"/>
          <w:highlight w:val="none"/>
          <w:lang w:val="en-US" w:eastAsia="zh-CN"/>
        </w:rPr>
      </w:pPr>
      <w:bookmarkStart w:id="331" w:name="_Toc17193"/>
      <w:bookmarkStart w:id="332" w:name="_Toc8998"/>
      <w:r>
        <w:rPr>
          <w:rFonts w:hint="eastAsia"/>
          <w:color w:val="auto"/>
          <w:sz w:val="28"/>
          <w:szCs w:val="28"/>
          <w:highlight w:val="none"/>
          <w:lang w:val="en-US" w:eastAsia="zh-CN"/>
        </w:rPr>
        <w:t>二、资格审查要求</w:t>
      </w:r>
      <w:bookmarkEnd w:id="331"/>
      <w:bookmarkEnd w:id="332"/>
      <w:r>
        <w:rPr>
          <w:rFonts w:hint="eastAsia"/>
          <w:color w:val="auto"/>
          <w:sz w:val="28"/>
          <w:szCs w:val="28"/>
          <w:highlight w:val="none"/>
          <w:lang w:val="en-US" w:eastAsia="zh-CN"/>
        </w:rPr>
        <w:t xml:space="preserve"> </w:t>
      </w:r>
    </w:p>
    <w:tbl>
      <w:tblPr>
        <w:tblStyle w:val="29"/>
        <w:tblW w:w="56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821"/>
        <w:gridCol w:w="1818"/>
        <w:gridCol w:w="5383"/>
        <w:gridCol w:w="1602"/>
      </w:tblGrid>
      <w:tr w14:paraId="4C40C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426" w:type="pct"/>
            <w:shd w:val="clear" w:color="auto" w:fill="D8D8D8" w:themeFill="background1" w:themeFillShade="D9"/>
            <w:vAlign w:val="center"/>
          </w:tcPr>
          <w:p w14:paraId="31F150F3">
            <w:pPr>
              <w:pStyle w:val="4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944" w:type="pct"/>
            <w:shd w:val="clear" w:color="auto" w:fill="D8D8D8" w:themeFill="background1" w:themeFillShade="D9"/>
            <w:vAlign w:val="center"/>
          </w:tcPr>
          <w:p w14:paraId="29694278">
            <w:pPr>
              <w:pStyle w:val="48"/>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审查因素</w:t>
            </w:r>
          </w:p>
        </w:tc>
        <w:tc>
          <w:tcPr>
            <w:tcW w:w="2795" w:type="pct"/>
            <w:shd w:val="clear" w:color="auto" w:fill="D8D8D8" w:themeFill="background1" w:themeFillShade="D9"/>
            <w:vAlign w:val="center"/>
          </w:tcPr>
          <w:p w14:paraId="635BC09B">
            <w:pPr>
              <w:pStyle w:val="48"/>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审查内容</w:t>
            </w:r>
          </w:p>
        </w:tc>
        <w:tc>
          <w:tcPr>
            <w:tcW w:w="832" w:type="pct"/>
            <w:shd w:val="clear" w:color="auto" w:fill="D8D8D8" w:themeFill="background1" w:themeFillShade="D9"/>
            <w:vAlign w:val="center"/>
          </w:tcPr>
          <w:p w14:paraId="6075A15A">
            <w:pPr>
              <w:pStyle w:val="48"/>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格式要求</w:t>
            </w:r>
          </w:p>
        </w:tc>
      </w:tr>
      <w:tr w14:paraId="69698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848" w:hRule="atLeast"/>
          <w:jc w:val="center"/>
        </w:trPr>
        <w:tc>
          <w:tcPr>
            <w:tcW w:w="426" w:type="pct"/>
            <w:shd w:val="clear" w:color="auto" w:fill="FFFFFF" w:themeFill="background1"/>
            <w:vAlign w:val="center"/>
          </w:tcPr>
          <w:p w14:paraId="636EB3B4">
            <w:pPr>
              <w:pStyle w:val="48"/>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p>
        </w:tc>
        <w:tc>
          <w:tcPr>
            <w:tcW w:w="944" w:type="pct"/>
            <w:shd w:val="clear" w:color="auto" w:fill="FFFFFF" w:themeFill="background1"/>
            <w:vAlign w:val="center"/>
          </w:tcPr>
          <w:p w14:paraId="267C167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满足《政府采购 </w:t>
            </w:r>
          </w:p>
          <w:p w14:paraId="58A237A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法》第二十二条 </w:t>
            </w:r>
          </w:p>
          <w:p w14:paraId="4DBD559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规定</w:t>
            </w:r>
          </w:p>
        </w:tc>
        <w:tc>
          <w:tcPr>
            <w:tcW w:w="2795" w:type="pct"/>
            <w:shd w:val="clear" w:color="auto" w:fill="FFFFFF" w:themeFill="background1"/>
            <w:vAlign w:val="center"/>
          </w:tcPr>
          <w:p w14:paraId="215E0855">
            <w:pPr>
              <w:pStyle w:val="48"/>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具体规定见“第一章 招标公告”</w:t>
            </w:r>
          </w:p>
        </w:tc>
        <w:tc>
          <w:tcPr>
            <w:tcW w:w="832" w:type="pct"/>
            <w:shd w:val="clear" w:color="auto" w:fill="FFFFFF" w:themeFill="background1"/>
            <w:vAlign w:val="center"/>
          </w:tcPr>
          <w:p w14:paraId="24AF5599">
            <w:pPr>
              <w:pStyle w:val="48"/>
              <w:jc w:val="center"/>
              <w:rPr>
                <w:rFonts w:hint="eastAsia" w:ascii="宋体" w:hAnsi="宋体" w:eastAsia="宋体" w:cs="宋体"/>
                <w:b/>
                <w:bCs/>
                <w:color w:val="auto"/>
                <w:sz w:val="24"/>
                <w:szCs w:val="24"/>
                <w:highlight w:val="none"/>
              </w:rPr>
            </w:pPr>
          </w:p>
        </w:tc>
      </w:tr>
      <w:tr w14:paraId="26E76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536" w:hRule="atLeast"/>
          <w:jc w:val="center"/>
        </w:trPr>
        <w:tc>
          <w:tcPr>
            <w:tcW w:w="426" w:type="pct"/>
            <w:shd w:val="clear" w:color="auto" w:fill="FFFFFF" w:themeFill="background1"/>
            <w:vAlign w:val="center"/>
          </w:tcPr>
          <w:p w14:paraId="1AF8CF7F">
            <w:pPr>
              <w:pStyle w:val="48"/>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w:t>
            </w:r>
          </w:p>
        </w:tc>
        <w:tc>
          <w:tcPr>
            <w:tcW w:w="944" w:type="pct"/>
            <w:shd w:val="clear" w:color="auto" w:fill="FFFFFF" w:themeFill="background1"/>
            <w:vAlign w:val="center"/>
          </w:tcPr>
          <w:p w14:paraId="055CD5DC">
            <w:pPr>
              <w:pStyle w:val="48"/>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营业执照等证明文件</w:t>
            </w:r>
          </w:p>
        </w:tc>
        <w:tc>
          <w:tcPr>
            <w:tcW w:w="2795" w:type="pct"/>
            <w:shd w:val="clear" w:color="auto" w:fill="FFFFFF" w:themeFill="background1"/>
            <w:vAlign w:val="center"/>
          </w:tcPr>
          <w:p w14:paraId="7DB1C26A">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auto"/>
                <w:spacing w:val="-6"/>
                <w:kern w:val="0"/>
                <w:sz w:val="24"/>
                <w:szCs w:val="24"/>
                <w:highlight w:val="none"/>
                <w:lang w:val="en-US" w:eastAsia="zh-CN" w:bidi="ar"/>
              </w:rPr>
            </w:pPr>
            <w:r>
              <w:rPr>
                <w:rFonts w:hint="eastAsia" w:ascii="宋体" w:hAnsi="宋体" w:eastAsia="宋体" w:cs="宋体"/>
                <w:color w:val="auto"/>
                <w:spacing w:val="-6"/>
                <w:kern w:val="0"/>
                <w:sz w:val="24"/>
                <w:szCs w:val="24"/>
                <w:highlight w:val="none"/>
                <w:lang w:val="en-US" w:eastAsia="zh-CN" w:bidi="ar"/>
              </w:rPr>
              <w:t xml:space="preserve">投标人为企业（包括合伙企业）的，应提供有效的“营业执照”； </w:t>
            </w:r>
          </w:p>
          <w:p w14:paraId="693E34B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auto"/>
                <w:spacing w:val="-6"/>
                <w:kern w:val="0"/>
                <w:sz w:val="24"/>
                <w:szCs w:val="24"/>
                <w:highlight w:val="none"/>
                <w:lang w:val="en-US" w:eastAsia="zh-CN" w:bidi="ar"/>
              </w:rPr>
            </w:pPr>
            <w:r>
              <w:rPr>
                <w:rFonts w:hint="eastAsia" w:ascii="宋体" w:hAnsi="宋体" w:eastAsia="宋体" w:cs="宋体"/>
                <w:color w:val="auto"/>
                <w:spacing w:val="-6"/>
                <w:kern w:val="0"/>
                <w:sz w:val="24"/>
                <w:szCs w:val="24"/>
                <w:highlight w:val="none"/>
                <w:lang w:val="en-US" w:eastAsia="zh-CN" w:bidi="ar"/>
              </w:rPr>
              <w:t xml:space="preserve">投标人为事业单位的，应提供有效的“事业单位法人证书” ； </w:t>
            </w:r>
          </w:p>
          <w:p w14:paraId="0BB3751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auto"/>
                <w:spacing w:val="-6"/>
                <w:kern w:val="0"/>
                <w:sz w:val="24"/>
                <w:szCs w:val="24"/>
                <w:highlight w:val="none"/>
                <w:lang w:val="en-US" w:eastAsia="zh-CN" w:bidi="ar"/>
              </w:rPr>
            </w:pPr>
            <w:r>
              <w:rPr>
                <w:rFonts w:hint="eastAsia" w:ascii="宋体" w:hAnsi="宋体" w:eastAsia="宋体" w:cs="宋体"/>
                <w:color w:val="auto"/>
                <w:spacing w:val="-6"/>
                <w:kern w:val="0"/>
                <w:sz w:val="24"/>
                <w:szCs w:val="24"/>
                <w:highlight w:val="none"/>
                <w:lang w:val="en-US" w:eastAsia="zh-CN" w:bidi="ar"/>
              </w:rPr>
              <w:t xml:space="preserve">投标人是非企业机构的，应提供有效的“执业许可证”、“登记证书”等证明文件； </w:t>
            </w:r>
          </w:p>
          <w:p w14:paraId="0667B6C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auto"/>
                <w:spacing w:val="-6"/>
                <w:kern w:val="0"/>
                <w:sz w:val="24"/>
                <w:szCs w:val="24"/>
                <w:highlight w:val="none"/>
                <w:lang w:val="en-US" w:eastAsia="zh-CN" w:bidi="ar"/>
              </w:rPr>
            </w:pPr>
            <w:r>
              <w:rPr>
                <w:rFonts w:hint="eastAsia" w:ascii="宋体" w:hAnsi="宋体" w:eastAsia="宋体" w:cs="宋体"/>
                <w:color w:val="auto"/>
                <w:spacing w:val="-6"/>
                <w:kern w:val="0"/>
                <w:sz w:val="24"/>
                <w:szCs w:val="24"/>
                <w:highlight w:val="none"/>
                <w:lang w:val="en-US" w:eastAsia="zh-CN" w:bidi="ar"/>
              </w:rPr>
              <w:t xml:space="preserve">投标人是个体工商户的，应提供有效的“个体工商户营业执照”； </w:t>
            </w:r>
          </w:p>
          <w:p w14:paraId="3CB6034C">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auto"/>
                <w:spacing w:val="-6"/>
                <w:kern w:val="0"/>
                <w:sz w:val="24"/>
                <w:szCs w:val="24"/>
                <w:highlight w:val="none"/>
                <w:lang w:val="en-US" w:eastAsia="zh-CN" w:bidi="ar"/>
              </w:rPr>
            </w:pPr>
            <w:r>
              <w:rPr>
                <w:rFonts w:hint="eastAsia" w:ascii="宋体" w:hAnsi="宋体" w:eastAsia="宋体" w:cs="宋体"/>
                <w:color w:val="auto"/>
                <w:spacing w:val="-6"/>
                <w:kern w:val="0"/>
                <w:sz w:val="24"/>
                <w:szCs w:val="24"/>
                <w:highlight w:val="none"/>
                <w:lang w:val="en-US" w:eastAsia="zh-CN" w:bidi="ar"/>
              </w:rPr>
              <w:t>投标人是自然人的，应提供有效的自然人身份证明。</w:t>
            </w:r>
          </w:p>
        </w:tc>
        <w:tc>
          <w:tcPr>
            <w:tcW w:w="832" w:type="pct"/>
            <w:shd w:val="clear" w:color="auto" w:fill="FFFFFF" w:themeFill="background1"/>
            <w:vAlign w:val="center"/>
          </w:tcPr>
          <w:p w14:paraId="60CD4B8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提供证明文件的电子件或电子证照</w:t>
            </w:r>
          </w:p>
        </w:tc>
      </w:tr>
      <w:tr w14:paraId="1900C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32" w:hRule="atLeast"/>
          <w:jc w:val="center"/>
        </w:trPr>
        <w:tc>
          <w:tcPr>
            <w:tcW w:w="426" w:type="pct"/>
            <w:shd w:val="clear" w:color="auto" w:fill="FFFFFF" w:themeFill="background1"/>
            <w:vAlign w:val="center"/>
          </w:tcPr>
          <w:p w14:paraId="5ED225DA">
            <w:pPr>
              <w:pStyle w:val="48"/>
              <w:jc w:val="center"/>
              <w:rPr>
                <w:rFonts w:hint="default" w:ascii="宋体" w:hAnsi="宋体" w:eastAsia="宋体" w:cs="宋体"/>
                <w:b/>
                <w:bCs/>
                <w:color w:val="auto"/>
                <w:sz w:val="24"/>
                <w:szCs w:val="24"/>
                <w:highlight w:val="none"/>
                <w:lang w:val="en-US" w:eastAsia="zh-CN"/>
              </w:rPr>
            </w:pPr>
            <w:r>
              <w:rPr>
                <w:rFonts w:hint="eastAsia" w:cs="宋体"/>
                <w:b/>
                <w:bCs/>
                <w:color w:val="auto"/>
                <w:sz w:val="24"/>
                <w:szCs w:val="24"/>
                <w:highlight w:val="none"/>
                <w:lang w:val="en-US" w:eastAsia="zh-CN"/>
              </w:rPr>
              <w:t>1-2</w:t>
            </w:r>
          </w:p>
        </w:tc>
        <w:tc>
          <w:tcPr>
            <w:tcW w:w="944" w:type="pct"/>
            <w:shd w:val="clear" w:color="auto" w:fill="FFFFFF" w:themeFill="background1"/>
            <w:vAlign w:val="center"/>
          </w:tcPr>
          <w:p w14:paraId="469313BB">
            <w:pPr>
              <w:pStyle w:val="48"/>
              <w:keepNext w:val="0"/>
              <w:keepLines w:val="0"/>
              <w:pageBreakBefore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投标人信用承诺</w:t>
            </w:r>
          </w:p>
        </w:tc>
        <w:tc>
          <w:tcPr>
            <w:tcW w:w="2795" w:type="pct"/>
            <w:shd w:val="clear" w:color="auto" w:fill="FFFFFF" w:themeFill="background1"/>
            <w:vAlign w:val="center"/>
          </w:tcPr>
          <w:p w14:paraId="433115D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auto"/>
                <w:spacing w:val="-11"/>
                <w:kern w:val="0"/>
                <w:sz w:val="24"/>
                <w:szCs w:val="24"/>
                <w:highlight w:val="none"/>
                <w:lang w:val="en-US" w:eastAsia="zh-CN" w:bidi="ar"/>
              </w:rPr>
            </w:pPr>
            <w:r>
              <w:rPr>
                <w:rFonts w:hint="eastAsia" w:ascii="宋体" w:hAnsi="宋体" w:eastAsia="宋体" w:cs="宋体"/>
                <w:color w:val="auto"/>
                <w:sz w:val="24"/>
                <w:szCs w:val="24"/>
                <w:highlight w:val="none"/>
                <w:lang w:val="en-US" w:eastAsia="zh-CN"/>
              </w:rPr>
              <w:t>具体要求见“第一章 招标公告”</w:t>
            </w:r>
          </w:p>
        </w:tc>
        <w:tc>
          <w:tcPr>
            <w:tcW w:w="832" w:type="pct"/>
            <w:shd w:val="clear" w:color="auto" w:fill="FFFFFF" w:themeFill="background1"/>
            <w:vAlign w:val="center"/>
          </w:tcPr>
          <w:p w14:paraId="7136DFE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4"/>
                <w:szCs w:val="24"/>
                <w:highlight w:val="none"/>
                <w:lang w:val="en-US" w:eastAsia="zh-CN" w:bidi="ar"/>
              </w:rPr>
            </w:pPr>
          </w:p>
        </w:tc>
      </w:tr>
      <w:tr w14:paraId="5486F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836" w:hRule="atLeast"/>
          <w:jc w:val="center"/>
        </w:trPr>
        <w:tc>
          <w:tcPr>
            <w:tcW w:w="426" w:type="pct"/>
            <w:shd w:val="clear" w:color="auto" w:fill="FFFFFF" w:themeFill="background1"/>
            <w:vAlign w:val="center"/>
          </w:tcPr>
          <w:p w14:paraId="1B6B10C6">
            <w:pPr>
              <w:pStyle w:val="48"/>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w:t>
            </w:r>
            <w:r>
              <w:rPr>
                <w:rFonts w:hint="eastAsia" w:cs="宋体"/>
                <w:b/>
                <w:bCs/>
                <w:color w:val="auto"/>
                <w:sz w:val="24"/>
                <w:szCs w:val="24"/>
                <w:highlight w:val="none"/>
                <w:lang w:val="en-US" w:eastAsia="zh-CN"/>
              </w:rPr>
              <w:t>-1</w:t>
            </w:r>
          </w:p>
        </w:tc>
        <w:tc>
          <w:tcPr>
            <w:tcW w:w="944" w:type="pct"/>
            <w:shd w:val="clear" w:color="auto" w:fill="FFFFFF" w:themeFill="background1"/>
            <w:vAlign w:val="center"/>
          </w:tcPr>
          <w:p w14:paraId="1BD0E12D">
            <w:pPr>
              <w:pStyle w:val="48"/>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投标人信用承诺函</w:t>
            </w:r>
          </w:p>
        </w:tc>
        <w:tc>
          <w:tcPr>
            <w:tcW w:w="2795" w:type="pct"/>
            <w:shd w:val="clear" w:color="auto" w:fill="FFFFFF" w:themeFill="background1"/>
            <w:vAlign w:val="center"/>
          </w:tcPr>
          <w:p w14:paraId="041E784F">
            <w:pPr>
              <w:pStyle w:val="48"/>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提供了符合招标文件要求的《兵团政府采购供应商信用承诺函》。</w:t>
            </w:r>
          </w:p>
        </w:tc>
        <w:tc>
          <w:tcPr>
            <w:tcW w:w="832" w:type="pct"/>
            <w:shd w:val="clear" w:color="auto" w:fill="FFFFFF" w:themeFill="background1"/>
            <w:vAlign w:val="center"/>
          </w:tcPr>
          <w:p w14:paraId="1422A2B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格式见《第七章 投标文件格式》</w:t>
            </w:r>
          </w:p>
        </w:tc>
      </w:tr>
      <w:tr w14:paraId="0881D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344" w:hRule="atLeast"/>
          <w:jc w:val="center"/>
        </w:trPr>
        <w:tc>
          <w:tcPr>
            <w:tcW w:w="426" w:type="pct"/>
            <w:shd w:val="clear" w:color="auto" w:fill="FFFFFF" w:themeFill="background1"/>
            <w:vAlign w:val="center"/>
          </w:tcPr>
          <w:p w14:paraId="0A4E48AD">
            <w:pPr>
              <w:pStyle w:val="48"/>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r>
              <w:rPr>
                <w:rFonts w:hint="eastAsia" w:cs="宋体"/>
                <w:b/>
                <w:bCs/>
                <w:color w:val="auto"/>
                <w:sz w:val="24"/>
                <w:szCs w:val="24"/>
                <w:highlight w:val="none"/>
                <w:lang w:val="en-US" w:eastAsia="zh-CN"/>
              </w:rPr>
              <w:t>2-2</w:t>
            </w:r>
          </w:p>
        </w:tc>
        <w:tc>
          <w:tcPr>
            <w:tcW w:w="944" w:type="pct"/>
            <w:shd w:val="clear" w:color="auto" w:fill="FFFFFF" w:themeFill="background1"/>
            <w:vAlign w:val="center"/>
          </w:tcPr>
          <w:p w14:paraId="6F347850">
            <w:pPr>
              <w:pStyle w:val="48"/>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投标人信用记录</w:t>
            </w:r>
          </w:p>
        </w:tc>
        <w:tc>
          <w:tcPr>
            <w:tcW w:w="2795" w:type="pct"/>
            <w:shd w:val="clear" w:color="auto" w:fill="FFFFFF" w:themeFill="background1"/>
            <w:vAlign w:val="center"/>
          </w:tcPr>
          <w:p w14:paraId="747BCCCD">
            <w:pPr>
              <w:pStyle w:val="48"/>
              <w:jc w:val="both"/>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 xml:space="preserve">查询渠道：信用中国网站和中国政府采购网（ </w:t>
            </w:r>
          </w:p>
          <w:p w14:paraId="4D80C076">
            <w:pPr>
              <w:pStyle w:val="48"/>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6"/>
                <w:sz w:val="24"/>
                <w:szCs w:val="24"/>
                <w:highlight w:val="none"/>
                <w:lang w:val="en-US" w:eastAsia="zh-CN"/>
              </w:rPr>
              <w:t>www.creditchina.gov.cn 、www.ccgp.gov.cn）；</w:t>
            </w:r>
            <w:r>
              <w:rPr>
                <w:rFonts w:hint="eastAsia" w:ascii="宋体" w:hAnsi="宋体" w:eastAsia="宋体" w:cs="宋体"/>
                <w:color w:val="auto"/>
                <w:sz w:val="24"/>
                <w:szCs w:val="24"/>
                <w:highlight w:val="none"/>
                <w:lang w:val="en-US" w:eastAsia="zh-CN"/>
              </w:rPr>
              <w:t xml:space="preserve"> </w:t>
            </w:r>
          </w:p>
          <w:p w14:paraId="496D1252">
            <w:pPr>
              <w:pStyle w:val="48"/>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截止时点：投标截止时间以后、资格审查阶段采购人或采购代理机构的实际查询时间； </w:t>
            </w:r>
          </w:p>
          <w:p w14:paraId="2F28F46E">
            <w:pPr>
              <w:pStyle w:val="48"/>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信用信息查询记录和证据留存具体方式：查询结果网页打印页作为查询记录和证据，与其他采购文件一并保存； </w:t>
            </w:r>
          </w:p>
          <w:p w14:paraId="1A0058F5">
            <w:pPr>
              <w:pStyle w:val="48"/>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6"/>
                <w:sz w:val="24"/>
                <w:szCs w:val="24"/>
                <w:highlight w:val="none"/>
                <w:lang w:val="en-US" w:eastAsia="zh-CN"/>
              </w:rPr>
              <w:t>信用信息的使用原则：经认定的被列入失信被执行人、重大税收违法失信主体、政府采购严重违法失信行为记录名单的投标人，其</w:t>
            </w:r>
            <w:r>
              <w:rPr>
                <w:rFonts w:hint="eastAsia" w:ascii="宋体" w:hAnsi="宋体" w:eastAsia="宋体" w:cs="宋体"/>
                <w:b/>
                <w:bCs/>
                <w:color w:val="auto"/>
                <w:spacing w:val="-6"/>
                <w:sz w:val="24"/>
                <w:szCs w:val="24"/>
                <w:highlight w:val="none"/>
                <w:lang w:val="en-US" w:eastAsia="zh-CN"/>
              </w:rPr>
              <w:t>投标无效</w:t>
            </w:r>
            <w:r>
              <w:rPr>
                <w:rFonts w:hint="eastAsia" w:ascii="宋体" w:hAnsi="宋体" w:eastAsia="宋体" w:cs="宋体"/>
                <w:color w:val="auto"/>
                <w:spacing w:val="-6"/>
                <w:sz w:val="24"/>
                <w:szCs w:val="24"/>
                <w:highlight w:val="none"/>
                <w:lang w:val="en-US" w:eastAsia="zh-CN"/>
              </w:rPr>
              <w:t>。联合体形式投标的，联合体成员存在不良信用记录，视同联合体存在不良信用记录。</w:t>
            </w:r>
          </w:p>
        </w:tc>
        <w:tc>
          <w:tcPr>
            <w:tcW w:w="832" w:type="pct"/>
            <w:shd w:val="clear" w:color="auto" w:fill="FFFFFF" w:themeFill="background1"/>
            <w:vAlign w:val="center"/>
          </w:tcPr>
          <w:p w14:paraId="41CEE03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无须投标人提供，由采购人或采购代理机构查询。</w:t>
            </w:r>
          </w:p>
          <w:p w14:paraId="0D14032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4"/>
                <w:szCs w:val="24"/>
                <w:highlight w:val="none"/>
                <w:lang w:val="en-US" w:eastAsia="zh-CN" w:bidi="ar"/>
              </w:rPr>
            </w:pPr>
          </w:p>
        </w:tc>
      </w:tr>
      <w:tr w14:paraId="7DDB6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20" w:hRule="atLeast"/>
          <w:jc w:val="center"/>
        </w:trPr>
        <w:tc>
          <w:tcPr>
            <w:tcW w:w="426" w:type="pct"/>
            <w:shd w:val="clear" w:color="auto" w:fill="FFFFFF" w:themeFill="background1"/>
            <w:vAlign w:val="center"/>
          </w:tcPr>
          <w:p w14:paraId="330FEA22">
            <w:pPr>
              <w:pStyle w:val="48"/>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r>
              <w:rPr>
                <w:rFonts w:hint="eastAsia" w:cs="宋体"/>
                <w:b/>
                <w:bCs/>
                <w:color w:val="auto"/>
                <w:sz w:val="24"/>
                <w:szCs w:val="24"/>
                <w:highlight w:val="none"/>
                <w:lang w:val="en-US" w:eastAsia="zh-CN"/>
              </w:rPr>
              <w:t>3</w:t>
            </w:r>
          </w:p>
        </w:tc>
        <w:tc>
          <w:tcPr>
            <w:tcW w:w="944" w:type="pct"/>
            <w:shd w:val="clear" w:color="auto" w:fill="FFFFFF" w:themeFill="background1"/>
            <w:vAlign w:val="center"/>
          </w:tcPr>
          <w:p w14:paraId="60F45FA7">
            <w:pPr>
              <w:pStyle w:val="48"/>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法律、行政法规规定的其他条件</w:t>
            </w:r>
          </w:p>
        </w:tc>
        <w:tc>
          <w:tcPr>
            <w:tcW w:w="2795" w:type="pct"/>
            <w:shd w:val="clear" w:color="auto" w:fill="FFFFFF" w:themeFill="background1"/>
            <w:vAlign w:val="center"/>
          </w:tcPr>
          <w:p w14:paraId="2B64265B">
            <w:pPr>
              <w:pStyle w:val="48"/>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法律、行政法规规定的其他条件</w:t>
            </w:r>
          </w:p>
        </w:tc>
        <w:tc>
          <w:tcPr>
            <w:tcW w:w="832" w:type="pct"/>
            <w:shd w:val="clear" w:color="auto" w:fill="FFFFFF" w:themeFill="background1"/>
            <w:vAlign w:val="center"/>
          </w:tcPr>
          <w:p w14:paraId="0ACC3285">
            <w:pPr>
              <w:pStyle w:val="48"/>
              <w:jc w:val="center"/>
              <w:rPr>
                <w:rFonts w:hint="eastAsia" w:ascii="宋体" w:hAnsi="宋体" w:eastAsia="宋体" w:cs="宋体"/>
                <w:b/>
                <w:bCs/>
                <w:color w:val="auto"/>
                <w:sz w:val="24"/>
                <w:szCs w:val="24"/>
                <w:highlight w:val="none"/>
              </w:rPr>
            </w:pPr>
          </w:p>
        </w:tc>
      </w:tr>
      <w:tr w14:paraId="5B37E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420" w:hRule="atLeast"/>
          <w:jc w:val="center"/>
        </w:trPr>
        <w:tc>
          <w:tcPr>
            <w:tcW w:w="426" w:type="pct"/>
            <w:shd w:val="clear" w:color="auto" w:fill="FFFFFF" w:themeFill="background1"/>
            <w:vAlign w:val="center"/>
          </w:tcPr>
          <w:p w14:paraId="45F0574F">
            <w:pPr>
              <w:pStyle w:val="48"/>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p>
        </w:tc>
        <w:tc>
          <w:tcPr>
            <w:tcW w:w="944" w:type="pct"/>
            <w:shd w:val="clear" w:color="auto" w:fill="FFFFFF" w:themeFill="background1"/>
            <w:vAlign w:val="center"/>
          </w:tcPr>
          <w:p w14:paraId="004158CF">
            <w:pPr>
              <w:pStyle w:val="48"/>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落实政府采购政策需满足的资格要求</w:t>
            </w:r>
          </w:p>
        </w:tc>
        <w:tc>
          <w:tcPr>
            <w:tcW w:w="2795" w:type="pct"/>
            <w:shd w:val="clear" w:color="auto" w:fill="FFFFFF" w:themeFill="background1"/>
            <w:vAlign w:val="center"/>
          </w:tcPr>
          <w:p w14:paraId="3E10D772">
            <w:pPr>
              <w:pStyle w:val="48"/>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具体要求见“第一章 招标公告”</w:t>
            </w:r>
          </w:p>
        </w:tc>
        <w:tc>
          <w:tcPr>
            <w:tcW w:w="832" w:type="pct"/>
            <w:shd w:val="clear" w:color="auto" w:fill="FFFFFF" w:themeFill="background1"/>
            <w:vAlign w:val="center"/>
          </w:tcPr>
          <w:p w14:paraId="0BFAF045">
            <w:pPr>
              <w:pStyle w:val="48"/>
              <w:jc w:val="center"/>
              <w:rPr>
                <w:rFonts w:hint="eastAsia" w:ascii="宋体" w:hAnsi="宋体" w:eastAsia="宋体" w:cs="宋体"/>
                <w:b/>
                <w:bCs/>
                <w:color w:val="auto"/>
                <w:sz w:val="24"/>
                <w:szCs w:val="24"/>
                <w:highlight w:val="none"/>
              </w:rPr>
            </w:pPr>
          </w:p>
        </w:tc>
      </w:tr>
      <w:tr w14:paraId="1F030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016" w:hRule="atLeast"/>
          <w:jc w:val="center"/>
        </w:trPr>
        <w:tc>
          <w:tcPr>
            <w:tcW w:w="426" w:type="pct"/>
            <w:shd w:val="clear" w:color="auto" w:fill="FFFFFF" w:themeFill="background1"/>
            <w:vAlign w:val="center"/>
          </w:tcPr>
          <w:p w14:paraId="61B9AA42">
            <w:pPr>
              <w:pStyle w:val="48"/>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w:t>
            </w:r>
          </w:p>
        </w:tc>
        <w:tc>
          <w:tcPr>
            <w:tcW w:w="944" w:type="pct"/>
            <w:shd w:val="clear" w:color="auto" w:fill="FFFFFF" w:themeFill="background1"/>
            <w:vAlign w:val="center"/>
          </w:tcPr>
          <w:p w14:paraId="4524F3DA">
            <w:pPr>
              <w:pStyle w:val="48"/>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中小企业政策</w:t>
            </w:r>
          </w:p>
        </w:tc>
        <w:tc>
          <w:tcPr>
            <w:tcW w:w="2795" w:type="pct"/>
            <w:shd w:val="clear" w:color="auto" w:fill="FFFFFF" w:themeFill="background1"/>
            <w:vAlign w:val="center"/>
          </w:tcPr>
          <w:p w14:paraId="3BC7BED9">
            <w:pPr>
              <w:pStyle w:val="48"/>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具体要求见</w:t>
            </w:r>
            <w:r>
              <w:rPr>
                <w:rFonts w:hint="eastAsia" w:ascii="宋体" w:hAnsi="宋体" w:eastAsia="宋体" w:cs="宋体"/>
                <w:color w:val="auto"/>
                <w:sz w:val="24"/>
                <w:szCs w:val="24"/>
                <w:highlight w:val="none"/>
                <w:lang w:val="en-US" w:eastAsia="zh-CN"/>
              </w:rPr>
              <w:t>“第一章 招标公告”</w:t>
            </w:r>
          </w:p>
        </w:tc>
        <w:tc>
          <w:tcPr>
            <w:tcW w:w="832" w:type="pct"/>
            <w:shd w:val="clear" w:color="auto" w:fill="FFFFFF" w:themeFill="background1"/>
            <w:vAlign w:val="center"/>
          </w:tcPr>
          <w:p w14:paraId="1657D6EE">
            <w:pPr>
              <w:pStyle w:val="48"/>
              <w:jc w:val="center"/>
              <w:rPr>
                <w:rFonts w:hint="eastAsia" w:ascii="宋体" w:hAnsi="宋体" w:eastAsia="宋体" w:cs="宋体"/>
                <w:b/>
                <w:bCs/>
                <w:color w:val="auto"/>
                <w:sz w:val="24"/>
                <w:szCs w:val="24"/>
                <w:highlight w:val="none"/>
              </w:rPr>
            </w:pPr>
          </w:p>
        </w:tc>
      </w:tr>
      <w:tr w14:paraId="37532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712" w:hRule="atLeast"/>
          <w:jc w:val="center"/>
        </w:trPr>
        <w:tc>
          <w:tcPr>
            <w:tcW w:w="426" w:type="pct"/>
            <w:shd w:val="clear" w:color="auto" w:fill="FFFFFF" w:themeFill="background1"/>
            <w:vAlign w:val="center"/>
          </w:tcPr>
          <w:p w14:paraId="35001BC1">
            <w:pPr>
              <w:pStyle w:val="48"/>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2-1-1</w:t>
            </w:r>
          </w:p>
        </w:tc>
        <w:tc>
          <w:tcPr>
            <w:tcW w:w="944" w:type="pct"/>
            <w:shd w:val="clear" w:color="auto" w:fill="FFFFFF" w:themeFill="background1"/>
            <w:vAlign w:val="center"/>
          </w:tcPr>
          <w:p w14:paraId="33B8D761">
            <w:pPr>
              <w:pStyle w:val="48"/>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中小企业证明文件</w:t>
            </w:r>
          </w:p>
        </w:tc>
        <w:tc>
          <w:tcPr>
            <w:tcW w:w="2795" w:type="pct"/>
            <w:shd w:val="clear" w:color="auto" w:fill="FFFFFF" w:themeFill="background1"/>
            <w:vAlign w:val="center"/>
          </w:tcPr>
          <w:p w14:paraId="0E14C7FF">
            <w:pPr>
              <w:pStyle w:val="48"/>
              <w:spacing w:line="24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当本项目（包）涉及预留份额专门面向中小企业采购，此时建议在《资格证明文件》中提供。</w:t>
            </w:r>
          </w:p>
          <w:p w14:paraId="363BBCEC">
            <w:pPr>
              <w:keepNext w:val="0"/>
              <w:keepLines w:val="0"/>
              <w:widowControl/>
              <w:suppressLineNumbers w:val="0"/>
              <w:spacing w:line="24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1、投标人单独投标的，应提供“中小企业声明函”或“残疾人福利性单位声明函”或由省级以上监狱管理局、戒毒管理局（含新疆生产建设兵团）出具的属于监狱企业的证明文件。 </w:t>
            </w:r>
          </w:p>
          <w:p w14:paraId="48EEE38E">
            <w:pPr>
              <w:pStyle w:val="48"/>
              <w:spacing w:line="240" w:lineRule="auto"/>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spacing w:val="-6"/>
                <w:kern w:val="0"/>
                <w:sz w:val="24"/>
                <w:szCs w:val="24"/>
                <w:highlight w:val="none"/>
                <w:lang w:val="en-US" w:eastAsia="zh-CN" w:bidi="ar"/>
              </w:rPr>
              <w:t>如招标文件要求以联合体形式参加或者要求合同分包的，且投标人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32" w:type="pct"/>
            <w:shd w:val="clear" w:color="auto" w:fill="FFFFFF" w:themeFill="background1"/>
            <w:vAlign w:val="center"/>
          </w:tcPr>
          <w:p w14:paraId="0DDB66C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格式见《第七章 投标文件格式》</w:t>
            </w:r>
          </w:p>
        </w:tc>
      </w:tr>
      <w:tr w14:paraId="6BE4F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552" w:hRule="atLeast"/>
          <w:jc w:val="center"/>
        </w:trPr>
        <w:tc>
          <w:tcPr>
            <w:tcW w:w="426" w:type="pct"/>
            <w:shd w:val="clear" w:color="auto" w:fill="FFFFFF" w:themeFill="background1"/>
            <w:vAlign w:val="center"/>
          </w:tcPr>
          <w:p w14:paraId="2121275C">
            <w:pPr>
              <w:pStyle w:val="48"/>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2-1-2</w:t>
            </w:r>
          </w:p>
        </w:tc>
        <w:tc>
          <w:tcPr>
            <w:tcW w:w="944" w:type="pct"/>
            <w:shd w:val="clear" w:color="auto" w:fill="FFFFFF" w:themeFill="background1"/>
            <w:vAlign w:val="center"/>
          </w:tcPr>
          <w:p w14:paraId="05DA12DF">
            <w:pPr>
              <w:pStyle w:val="48"/>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拟分包情况说明及分包意向协议书</w:t>
            </w:r>
          </w:p>
        </w:tc>
        <w:tc>
          <w:tcPr>
            <w:tcW w:w="2795" w:type="pct"/>
            <w:shd w:val="clear" w:color="auto" w:fill="FFFFFF" w:themeFill="background1"/>
            <w:vAlign w:val="center"/>
          </w:tcPr>
          <w:p w14:paraId="542AC51F">
            <w:pPr>
              <w:keepNext w:val="0"/>
              <w:keepLines w:val="0"/>
              <w:widowControl/>
              <w:suppressLineNumbers w:val="0"/>
              <w:spacing w:line="24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如本项目（包）要求通过分包措施预留部分采购份额面向中小企业采购、且投标人因落实政府采购政策拟进行分包的，必须提供；否则无须提供。 </w:t>
            </w:r>
          </w:p>
          <w:p w14:paraId="30B1D5CE">
            <w:pPr>
              <w:pStyle w:val="48"/>
              <w:spacing w:line="240" w:lineRule="auto"/>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对于预留份额专门面向中小企业采购的项目（包），组成联合体或者接受分包合同的中小企业与联合体内其他企业、分包企业之间不得存在直接控股、管理关系。</w:t>
            </w:r>
          </w:p>
        </w:tc>
        <w:tc>
          <w:tcPr>
            <w:tcW w:w="832" w:type="pct"/>
            <w:shd w:val="clear" w:color="auto" w:fill="FFFFFF" w:themeFill="background1"/>
            <w:vAlign w:val="center"/>
          </w:tcPr>
          <w:p w14:paraId="08F6592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格式见《第七章 投标文件格式》</w:t>
            </w:r>
          </w:p>
          <w:p w14:paraId="280335E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4"/>
                <w:szCs w:val="24"/>
                <w:highlight w:val="none"/>
                <w:lang w:val="en-US" w:eastAsia="zh-CN" w:bidi="ar"/>
              </w:rPr>
            </w:pPr>
          </w:p>
        </w:tc>
      </w:tr>
      <w:tr w14:paraId="397AF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124" w:hRule="atLeast"/>
          <w:jc w:val="center"/>
        </w:trPr>
        <w:tc>
          <w:tcPr>
            <w:tcW w:w="426" w:type="pct"/>
            <w:shd w:val="clear" w:color="auto" w:fill="FFFFFF" w:themeFill="background1"/>
            <w:vAlign w:val="center"/>
          </w:tcPr>
          <w:p w14:paraId="7BE5DE51">
            <w:pPr>
              <w:pStyle w:val="48"/>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w:t>
            </w:r>
          </w:p>
        </w:tc>
        <w:tc>
          <w:tcPr>
            <w:tcW w:w="944" w:type="pct"/>
            <w:shd w:val="clear" w:color="auto" w:fill="FFFFFF" w:themeFill="background1"/>
            <w:vAlign w:val="center"/>
          </w:tcPr>
          <w:p w14:paraId="1B3A099F">
            <w:pPr>
              <w:pStyle w:val="48"/>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spacing w:val="-6"/>
                <w:kern w:val="0"/>
                <w:sz w:val="24"/>
                <w:szCs w:val="24"/>
                <w:highlight w:val="none"/>
                <w:lang w:val="en-US" w:eastAsia="zh-CN" w:bidi="ar"/>
              </w:rPr>
              <w:t>其它落实政府采购政策的资格要求</w:t>
            </w:r>
          </w:p>
        </w:tc>
        <w:tc>
          <w:tcPr>
            <w:tcW w:w="2795" w:type="pct"/>
            <w:shd w:val="clear" w:color="auto" w:fill="FFFFFF" w:themeFill="background1"/>
            <w:vAlign w:val="center"/>
          </w:tcPr>
          <w:p w14:paraId="07B78A6F">
            <w:pPr>
              <w:pStyle w:val="48"/>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如有，见</w:t>
            </w:r>
            <w:r>
              <w:rPr>
                <w:rFonts w:hint="eastAsia" w:ascii="宋体" w:hAnsi="宋体" w:eastAsia="宋体" w:cs="宋体"/>
                <w:color w:val="auto"/>
                <w:sz w:val="24"/>
                <w:szCs w:val="24"/>
                <w:highlight w:val="none"/>
                <w:lang w:val="en-US" w:eastAsia="zh-CN"/>
              </w:rPr>
              <w:t>“第一章 招标公告”</w:t>
            </w:r>
          </w:p>
        </w:tc>
        <w:tc>
          <w:tcPr>
            <w:tcW w:w="832" w:type="pct"/>
            <w:shd w:val="clear" w:color="auto" w:fill="FFFFFF" w:themeFill="background1"/>
            <w:vAlign w:val="center"/>
          </w:tcPr>
          <w:p w14:paraId="7BB55995">
            <w:pPr>
              <w:pStyle w:val="48"/>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提供证明文件的电子件或电子证照</w:t>
            </w:r>
          </w:p>
        </w:tc>
      </w:tr>
      <w:tr w14:paraId="17E9C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872" w:hRule="atLeast"/>
          <w:jc w:val="center"/>
        </w:trPr>
        <w:tc>
          <w:tcPr>
            <w:tcW w:w="426" w:type="pct"/>
            <w:shd w:val="clear" w:color="auto" w:fill="FFFFFF" w:themeFill="background1"/>
            <w:vAlign w:val="center"/>
          </w:tcPr>
          <w:p w14:paraId="146FC928">
            <w:pPr>
              <w:pStyle w:val="48"/>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p>
        </w:tc>
        <w:tc>
          <w:tcPr>
            <w:tcW w:w="944" w:type="pct"/>
            <w:shd w:val="clear" w:color="auto" w:fill="FFFFFF" w:themeFill="background1"/>
            <w:vAlign w:val="center"/>
          </w:tcPr>
          <w:p w14:paraId="2D441054">
            <w:pPr>
              <w:pStyle w:val="48"/>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本项目的特定资格要求</w:t>
            </w:r>
          </w:p>
        </w:tc>
        <w:tc>
          <w:tcPr>
            <w:tcW w:w="2795" w:type="pct"/>
            <w:shd w:val="clear" w:color="auto" w:fill="FFFFFF" w:themeFill="background1"/>
            <w:vAlign w:val="center"/>
          </w:tcPr>
          <w:p w14:paraId="192E4791">
            <w:pPr>
              <w:pStyle w:val="48"/>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如有，见</w:t>
            </w:r>
            <w:r>
              <w:rPr>
                <w:rFonts w:hint="eastAsia" w:ascii="宋体" w:hAnsi="宋体" w:eastAsia="宋体" w:cs="宋体"/>
                <w:color w:val="auto"/>
                <w:sz w:val="24"/>
                <w:szCs w:val="24"/>
                <w:highlight w:val="none"/>
                <w:lang w:val="en-US" w:eastAsia="zh-CN"/>
              </w:rPr>
              <w:t>“第一章 招标公告”</w:t>
            </w:r>
          </w:p>
        </w:tc>
        <w:tc>
          <w:tcPr>
            <w:tcW w:w="832" w:type="pct"/>
            <w:shd w:val="clear" w:color="auto" w:fill="FFFFFF" w:themeFill="background1"/>
            <w:vAlign w:val="center"/>
          </w:tcPr>
          <w:p w14:paraId="7EC0AFB6">
            <w:pPr>
              <w:pStyle w:val="48"/>
              <w:jc w:val="both"/>
              <w:rPr>
                <w:rFonts w:hint="eastAsia" w:ascii="宋体" w:hAnsi="宋体" w:eastAsia="宋体" w:cs="宋体"/>
                <w:color w:val="auto"/>
                <w:kern w:val="0"/>
                <w:sz w:val="24"/>
                <w:szCs w:val="24"/>
                <w:highlight w:val="none"/>
                <w:lang w:val="en-US" w:eastAsia="zh-CN" w:bidi="ar"/>
              </w:rPr>
            </w:pPr>
          </w:p>
        </w:tc>
      </w:tr>
      <w:tr w14:paraId="219A6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7436" w:hRule="atLeast"/>
          <w:jc w:val="center"/>
        </w:trPr>
        <w:tc>
          <w:tcPr>
            <w:tcW w:w="426" w:type="pct"/>
            <w:shd w:val="clear" w:color="auto" w:fill="FFFFFF" w:themeFill="background1"/>
            <w:vAlign w:val="center"/>
          </w:tcPr>
          <w:p w14:paraId="56F1A5D1">
            <w:pPr>
              <w:pStyle w:val="48"/>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3-1</w:t>
            </w:r>
          </w:p>
        </w:tc>
        <w:tc>
          <w:tcPr>
            <w:tcW w:w="944" w:type="pct"/>
            <w:shd w:val="clear" w:color="auto" w:fill="FFFFFF" w:themeFill="background1"/>
            <w:vAlign w:val="center"/>
          </w:tcPr>
          <w:p w14:paraId="102A97A0">
            <w:pPr>
              <w:pStyle w:val="48"/>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本项目对于联合体的要求</w:t>
            </w:r>
          </w:p>
        </w:tc>
        <w:tc>
          <w:tcPr>
            <w:tcW w:w="2795" w:type="pct"/>
            <w:shd w:val="clear" w:color="auto" w:fill="FFFFFF" w:themeFill="background1"/>
            <w:vAlign w:val="center"/>
          </w:tcPr>
          <w:p w14:paraId="32C90847">
            <w:pPr>
              <w:pStyle w:val="48"/>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1、如本项目接受联合体投标，且投标人为联合体时必须提供《联合体协议书》，明确各方拟承担的工作和责任，并指定联合体牵头人，授权其代表所有联合体成员负责本项目投标和合同实施阶段的牵头、协调工作。该联合体协议书应当作为投标文件的组成部分，与投标文件其他内容同时递交。 </w:t>
            </w:r>
          </w:p>
          <w:p w14:paraId="07297771">
            <w:pPr>
              <w:pStyle w:val="48"/>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2、联合体各成员单位均须提供本表中序号1-1、1-2 的证明文件。联合体各成员单位均应满足本表 1-3 项规定。 </w:t>
            </w:r>
          </w:p>
          <w:p w14:paraId="3D553F99">
            <w:pPr>
              <w:pStyle w:val="48"/>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w:t>
            </w:r>
            <w:r>
              <w:rPr>
                <w:rFonts w:hint="eastAsia" w:ascii="宋体" w:hAnsi="宋体" w:eastAsia="宋体" w:cs="宋体"/>
                <w:color w:val="auto"/>
                <w:spacing w:val="-6"/>
                <w:kern w:val="0"/>
                <w:sz w:val="24"/>
                <w:szCs w:val="24"/>
                <w:highlight w:val="none"/>
                <w:lang w:val="en-US" w:eastAsia="zh-CN" w:bidi="ar"/>
              </w:rPr>
              <w:t>本表序号 3-2及3-3 项规定的其他特定资格要求中的每一小项要求，按照《联合体协议书》的分工，联合体各方应具备承担工作所需的特定资格要求并提供证明材料。</w:t>
            </w:r>
            <w:r>
              <w:rPr>
                <w:rFonts w:hint="eastAsia" w:ascii="宋体" w:hAnsi="宋体" w:eastAsia="宋体" w:cs="宋体"/>
                <w:color w:val="auto"/>
                <w:kern w:val="0"/>
                <w:sz w:val="24"/>
                <w:szCs w:val="24"/>
                <w:highlight w:val="none"/>
                <w:lang w:val="en-US" w:eastAsia="zh-CN" w:bidi="ar"/>
              </w:rPr>
              <w:t xml:space="preserve"> </w:t>
            </w:r>
          </w:p>
          <w:p w14:paraId="30B35282">
            <w:pPr>
              <w:pStyle w:val="48"/>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4、联合体中有同类资质的供应商按照联合体分工承担相同工作的，应当按照资质等级较低的供应商确定资质等级。 </w:t>
            </w:r>
          </w:p>
          <w:p w14:paraId="672B5E7E">
            <w:pPr>
              <w:pStyle w:val="48"/>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5、以联合体形式参加政府采购活动的，联合体各方不得再单独参加或者与其他供应商另外组成联合体参加同一合同项下的政府采购活动。 </w:t>
            </w:r>
          </w:p>
          <w:p w14:paraId="5E18183F">
            <w:pPr>
              <w:pStyle w:val="48"/>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6、若联合体中任一成员单位中途退出，则该联合体的投标无效。 </w:t>
            </w:r>
          </w:p>
          <w:p w14:paraId="61148C33">
            <w:pPr>
              <w:pStyle w:val="48"/>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7、本项目不接受联合体投标时，投标人不得为联合体。</w:t>
            </w:r>
          </w:p>
        </w:tc>
        <w:tc>
          <w:tcPr>
            <w:tcW w:w="832" w:type="pct"/>
            <w:shd w:val="clear" w:color="auto" w:fill="FFFFFF" w:themeFill="background1"/>
            <w:vAlign w:val="center"/>
          </w:tcPr>
          <w:p w14:paraId="5004830C">
            <w:pPr>
              <w:pStyle w:val="48"/>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提供《联合体协议书》原件的电子件 </w:t>
            </w:r>
          </w:p>
          <w:p w14:paraId="16CD91D6">
            <w:pPr>
              <w:pStyle w:val="48"/>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格式见《第七章 投标文件格式》</w:t>
            </w:r>
          </w:p>
        </w:tc>
      </w:tr>
      <w:tr w14:paraId="45F60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316" w:hRule="atLeast"/>
          <w:jc w:val="center"/>
        </w:trPr>
        <w:tc>
          <w:tcPr>
            <w:tcW w:w="426" w:type="pct"/>
            <w:shd w:val="clear" w:color="auto" w:fill="FFFFFF" w:themeFill="background1"/>
            <w:vAlign w:val="center"/>
          </w:tcPr>
          <w:p w14:paraId="57AF1C70">
            <w:pPr>
              <w:pStyle w:val="48"/>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w:t>
            </w:r>
          </w:p>
        </w:tc>
        <w:tc>
          <w:tcPr>
            <w:tcW w:w="944" w:type="pct"/>
            <w:shd w:val="clear" w:color="auto" w:fill="FFFFFF" w:themeFill="background1"/>
            <w:vAlign w:val="center"/>
          </w:tcPr>
          <w:p w14:paraId="10A7AE60">
            <w:pPr>
              <w:pStyle w:val="48"/>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政府购买服务承接主体的要求</w:t>
            </w:r>
          </w:p>
        </w:tc>
        <w:tc>
          <w:tcPr>
            <w:tcW w:w="2795" w:type="pct"/>
            <w:shd w:val="clear" w:color="auto" w:fill="FFFFFF" w:themeFill="background1"/>
            <w:vAlign w:val="center"/>
          </w:tcPr>
          <w:p w14:paraId="512BFDF7">
            <w:pPr>
              <w:pStyle w:val="48"/>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如本项目属于政府购买服务，投标人不属于公益一类事业单位、使用事业编制且由财政拨款保障的群团组织。</w:t>
            </w:r>
          </w:p>
        </w:tc>
        <w:tc>
          <w:tcPr>
            <w:tcW w:w="832" w:type="pct"/>
            <w:shd w:val="clear" w:color="auto" w:fill="FFFFFF" w:themeFill="background1"/>
            <w:vAlign w:val="center"/>
          </w:tcPr>
          <w:p w14:paraId="67E55B3C">
            <w:pPr>
              <w:pStyle w:val="48"/>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提供证明文件的电子件或电子证照</w:t>
            </w:r>
          </w:p>
        </w:tc>
      </w:tr>
      <w:tr w14:paraId="3D7C4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266" w:hRule="atLeast"/>
          <w:jc w:val="center"/>
        </w:trPr>
        <w:tc>
          <w:tcPr>
            <w:tcW w:w="426" w:type="pct"/>
            <w:shd w:val="clear" w:color="auto" w:fill="FFFFFF" w:themeFill="background1"/>
            <w:vAlign w:val="center"/>
          </w:tcPr>
          <w:p w14:paraId="5FFF96DA">
            <w:pPr>
              <w:pStyle w:val="48"/>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w:t>
            </w:r>
          </w:p>
        </w:tc>
        <w:tc>
          <w:tcPr>
            <w:tcW w:w="944" w:type="pct"/>
            <w:shd w:val="clear" w:color="auto" w:fill="FFFFFF" w:themeFill="background1"/>
            <w:vAlign w:val="center"/>
          </w:tcPr>
          <w:p w14:paraId="2E4C33AD">
            <w:pPr>
              <w:pStyle w:val="48"/>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其他特定资格要求</w:t>
            </w:r>
          </w:p>
        </w:tc>
        <w:tc>
          <w:tcPr>
            <w:tcW w:w="2795" w:type="pct"/>
            <w:shd w:val="clear" w:color="auto" w:fill="FFFFFF" w:themeFill="background1"/>
            <w:vAlign w:val="center"/>
          </w:tcPr>
          <w:p w14:paraId="2E3A291D">
            <w:pPr>
              <w:pStyle w:val="48"/>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如有，见</w:t>
            </w:r>
            <w:r>
              <w:rPr>
                <w:rFonts w:hint="eastAsia" w:ascii="宋体" w:hAnsi="宋体" w:eastAsia="宋体" w:cs="宋体"/>
                <w:color w:val="auto"/>
                <w:sz w:val="24"/>
                <w:szCs w:val="24"/>
                <w:highlight w:val="none"/>
                <w:lang w:val="en-US" w:eastAsia="zh-CN"/>
              </w:rPr>
              <w:t>“第一章 招标公告”</w:t>
            </w:r>
          </w:p>
        </w:tc>
        <w:tc>
          <w:tcPr>
            <w:tcW w:w="832" w:type="pct"/>
            <w:shd w:val="clear" w:color="auto" w:fill="FFFFFF" w:themeFill="background1"/>
            <w:vAlign w:val="center"/>
          </w:tcPr>
          <w:p w14:paraId="3F44BDC5">
            <w:pPr>
              <w:pStyle w:val="48"/>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提供证明文件的电子件或电子证照</w:t>
            </w:r>
          </w:p>
        </w:tc>
      </w:tr>
    </w:tbl>
    <w:p w14:paraId="75823E1B">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 xml:space="preserve"> </w:t>
      </w:r>
    </w:p>
    <w:p w14:paraId="3CB9CD2F">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 </w:t>
      </w:r>
    </w:p>
    <w:p w14:paraId="7E275CCB">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p>
    <w:p w14:paraId="12E58BC0">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p>
    <w:p w14:paraId="523EF8AF">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p>
    <w:p w14:paraId="56B4E958">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p>
    <w:p w14:paraId="3C0F8FE6">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p>
    <w:p w14:paraId="21B53EAD">
      <w:pPr>
        <w:pStyle w:val="2"/>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default" w:ascii="宋体" w:hAnsi="宋体" w:eastAsia="宋体" w:cs="宋体"/>
          <w:b/>
          <w:bCs/>
          <w:color w:val="auto"/>
          <w:kern w:val="44"/>
          <w:sz w:val="36"/>
          <w:szCs w:val="36"/>
          <w:highlight w:val="none"/>
          <w:lang w:val="en-US" w:eastAsia="zh-CN" w:bidi="ar-SA"/>
        </w:rPr>
      </w:pPr>
      <w:bookmarkStart w:id="333" w:name="_Toc155185903"/>
      <w:bookmarkStart w:id="334" w:name="_Toc26393"/>
      <w:bookmarkStart w:id="335" w:name="_Toc30175"/>
      <w:r>
        <w:rPr>
          <w:rFonts w:hint="eastAsia" w:ascii="宋体" w:hAnsi="宋体" w:eastAsia="宋体" w:cs="宋体"/>
          <w:b/>
          <w:bCs/>
          <w:color w:val="auto"/>
          <w:kern w:val="44"/>
          <w:sz w:val="36"/>
          <w:szCs w:val="36"/>
          <w:highlight w:val="none"/>
          <w:lang w:val="en-US" w:eastAsia="zh-CN" w:bidi="ar-SA"/>
        </w:rPr>
        <w:t>第五章 评标方法</w:t>
      </w:r>
      <w:bookmarkEnd w:id="333"/>
      <w:r>
        <w:rPr>
          <w:rFonts w:hint="eastAsia" w:ascii="宋体" w:hAnsi="宋体" w:eastAsia="宋体" w:cs="宋体"/>
          <w:b/>
          <w:bCs/>
          <w:color w:val="auto"/>
          <w:kern w:val="44"/>
          <w:sz w:val="36"/>
          <w:szCs w:val="36"/>
          <w:highlight w:val="none"/>
          <w:lang w:val="en-US" w:eastAsia="zh-CN" w:bidi="ar-SA"/>
        </w:rPr>
        <w:t>及标准(综合评分法)</w:t>
      </w:r>
      <w:bookmarkEnd w:id="334"/>
      <w:bookmarkEnd w:id="335"/>
    </w:p>
    <w:p w14:paraId="2BB6F8A4">
      <w:pPr>
        <w:pStyle w:val="36"/>
        <w:rPr>
          <w:color w:val="auto"/>
          <w:highlight w:val="none"/>
        </w:rPr>
      </w:pPr>
      <w:r>
        <w:rPr>
          <w:rFonts w:hint="eastAsia"/>
          <w:color w:val="auto"/>
          <w:highlight w:val="none"/>
        </w:rPr>
        <w:t>根据《中华人民共和国政府采购法》及其实施条例、《政府采购货物和服务招标投标管理办法》</w:t>
      </w:r>
      <w:r>
        <w:rPr>
          <w:rFonts w:hint="eastAsia"/>
          <w:color w:val="auto"/>
          <w:highlight w:val="none"/>
          <w:lang w:val="en-US" w:eastAsia="zh-CN"/>
        </w:rPr>
        <w:t>及</w:t>
      </w:r>
      <w:r>
        <w:rPr>
          <w:rFonts w:hint="eastAsia"/>
          <w:color w:val="auto"/>
          <w:highlight w:val="none"/>
        </w:rPr>
        <w:t>相关法律法规确定以下评标</w:t>
      </w:r>
      <w:r>
        <w:rPr>
          <w:rFonts w:hint="eastAsia"/>
          <w:color w:val="auto"/>
          <w:highlight w:val="none"/>
          <w:lang w:val="en-US" w:eastAsia="zh-CN"/>
        </w:rPr>
        <w:t>方</w:t>
      </w:r>
      <w:r>
        <w:rPr>
          <w:rFonts w:hint="eastAsia"/>
          <w:color w:val="auto"/>
          <w:highlight w:val="none"/>
        </w:rPr>
        <w:t>法及标准。</w:t>
      </w:r>
    </w:p>
    <w:p w14:paraId="040C2DF7">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color w:val="auto"/>
          <w:sz w:val="28"/>
          <w:szCs w:val="28"/>
          <w:highlight w:val="none"/>
          <w:lang w:val="zh-CN" w:eastAsia="zh-CN"/>
        </w:rPr>
      </w:pPr>
      <w:bookmarkStart w:id="336" w:name="_Toc24174"/>
      <w:bookmarkStart w:id="337" w:name="_Toc4301"/>
      <w:bookmarkStart w:id="338" w:name="_Toc278891606"/>
      <w:bookmarkStart w:id="339" w:name="_Toc109899903"/>
      <w:bookmarkStart w:id="340" w:name="_Toc155185905"/>
      <w:bookmarkStart w:id="341" w:name="_Toc140132826"/>
      <w:bookmarkStart w:id="342" w:name="_Toc494561962"/>
      <w:bookmarkStart w:id="343" w:name="_Toc109899484"/>
      <w:bookmarkStart w:id="344" w:name="_Toc61280402"/>
      <w:bookmarkStart w:id="345" w:name="_Toc109900322"/>
      <w:bookmarkStart w:id="346" w:name="_Toc511894518"/>
      <w:bookmarkStart w:id="347" w:name="_Toc272247709"/>
      <w:r>
        <w:rPr>
          <w:rFonts w:hint="eastAsia" w:ascii="宋体" w:hAnsi="宋体" w:eastAsia="宋体" w:cs="宋体"/>
          <w:color w:val="auto"/>
          <w:sz w:val="28"/>
          <w:szCs w:val="28"/>
          <w:highlight w:val="none"/>
          <w:lang w:val="zh-CN" w:eastAsia="zh-CN"/>
        </w:rPr>
        <w:t>一、评标</w:t>
      </w:r>
      <w:r>
        <w:rPr>
          <w:rFonts w:hint="eastAsia" w:ascii="宋体" w:hAnsi="宋体" w:eastAsia="宋体" w:cs="宋体"/>
          <w:color w:val="auto"/>
          <w:sz w:val="28"/>
          <w:szCs w:val="28"/>
          <w:highlight w:val="none"/>
          <w:lang w:val="en-US" w:eastAsia="zh-CN"/>
        </w:rPr>
        <w:t>方</w:t>
      </w:r>
      <w:r>
        <w:rPr>
          <w:rFonts w:hint="eastAsia" w:ascii="宋体" w:hAnsi="宋体" w:eastAsia="宋体" w:cs="宋体"/>
          <w:color w:val="auto"/>
          <w:sz w:val="28"/>
          <w:szCs w:val="28"/>
          <w:highlight w:val="none"/>
          <w:lang w:val="zh-CN" w:eastAsia="zh-CN"/>
        </w:rPr>
        <w:t>法</w:t>
      </w:r>
      <w:bookmarkEnd w:id="336"/>
      <w:bookmarkEnd w:id="337"/>
    </w:p>
    <w:p w14:paraId="40F9AE81">
      <w:pPr>
        <w:pStyle w:val="36"/>
        <w:keepNext w:val="0"/>
        <w:keepLines w:val="0"/>
        <w:pageBreakBefore w:val="0"/>
        <w:widowControl w:val="0"/>
        <w:kinsoku/>
        <w:wordWrap w:val="0"/>
        <w:overflowPunct/>
        <w:topLinePunct w:val="0"/>
        <w:autoSpaceDE/>
        <w:autoSpaceDN/>
        <w:bidi w:val="0"/>
        <w:adjustRightInd/>
        <w:snapToGrid/>
        <w:ind w:firstLine="482"/>
        <w:textAlignment w:val="auto"/>
        <w:rPr>
          <w:color w:val="auto"/>
          <w:highlight w:val="none"/>
        </w:rPr>
      </w:pPr>
      <w:r>
        <w:rPr>
          <w:rFonts w:hint="eastAsia"/>
          <w:color w:val="auto"/>
          <w:highlight w:val="none"/>
        </w:rPr>
        <w:t>1.</w:t>
      </w:r>
      <w:r>
        <w:rPr>
          <w:rFonts w:hint="eastAsia"/>
          <w:b/>
          <w:bCs/>
          <w:color w:val="auto"/>
          <w:highlight w:val="none"/>
        </w:rPr>
        <w:t>本项目采用综合评分法</w:t>
      </w:r>
      <w:r>
        <w:rPr>
          <w:rFonts w:hint="eastAsia"/>
          <w:color w:val="auto"/>
          <w:highlight w:val="none"/>
        </w:rPr>
        <w:t>。综合评分法，是指投标文件满足招标文件全部实质性要求，且按照评审因素的量化指标评审得分最高的投标人为中标候选人的评标方法。</w:t>
      </w:r>
    </w:p>
    <w:p w14:paraId="5EC2DCA1">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color w:val="auto"/>
          <w:sz w:val="28"/>
          <w:szCs w:val="28"/>
          <w:highlight w:val="none"/>
          <w:lang w:val="zh-CN" w:eastAsia="zh-CN"/>
        </w:rPr>
      </w:pPr>
      <w:bookmarkStart w:id="348" w:name="_Toc16338"/>
      <w:bookmarkStart w:id="349" w:name="_Toc2887"/>
      <w:r>
        <w:rPr>
          <w:rFonts w:hint="eastAsia" w:ascii="宋体" w:hAnsi="宋体" w:eastAsia="宋体" w:cs="宋体"/>
          <w:color w:val="auto"/>
          <w:sz w:val="28"/>
          <w:szCs w:val="28"/>
          <w:highlight w:val="none"/>
          <w:lang w:val="en-US" w:eastAsia="zh-CN"/>
        </w:rPr>
        <w:t>二</w:t>
      </w:r>
      <w:r>
        <w:rPr>
          <w:rFonts w:hint="eastAsia" w:ascii="宋体" w:hAnsi="宋体" w:eastAsia="宋体" w:cs="宋体"/>
          <w:color w:val="auto"/>
          <w:sz w:val="28"/>
          <w:szCs w:val="28"/>
          <w:highlight w:val="none"/>
          <w:lang w:val="zh-CN" w:eastAsia="zh-CN"/>
        </w:rPr>
        <w:t>、评标程序</w:t>
      </w:r>
      <w:bookmarkEnd w:id="348"/>
      <w:bookmarkEnd w:id="349"/>
    </w:p>
    <w:p w14:paraId="2CEA851A">
      <w:pPr>
        <w:pStyle w:val="4"/>
        <w:keepNext/>
        <w:keepLines/>
        <w:pageBreakBefore w:val="0"/>
        <w:widowControl w:val="0"/>
        <w:numPr>
          <w:ilvl w:val="0"/>
          <w:numId w:val="0"/>
        </w:numPr>
        <w:kinsoku/>
        <w:wordWrap/>
        <w:overflowPunct/>
        <w:topLinePunct w:val="0"/>
        <w:autoSpaceDE/>
        <w:autoSpaceDN/>
        <w:bidi w:val="0"/>
        <w:adjustRightInd/>
        <w:snapToGrid/>
        <w:spacing w:before="6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350" w:name="_Toc19642"/>
      <w:r>
        <w:rPr>
          <w:rFonts w:hint="eastAsia" w:ascii="宋体" w:hAnsi="宋体" w:eastAsia="宋体" w:cs="宋体"/>
          <w:b/>
          <w:bCs/>
          <w:color w:val="auto"/>
          <w:kern w:val="2"/>
          <w:sz w:val="24"/>
          <w:szCs w:val="24"/>
          <w:highlight w:val="none"/>
          <w:lang w:val="zh-CN" w:eastAsia="zh-CN" w:bidi="ar-SA"/>
        </w:rPr>
        <w:t>（一）符合性审查</w:t>
      </w:r>
      <w:bookmarkEnd w:id="350"/>
    </w:p>
    <w:p w14:paraId="4E726315">
      <w:pPr>
        <w:pStyle w:val="36"/>
        <w:rPr>
          <w:rFonts w:hint="eastAsia"/>
          <w:color w:val="auto"/>
          <w:highlight w:val="none"/>
          <w:lang w:val="zh-CN"/>
        </w:rPr>
      </w:pPr>
      <w:r>
        <w:rPr>
          <w:rFonts w:hint="eastAsia"/>
          <w:color w:val="auto"/>
          <w:highlight w:val="none"/>
          <w:lang w:val="en-US" w:eastAsia="zh-CN"/>
        </w:rPr>
        <w:t>2.</w:t>
      </w:r>
      <w:r>
        <w:rPr>
          <w:rFonts w:hint="eastAsia"/>
          <w:color w:val="auto"/>
          <w:highlight w:val="none"/>
        </w:rPr>
        <w:t>评标委员会应当对</w:t>
      </w:r>
      <w:r>
        <w:rPr>
          <w:rFonts w:hint="eastAsia"/>
          <w:color w:val="auto"/>
          <w:highlight w:val="none"/>
          <w:lang w:val="en-US" w:eastAsia="zh-CN"/>
        </w:rPr>
        <w:t>通过</w:t>
      </w:r>
      <w:r>
        <w:rPr>
          <w:rFonts w:hint="eastAsia"/>
          <w:color w:val="auto"/>
          <w:highlight w:val="none"/>
        </w:rPr>
        <w:t>资格</w:t>
      </w:r>
      <w:r>
        <w:rPr>
          <w:rFonts w:hint="eastAsia"/>
          <w:color w:val="auto"/>
          <w:highlight w:val="none"/>
          <w:lang w:val="en-US" w:eastAsia="zh-CN"/>
        </w:rPr>
        <w:t>审查</w:t>
      </w:r>
      <w:r>
        <w:rPr>
          <w:rFonts w:hint="eastAsia"/>
          <w:color w:val="auto"/>
          <w:highlight w:val="none"/>
        </w:rPr>
        <w:t>的投标人的投标文件进行符合性审查，以确定其是否满足招标文件的实质性要求。投标人必须通过符合性审查的全部评审指标</w:t>
      </w:r>
      <w:r>
        <w:rPr>
          <w:rFonts w:hint="eastAsia"/>
          <w:color w:val="auto"/>
          <w:highlight w:val="none"/>
          <w:lang w:eastAsia="zh-CN"/>
        </w:rPr>
        <w:t>，</w:t>
      </w:r>
      <w:r>
        <w:rPr>
          <w:rFonts w:hint="eastAsia"/>
          <w:color w:val="auto"/>
          <w:highlight w:val="none"/>
        </w:rPr>
        <w:t>不满足招标文件的实质性要求的，</w:t>
      </w:r>
      <w:r>
        <w:rPr>
          <w:rFonts w:hint="eastAsia"/>
          <w:color w:val="auto"/>
          <w:highlight w:val="none"/>
          <w:lang w:val="en-US" w:eastAsia="zh-CN"/>
        </w:rPr>
        <w:t>其</w:t>
      </w:r>
      <w:r>
        <w:rPr>
          <w:rFonts w:hint="eastAsia"/>
          <w:b/>
          <w:bCs/>
          <w:color w:val="auto"/>
          <w:highlight w:val="none"/>
        </w:rPr>
        <w:t>投标无效</w:t>
      </w:r>
      <w:r>
        <w:rPr>
          <w:rFonts w:hint="eastAsia"/>
          <w:color w:val="auto"/>
          <w:highlight w:val="none"/>
        </w:rPr>
        <w:t>。</w:t>
      </w:r>
      <w:r>
        <w:rPr>
          <w:rFonts w:hint="eastAsia"/>
          <w:color w:val="auto"/>
          <w:highlight w:val="none"/>
          <w:lang w:val="en-US" w:eastAsia="zh-CN"/>
        </w:rPr>
        <w:t>具体内容详</w:t>
      </w:r>
      <w:r>
        <w:rPr>
          <w:rFonts w:hint="eastAsia"/>
          <w:color w:val="auto"/>
          <w:highlight w:val="none"/>
          <w:lang w:val="zh-CN"/>
        </w:rPr>
        <w:t>本章“</w:t>
      </w:r>
      <w:r>
        <w:rPr>
          <w:rFonts w:hint="eastAsia"/>
          <w:color w:val="auto"/>
          <w:highlight w:val="none"/>
          <w:lang w:val="en-US" w:eastAsia="zh-CN"/>
        </w:rPr>
        <w:t>四</w:t>
      </w:r>
      <w:r>
        <w:rPr>
          <w:rFonts w:hint="eastAsia"/>
          <w:color w:val="auto"/>
          <w:highlight w:val="none"/>
          <w:lang w:val="zh-CN"/>
        </w:rPr>
        <w:t>、评标标准”中</w:t>
      </w:r>
      <w:r>
        <w:rPr>
          <w:rFonts w:hint="eastAsia"/>
          <w:color w:val="auto"/>
          <w:highlight w:val="none"/>
          <w:lang w:val="en-US" w:eastAsia="zh-CN"/>
        </w:rPr>
        <w:t>的</w:t>
      </w:r>
      <w:r>
        <w:rPr>
          <w:rFonts w:hint="eastAsia"/>
          <w:color w:val="auto"/>
          <w:highlight w:val="none"/>
          <w:lang w:val="zh-CN"/>
        </w:rPr>
        <w:t>“（一）符合性审查”。</w:t>
      </w:r>
    </w:p>
    <w:p w14:paraId="6117DC47">
      <w:pPr>
        <w:pStyle w:val="36"/>
        <w:rPr>
          <w:rFonts w:hint="eastAsia"/>
          <w:color w:val="auto"/>
          <w:highlight w:val="none"/>
          <w:lang w:val="zh-CN"/>
        </w:rPr>
      </w:pPr>
      <w:r>
        <w:rPr>
          <w:rFonts w:hint="eastAsia"/>
          <w:color w:val="auto"/>
          <w:highlight w:val="none"/>
          <w:lang w:val="en-US" w:eastAsia="zh-CN"/>
        </w:rPr>
        <w:t>通过</w:t>
      </w:r>
      <w:r>
        <w:rPr>
          <w:rFonts w:hint="eastAsia"/>
          <w:color w:val="auto"/>
          <w:highlight w:val="none"/>
        </w:rPr>
        <w:t>符合性审查</w:t>
      </w:r>
      <w:r>
        <w:rPr>
          <w:rFonts w:hint="eastAsia"/>
          <w:color w:val="auto"/>
          <w:highlight w:val="none"/>
          <w:lang w:val="en-US" w:eastAsia="zh-CN"/>
        </w:rPr>
        <w:t>的</w:t>
      </w:r>
      <w:r>
        <w:rPr>
          <w:rFonts w:hint="eastAsia"/>
          <w:color w:val="auto"/>
          <w:highlight w:val="none"/>
        </w:rPr>
        <w:t>有效</w:t>
      </w:r>
      <w:r>
        <w:rPr>
          <w:rFonts w:hint="eastAsia"/>
          <w:color w:val="auto"/>
          <w:highlight w:val="none"/>
          <w:lang w:eastAsia="zh-CN"/>
        </w:rPr>
        <w:t>供应商</w:t>
      </w:r>
      <w:r>
        <w:rPr>
          <w:rFonts w:hint="eastAsia"/>
          <w:color w:val="auto"/>
          <w:highlight w:val="none"/>
        </w:rPr>
        <w:t>不足3家的应当终止采购活动，发布项目终止公告并说明原因，重新开展采购活动。</w:t>
      </w:r>
    </w:p>
    <w:p w14:paraId="34580356">
      <w:pPr>
        <w:pStyle w:val="4"/>
        <w:keepNext/>
        <w:keepLines/>
        <w:pageBreakBefore w:val="0"/>
        <w:widowControl w:val="0"/>
        <w:numPr>
          <w:ilvl w:val="0"/>
          <w:numId w:val="0"/>
        </w:numPr>
        <w:kinsoku/>
        <w:wordWrap/>
        <w:overflowPunct/>
        <w:topLinePunct w:val="0"/>
        <w:autoSpaceDE/>
        <w:autoSpaceDN/>
        <w:bidi w:val="0"/>
        <w:adjustRightInd/>
        <w:snapToGrid/>
        <w:spacing w:before="6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351" w:name="_Toc102119879"/>
      <w:bookmarkStart w:id="352" w:name="_Toc155185907"/>
      <w:bookmarkStart w:id="353" w:name="_Toc102116048"/>
      <w:bookmarkStart w:id="354" w:name="_Toc102057744"/>
      <w:bookmarkStart w:id="355" w:name="_Toc102056244"/>
      <w:bookmarkStart w:id="356" w:name="_Toc102114946"/>
      <w:bookmarkStart w:id="357" w:name="_Toc102116178"/>
      <w:bookmarkStart w:id="358" w:name="_Toc32172"/>
      <w:bookmarkStart w:id="359" w:name="_Toc163492903"/>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二</w:t>
      </w:r>
      <w:r>
        <w:rPr>
          <w:rFonts w:hint="eastAsia" w:ascii="宋体" w:hAnsi="宋体" w:eastAsia="宋体" w:cs="宋体"/>
          <w:b/>
          <w:bCs/>
          <w:color w:val="auto"/>
          <w:kern w:val="2"/>
          <w:sz w:val="24"/>
          <w:szCs w:val="24"/>
          <w:highlight w:val="none"/>
          <w:lang w:val="zh-CN" w:eastAsia="zh-CN" w:bidi="ar-SA"/>
        </w:rPr>
        <w:t>）投标文件澄清</w:t>
      </w:r>
      <w:bookmarkEnd w:id="351"/>
      <w:bookmarkEnd w:id="352"/>
      <w:bookmarkEnd w:id="353"/>
      <w:bookmarkEnd w:id="354"/>
      <w:bookmarkEnd w:id="355"/>
      <w:bookmarkEnd w:id="356"/>
      <w:bookmarkEnd w:id="357"/>
      <w:r>
        <w:rPr>
          <w:rFonts w:hint="eastAsia" w:ascii="宋体" w:hAnsi="宋体" w:eastAsia="宋体" w:cs="宋体"/>
          <w:b/>
          <w:bCs/>
          <w:color w:val="auto"/>
          <w:kern w:val="2"/>
          <w:sz w:val="24"/>
          <w:szCs w:val="24"/>
          <w:highlight w:val="none"/>
          <w:lang w:val="zh-CN" w:eastAsia="zh-CN" w:bidi="ar-SA"/>
        </w:rPr>
        <w:t>及修正</w:t>
      </w:r>
      <w:bookmarkEnd w:id="358"/>
      <w:bookmarkEnd w:id="359"/>
    </w:p>
    <w:p w14:paraId="0EC9197C">
      <w:pPr>
        <w:pStyle w:val="36"/>
        <w:keepNext w:val="0"/>
        <w:keepLines w:val="0"/>
        <w:pageBreakBefore w:val="0"/>
        <w:widowControl w:val="0"/>
        <w:kinsoku/>
        <w:wordWrap w:val="0"/>
        <w:overflowPunct/>
        <w:topLinePunct w:val="0"/>
        <w:autoSpaceDE/>
        <w:autoSpaceDN/>
        <w:bidi w:val="0"/>
        <w:adjustRightInd/>
        <w:snapToGrid/>
        <w:textAlignment w:val="auto"/>
        <w:rPr>
          <w:color w:val="auto"/>
          <w:highlight w:val="none"/>
        </w:rPr>
      </w:pPr>
      <w:r>
        <w:rPr>
          <w:rFonts w:hint="eastAsia"/>
          <w:color w:val="auto"/>
          <w:highlight w:val="none"/>
          <w:lang w:val="en-US" w:eastAsia="zh-CN"/>
        </w:rPr>
        <w:t>3</w:t>
      </w:r>
      <w:r>
        <w:rPr>
          <w:color w:val="auto"/>
          <w:highlight w:val="none"/>
        </w:rPr>
        <w:t>.</w:t>
      </w:r>
      <w:r>
        <w:rPr>
          <w:rFonts w:hint="eastAsia"/>
          <w:iCs/>
          <w:color w:val="auto"/>
          <w:spacing w:val="-6"/>
          <w:sz w:val="24"/>
          <w:highlight w:val="none"/>
        </w:rPr>
        <w:t>评标期间，对于投标文件中含义不明确、同类问题表述不一致或者有明显文字和计算错误的内容需要投标人作出必要的澄清、说明或者补正的，评标委员会应当在</w:t>
      </w:r>
      <w:r>
        <w:rPr>
          <w:rFonts w:hint="eastAsia"/>
          <w:iCs/>
          <w:color w:val="auto"/>
          <w:spacing w:val="-6"/>
          <w:sz w:val="24"/>
          <w:highlight w:val="none"/>
          <w:lang w:val="en-US" w:eastAsia="zh-CN"/>
        </w:rPr>
        <w:t>政采云平台评标</w:t>
      </w:r>
      <w:r>
        <w:rPr>
          <w:rFonts w:hint="eastAsia"/>
          <w:iCs/>
          <w:color w:val="auto"/>
          <w:spacing w:val="-6"/>
          <w:sz w:val="24"/>
          <w:highlight w:val="none"/>
        </w:rPr>
        <w:t>系统中以书面形式要求投标人作出必要的澄清、说明或者补正。</w:t>
      </w:r>
    </w:p>
    <w:p w14:paraId="079329DA">
      <w:pPr>
        <w:pStyle w:val="36"/>
        <w:keepNext w:val="0"/>
        <w:keepLines w:val="0"/>
        <w:pageBreakBefore w:val="0"/>
        <w:widowControl w:val="0"/>
        <w:kinsoku/>
        <w:wordWrap w:val="0"/>
        <w:overflowPunct/>
        <w:topLinePunct w:val="0"/>
        <w:autoSpaceDE/>
        <w:autoSpaceDN/>
        <w:bidi w:val="0"/>
        <w:adjustRightInd/>
        <w:snapToGrid/>
        <w:textAlignment w:val="auto"/>
        <w:rPr>
          <w:color w:val="auto"/>
          <w:highlight w:val="none"/>
        </w:rPr>
      </w:pPr>
      <w:r>
        <w:rPr>
          <w:rFonts w:hint="eastAsia"/>
          <w:color w:val="auto"/>
          <w:highlight w:val="none"/>
          <w:lang w:val="en-US" w:eastAsia="zh-CN"/>
        </w:rPr>
        <w:t>4</w:t>
      </w:r>
      <w:r>
        <w:rPr>
          <w:color w:val="auto"/>
          <w:highlight w:val="none"/>
        </w:rPr>
        <w:t>.</w:t>
      </w:r>
      <w:r>
        <w:rPr>
          <w:rFonts w:hint="eastAsia"/>
          <w:color w:val="auto"/>
          <w:highlight w:val="none"/>
        </w:rPr>
        <w:t>投标人应按照评标委员会要求在规定时间内作出澄清、说明或者补正，</w:t>
      </w:r>
      <w:r>
        <w:rPr>
          <w:color w:val="auto"/>
          <w:highlight w:val="none"/>
        </w:rPr>
        <w:t>澄清、说明或者补正不得超出投标文件的范围或者改变投标文件的实质性内容。</w:t>
      </w:r>
    </w:p>
    <w:p w14:paraId="591A6455">
      <w:pPr>
        <w:pStyle w:val="36"/>
        <w:keepNext w:val="0"/>
        <w:keepLines w:val="0"/>
        <w:pageBreakBefore w:val="0"/>
        <w:widowControl w:val="0"/>
        <w:kinsoku/>
        <w:wordWrap w:val="0"/>
        <w:overflowPunct/>
        <w:topLinePunct w:val="0"/>
        <w:autoSpaceDE/>
        <w:autoSpaceDN/>
        <w:bidi w:val="0"/>
        <w:adjustRightInd/>
        <w:snapToGrid/>
        <w:textAlignment w:val="auto"/>
        <w:rPr>
          <w:color w:val="auto"/>
          <w:highlight w:val="none"/>
        </w:rPr>
      </w:pPr>
      <w:r>
        <w:rPr>
          <w:rFonts w:hint="eastAsia"/>
          <w:color w:val="auto"/>
          <w:highlight w:val="none"/>
          <w:lang w:val="en-US" w:eastAsia="zh-CN"/>
        </w:rPr>
        <w:t>5</w:t>
      </w:r>
      <w:r>
        <w:rPr>
          <w:color w:val="auto"/>
          <w:highlight w:val="none"/>
        </w:rPr>
        <w:t>.</w:t>
      </w:r>
      <w:r>
        <w:rPr>
          <w:rFonts w:hint="eastAsia"/>
          <w:color w:val="auto"/>
          <w:highlight w:val="none"/>
        </w:rPr>
        <w:t>投标人的</w:t>
      </w:r>
      <w:r>
        <w:rPr>
          <w:color w:val="auto"/>
          <w:highlight w:val="none"/>
        </w:rPr>
        <w:t>澄清、说明或者补正</w:t>
      </w:r>
      <w:r>
        <w:rPr>
          <w:rFonts w:hint="eastAsia"/>
          <w:color w:val="auto"/>
          <w:highlight w:val="none"/>
        </w:rPr>
        <w:t>是其投标文件的有效组成部分，</w:t>
      </w:r>
      <w:r>
        <w:rPr>
          <w:color w:val="auto"/>
          <w:highlight w:val="none"/>
        </w:rPr>
        <w:t>澄清、说明或者补正应当</w:t>
      </w:r>
      <w:r>
        <w:rPr>
          <w:rFonts w:hint="eastAsia"/>
          <w:color w:val="auto"/>
          <w:highlight w:val="none"/>
        </w:rPr>
        <w:t>在</w:t>
      </w:r>
      <w:r>
        <w:rPr>
          <w:rFonts w:hint="eastAsia"/>
          <w:color w:val="auto"/>
          <w:highlight w:val="none"/>
          <w:lang w:val="en-US" w:eastAsia="zh-CN"/>
        </w:rPr>
        <w:t>政采云平台评标</w:t>
      </w:r>
      <w:r>
        <w:rPr>
          <w:rFonts w:hint="eastAsia"/>
          <w:color w:val="auto"/>
          <w:highlight w:val="none"/>
        </w:rPr>
        <w:t>系统中加盖电子印章后提交</w:t>
      </w:r>
      <w:r>
        <w:rPr>
          <w:color w:val="auto"/>
          <w:highlight w:val="none"/>
        </w:rPr>
        <w:t>。</w:t>
      </w:r>
    </w:p>
    <w:p w14:paraId="3B466024">
      <w:pPr>
        <w:pStyle w:val="36"/>
        <w:keepNext w:val="0"/>
        <w:keepLines w:val="0"/>
        <w:pageBreakBefore w:val="0"/>
        <w:widowControl w:val="0"/>
        <w:kinsoku/>
        <w:wordWrap w:val="0"/>
        <w:overflowPunct/>
        <w:topLinePunct w:val="0"/>
        <w:autoSpaceDE/>
        <w:autoSpaceDN/>
        <w:bidi w:val="0"/>
        <w:adjustRightInd/>
        <w:snapToGrid/>
        <w:textAlignment w:val="auto"/>
        <w:rPr>
          <w:color w:val="auto"/>
          <w:highlight w:val="none"/>
        </w:rPr>
      </w:pPr>
      <w:r>
        <w:rPr>
          <w:rFonts w:hint="eastAsia"/>
          <w:color w:val="auto"/>
          <w:highlight w:val="none"/>
          <w:lang w:val="en-US" w:eastAsia="zh-CN"/>
        </w:rPr>
        <w:t>6</w:t>
      </w:r>
      <w:r>
        <w:rPr>
          <w:color w:val="auto"/>
          <w:highlight w:val="none"/>
        </w:rPr>
        <w:t>.</w:t>
      </w:r>
      <w:r>
        <w:rPr>
          <w:rFonts w:hint="eastAsia"/>
          <w:color w:val="auto"/>
          <w:highlight w:val="none"/>
        </w:rPr>
        <w:t>报价合理性说明：</w:t>
      </w:r>
      <w:r>
        <w:rPr>
          <w:color w:val="auto"/>
          <w:highlight w:val="none"/>
        </w:rPr>
        <w:t>评标委员会认为投标人的报价明显低于其他通过</w:t>
      </w:r>
      <w:r>
        <w:rPr>
          <w:rFonts w:hint="eastAsia"/>
          <w:color w:val="auto"/>
          <w:highlight w:val="none"/>
        </w:rPr>
        <w:t>符合性审查</w:t>
      </w:r>
      <w:r>
        <w:rPr>
          <w:color w:val="auto"/>
          <w:highlight w:val="none"/>
        </w:rPr>
        <w:t>投标人的报价，有可能影响</w:t>
      </w:r>
      <w:r>
        <w:rPr>
          <w:rFonts w:hint="eastAsia"/>
          <w:color w:val="auto"/>
          <w:highlight w:val="none"/>
          <w:lang w:val="en-US" w:eastAsia="zh-CN"/>
        </w:rPr>
        <w:t>服务</w:t>
      </w:r>
      <w:r>
        <w:rPr>
          <w:color w:val="auto"/>
          <w:highlight w:val="none"/>
        </w:rPr>
        <w:t>质量或者不能诚信履约的，</w:t>
      </w:r>
      <w:r>
        <w:rPr>
          <w:rFonts w:hint="eastAsia"/>
          <w:color w:val="auto"/>
          <w:highlight w:val="none"/>
          <w:lang w:val="en-US" w:eastAsia="zh-CN"/>
        </w:rPr>
        <w:t>应当</w:t>
      </w:r>
      <w:r>
        <w:rPr>
          <w:color w:val="auto"/>
          <w:highlight w:val="none"/>
        </w:rPr>
        <w:t>要求</w:t>
      </w:r>
      <w:r>
        <w:rPr>
          <w:rFonts w:hint="eastAsia"/>
          <w:color w:val="auto"/>
          <w:highlight w:val="none"/>
          <w:lang w:val="en-US" w:eastAsia="zh-CN"/>
        </w:rPr>
        <w:t>该投标人</w:t>
      </w:r>
      <w:r>
        <w:rPr>
          <w:rFonts w:hint="eastAsia"/>
          <w:color w:val="auto"/>
          <w:highlight w:val="none"/>
        </w:rPr>
        <w:t>在</w:t>
      </w:r>
      <w:r>
        <w:rPr>
          <w:color w:val="auto"/>
          <w:highlight w:val="none"/>
        </w:rPr>
        <w:t>合理的时间内提供说明，必要时提交相关证明材料；</w:t>
      </w:r>
      <w:r>
        <w:rPr>
          <w:rFonts w:hint="eastAsia"/>
          <w:color w:val="auto"/>
          <w:highlight w:val="none"/>
          <w:lang w:val="en-US" w:eastAsia="zh-CN"/>
        </w:rPr>
        <w:t>若</w:t>
      </w:r>
      <w:r>
        <w:rPr>
          <w:color w:val="auto"/>
          <w:highlight w:val="none"/>
        </w:rPr>
        <w:t>投标人不能证明其报价合理性的，评标委员</w:t>
      </w:r>
      <w:r>
        <w:rPr>
          <w:rFonts w:hint="eastAsia"/>
          <w:color w:val="auto"/>
          <w:highlight w:val="none"/>
          <w:lang w:val="en-US" w:eastAsia="zh-CN"/>
        </w:rPr>
        <w:t>会应当</w:t>
      </w:r>
      <w:r>
        <w:rPr>
          <w:rFonts w:hint="eastAsia"/>
          <w:color w:val="auto"/>
          <w:highlight w:val="none"/>
        </w:rPr>
        <w:t>将其作</w:t>
      </w:r>
      <w:r>
        <w:rPr>
          <w:b/>
          <w:bCs/>
          <w:color w:val="auto"/>
          <w:highlight w:val="none"/>
        </w:rPr>
        <w:t>无效投标</w:t>
      </w:r>
      <w:r>
        <w:rPr>
          <w:color w:val="auto"/>
          <w:highlight w:val="none"/>
        </w:rPr>
        <w:t>处理。</w:t>
      </w:r>
    </w:p>
    <w:p w14:paraId="4FD6345C">
      <w:pPr>
        <w:pStyle w:val="36"/>
        <w:keepNext w:val="0"/>
        <w:keepLines w:val="0"/>
        <w:pageBreakBefore w:val="0"/>
        <w:widowControl w:val="0"/>
        <w:kinsoku/>
        <w:wordWrap w:val="0"/>
        <w:overflowPunct/>
        <w:topLinePunct w:val="0"/>
        <w:autoSpaceDE/>
        <w:autoSpaceDN/>
        <w:bidi w:val="0"/>
        <w:adjustRightInd/>
        <w:snapToGrid/>
        <w:ind w:left="0" w:leftChars="0" w:firstLine="480" w:firstLineChars="200"/>
        <w:textAlignment w:val="auto"/>
        <w:rPr>
          <w:rFonts w:hint="eastAsia"/>
          <w:color w:val="auto"/>
          <w:highlight w:val="none"/>
          <w:lang w:val="en-US" w:eastAsia="zh-CN"/>
        </w:rPr>
      </w:pPr>
      <w:r>
        <w:rPr>
          <w:rFonts w:hint="eastAsia"/>
          <w:color w:val="auto"/>
          <w:highlight w:val="none"/>
          <w:lang w:val="en-US" w:eastAsia="zh-CN"/>
        </w:rPr>
        <w:t>7.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b/>
          <w:bCs/>
          <w:color w:val="auto"/>
          <w:highlight w:val="none"/>
          <w:lang w:val="en-US" w:eastAsia="zh-CN"/>
        </w:rPr>
        <w:t>投标无效</w:t>
      </w:r>
      <w:r>
        <w:rPr>
          <w:rFonts w:hint="eastAsia"/>
          <w:color w:val="auto"/>
          <w:highlight w:val="none"/>
          <w:lang w:val="en-US" w:eastAsia="zh-CN"/>
        </w:rPr>
        <w:t>。</w:t>
      </w:r>
    </w:p>
    <w:p w14:paraId="015D7E7F">
      <w:pPr>
        <w:pStyle w:val="36"/>
        <w:keepNext w:val="0"/>
        <w:keepLines w:val="0"/>
        <w:pageBreakBefore w:val="0"/>
        <w:widowControl w:val="0"/>
        <w:kinsoku/>
        <w:wordWrap w:val="0"/>
        <w:overflowPunct/>
        <w:topLinePunct w:val="0"/>
        <w:autoSpaceDE/>
        <w:autoSpaceDN/>
        <w:bidi w:val="0"/>
        <w:adjustRightInd/>
        <w:snapToGrid/>
        <w:ind w:left="0" w:leftChars="0" w:firstLine="480" w:firstLineChars="200"/>
        <w:textAlignment w:val="auto"/>
        <w:rPr>
          <w:rFonts w:hint="eastAsia"/>
          <w:color w:val="auto"/>
          <w:highlight w:val="none"/>
          <w:lang w:val="en-US" w:eastAsia="zh-CN"/>
        </w:rPr>
      </w:pPr>
      <w:r>
        <w:rPr>
          <w:rFonts w:hint="eastAsia"/>
          <w:color w:val="auto"/>
          <w:highlight w:val="none"/>
          <w:lang w:val="en-US" w:eastAsia="zh-CN"/>
        </w:rPr>
        <w:t>8.投标文件报价出现前后不一致的，除招标文件另有规定外，按照下列规定修正：</w:t>
      </w:r>
    </w:p>
    <w:p w14:paraId="4D967018">
      <w:pPr>
        <w:pStyle w:val="36"/>
        <w:keepNext w:val="0"/>
        <w:keepLines w:val="0"/>
        <w:pageBreakBefore w:val="0"/>
        <w:widowControl w:val="0"/>
        <w:kinsoku/>
        <w:wordWrap w:val="0"/>
        <w:overflowPunct/>
        <w:topLinePunct w:val="0"/>
        <w:autoSpaceDE/>
        <w:autoSpaceDN/>
        <w:bidi w:val="0"/>
        <w:adjustRightInd/>
        <w:snapToGrid/>
        <w:ind w:left="0" w:leftChars="0" w:firstLine="480" w:firstLineChars="200"/>
        <w:textAlignment w:val="auto"/>
        <w:rPr>
          <w:rFonts w:hint="eastAsia"/>
          <w:color w:val="auto"/>
          <w:highlight w:val="none"/>
          <w:lang w:val="en-US" w:eastAsia="zh-CN"/>
        </w:rPr>
      </w:pPr>
      <w:r>
        <w:rPr>
          <w:rFonts w:hint="eastAsia"/>
          <w:color w:val="auto"/>
          <w:highlight w:val="none"/>
          <w:lang w:val="en-US" w:eastAsia="zh-CN"/>
        </w:rPr>
        <w:t>8.1投标文件中开标一览表（报价表）内容与投标文件中相应内容不一致的，以开标一览表（报价表）为准；</w:t>
      </w:r>
    </w:p>
    <w:p w14:paraId="657B9F51">
      <w:pPr>
        <w:pStyle w:val="36"/>
        <w:keepNext w:val="0"/>
        <w:keepLines w:val="0"/>
        <w:pageBreakBefore w:val="0"/>
        <w:widowControl w:val="0"/>
        <w:kinsoku/>
        <w:wordWrap w:val="0"/>
        <w:overflowPunct/>
        <w:topLinePunct w:val="0"/>
        <w:autoSpaceDE/>
        <w:autoSpaceDN/>
        <w:bidi w:val="0"/>
        <w:adjustRightInd/>
        <w:snapToGrid/>
        <w:ind w:left="0" w:leftChars="0" w:firstLine="480" w:firstLineChars="200"/>
        <w:textAlignment w:val="auto"/>
        <w:rPr>
          <w:rFonts w:hint="eastAsia"/>
          <w:color w:val="auto"/>
          <w:highlight w:val="none"/>
          <w:lang w:val="en-US" w:eastAsia="zh-CN"/>
        </w:rPr>
      </w:pPr>
      <w:r>
        <w:rPr>
          <w:rFonts w:hint="eastAsia"/>
          <w:color w:val="auto"/>
          <w:highlight w:val="none"/>
          <w:lang w:val="en-US" w:eastAsia="zh-CN"/>
        </w:rPr>
        <w:t>8.2大写金额和小写金额不一致的，以大写金额为准；</w:t>
      </w:r>
    </w:p>
    <w:p w14:paraId="628E9D79">
      <w:pPr>
        <w:pStyle w:val="36"/>
        <w:keepNext w:val="0"/>
        <w:keepLines w:val="0"/>
        <w:pageBreakBefore w:val="0"/>
        <w:widowControl w:val="0"/>
        <w:kinsoku/>
        <w:wordWrap w:val="0"/>
        <w:overflowPunct/>
        <w:topLinePunct w:val="0"/>
        <w:autoSpaceDE/>
        <w:autoSpaceDN/>
        <w:bidi w:val="0"/>
        <w:adjustRightInd/>
        <w:snapToGrid/>
        <w:ind w:left="0" w:leftChars="0" w:firstLine="480" w:firstLineChars="200"/>
        <w:textAlignment w:val="auto"/>
        <w:rPr>
          <w:rFonts w:hint="eastAsia"/>
          <w:color w:val="auto"/>
          <w:highlight w:val="none"/>
          <w:lang w:val="en-US" w:eastAsia="zh-CN"/>
        </w:rPr>
      </w:pPr>
      <w:r>
        <w:rPr>
          <w:rFonts w:hint="eastAsia"/>
          <w:color w:val="auto"/>
          <w:highlight w:val="none"/>
          <w:lang w:val="en-US" w:eastAsia="zh-CN"/>
        </w:rPr>
        <w:t>8.3单价金额小数点或者百分比有明显错位的，以开标一览表的总价为准，并修改单价；</w:t>
      </w:r>
    </w:p>
    <w:p w14:paraId="3D45997F">
      <w:pPr>
        <w:pStyle w:val="36"/>
        <w:keepNext w:val="0"/>
        <w:keepLines w:val="0"/>
        <w:pageBreakBefore w:val="0"/>
        <w:widowControl w:val="0"/>
        <w:kinsoku/>
        <w:wordWrap w:val="0"/>
        <w:overflowPunct/>
        <w:topLinePunct w:val="0"/>
        <w:autoSpaceDE/>
        <w:autoSpaceDN/>
        <w:bidi w:val="0"/>
        <w:adjustRightInd/>
        <w:snapToGrid/>
        <w:ind w:left="0" w:leftChars="0" w:firstLine="480" w:firstLineChars="200"/>
        <w:textAlignment w:val="auto"/>
        <w:rPr>
          <w:rFonts w:hint="eastAsia"/>
          <w:color w:val="auto"/>
          <w:highlight w:val="none"/>
          <w:lang w:val="en-US" w:eastAsia="zh-CN"/>
        </w:rPr>
      </w:pPr>
      <w:r>
        <w:rPr>
          <w:rFonts w:hint="eastAsia"/>
          <w:color w:val="auto"/>
          <w:highlight w:val="none"/>
          <w:lang w:val="en-US" w:eastAsia="zh-CN"/>
        </w:rPr>
        <w:t>8.4总价金额与按单价汇总金额不一致的，以单价金额计算结果为准。</w:t>
      </w:r>
    </w:p>
    <w:p w14:paraId="4E5FFFFF">
      <w:pPr>
        <w:pStyle w:val="36"/>
        <w:keepNext w:val="0"/>
        <w:keepLines w:val="0"/>
        <w:pageBreakBefore w:val="0"/>
        <w:widowControl w:val="0"/>
        <w:kinsoku/>
        <w:wordWrap w:val="0"/>
        <w:overflowPunct/>
        <w:topLinePunct w:val="0"/>
        <w:autoSpaceDE/>
        <w:autoSpaceDN/>
        <w:bidi w:val="0"/>
        <w:adjustRightInd/>
        <w:snapToGrid/>
        <w:ind w:left="0" w:leftChars="0" w:firstLine="480" w:firstLineChars="200"/>
        <w:textAlignment w:val="auto"/>
        <w:rPr>
          <w:rFonts w:hint="eastAsia"/>
          <w:color w:val="auto"/>
          <w:highlight w:val="none"/>
          <w:lang w:val="en-US" w:eastAsia="zh-CN"/>
        </w:rPr>
      </w:pPr>
      <w:r>
        <w:rPr>
          <w:rFonts w:hint="eastAsia"/>
          <w:color w:val="auto"/>
          <w:highlight w:val="none"/>
          <w:lang w:val="en-US" w:eastAsia="zh-CN"/>
        </w:rPr>
        <w:t>同时出现两种以上不一致的，按照8.1—8.4的顺序修正。修正后的报价采用书面形式，并加盖公章，或者由法定代表人或其授权的代表签字，经投标人确认后产生约束力，投标人不确认的，其</w:t>
      </w:r>
      <w:r>
        <w:rPr>
          <w:rFonts w:hint="eastAsia"/>
          <w:b/>
          <w:bCs/>
          <w:color w:val="auto"/>
          <w:highlight w:val="none"/>
          <w:lang w:val="en-US" w:eastAsia="zh-CN"/>
        </w:rPr>
        <w:t>投标无效</w:t>
      </w:r>
      <w:r>
        <w:rPr>
          <w:rFonts w:hint="eastAsia"/>
          <w:color w:val="auto"/>
          <w:highlight w:val="none"/>
          <w:lang w:val="en-US" w:eastAsia="zh-CN"/>
        </w:rPr>
        <w:t>。</w:t>
      </w:r>
    </w:p>
    <w:p w14:paraId="33748C4F">
      <w:pPr>
        <w:pStyle w:val="4"/>
        <w:keepNext/>
        <w:keepLines/>
        <w:pageBreakBefore w:val="0"/>
        <w:widowControl w:val="0"/>
        <w:numPr>
          <w:ilvl w:val="0"/>
          <w:numId w:val="0"/>
        </w:numPr>
        <w:kinsoku/>
        <w:wordWrap/>
        <w:overflowPunct/>
        <w:topLinePunct w:val="0"/>
        <w:autoSpaceDE/>
        <w:autoSpaceDN/>
        <w:bidi w:val="0"/>
        <w:adjustRightInd/>
        <w:snapToGrid/>
        <w:spacing w:before="6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360" w:name="_Toc13089"/>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三</w:t>
      </w:r>
      <w:r>
        <w:rPr>
          <w:rFonts w:hint="eastAsia" w:ascii="宋体" w:hAnsi="宋体" w:eastAsia="宋体" w:cs="宋体"/>
          <w:b/>
          <w:bCs/>
          <w:color w:val="auto"/>
          <w:kern w:val="2"/>
          <w:sz w:val="24"/>
          <w:szCs w:val="24"/>
          <w:highlight w:val="none"/>
          <w:lang w:val="zh-CN" w:eastAsia="zh-CN" w:bidi="ar-SA"/>
        </w:rPr>
        <w:t>）比较与评价</w:t>
      </w:r>
      <w:bookmarkEnd w:id="360"/>
    </w:p>
    <w:p w14:paraId="2BE6ECB2">
      <w:pPr>
        <w:pStyle w:val="36"/>
        <w:rPr>
          <w:rFonts w:hint="eastAsia"/>
          <w:color w:val="auto"/>
          <w:highlight w:val="none"/>
        </w:rPr>
      </w:pPr>
      <w:r>
        <w:rPr>
          <w:rFonts w:hint="eastAsia"/>
          <w:color w:val="auto"/>
          <w:highlight w:val="none"/>
          <w:lang w:val="en-US" w:eastAsia="zh-CN"/>
        </w:rPr>
        <w:t>9.</w:t>
      </w:r>
      <w:r>
        <w:rPr>
          <w:rFonts w:hint="eastAsia"/>
          <w:color w:val="auto"/>
          <w:highlight w:val="none"/>
        </w:rPr>
        <w:t>评标委员会应当按照招标文件中规定的评标方法和标准，对符合性审查合格的投标文件进行商务和技术评</w:t>
      </w:r>
      <w:r>
        <w:rPr>
          <w:rFonts w:hint="eastAsia"/>
          <w:color w:val="auto"/>
          <w:highlight w:val="none"/>
          <w:lang w:val="en-US" w:eastAsia="zh-CN"/>
        </w:rPr>
        <w:t>估</w:t>
      </w:r>
      <w:r>
        <w:rPr>
          <w:rFonts w:hint="eastAsia"/>
          <w:color w:val="auto"/>
          <w:highlight w:val="none"/>
        </w:rPr>
        <w:t>，综合比较与评价</w:t>
      </w:r>
      <w:r>
        <w:rPr>
          <w:rFonts w:hint="eastAsia"/>
          <w:color w:val="auto"/>
          <w:highlight w:val="none"/>
          <w:lang w:val="en-US" w:eastAsia="zh-CN"/>
        </w:rPr>
        <w:t>；未通过符合性审查的投标文件不得进入比较与评价</w:t>
      </w:r>
      <w:r>
        <w:rPr>
          <w:rFonts w:hint="eastAsia"/>
          <w:color w:val="auto"/>
          <w:highlight w:val="none"/>
        </w:rPr>
        <w:t>。评审因素包括投标报价、商务技术以及落实政府采购政策。评审因素及标准见本章</w:t>
      </w:r>
      <w:r>
        <w:rPr>
          <w:rFonts w:hint="eastAsia"/>
          <w:color w:val="auto"/>
          <w:highlight w:val="none"/>
          <w:lang w:eastAsia="zh-CN"/>
        </w:rPr>
        <w:t>“</w:t>
      </w:r>
      <w:r>
        <w:rPr>
          <w:rFonts w:hint="eastAsia"/>
          <w:color w:val="auto"/>
          <w:highlight w:val="none"/>
          <w:lang w:val="en-US" w:eastAsia="zh-CN"/>
        </w:rPr>
        <w:t>四、</w:t>
      </w:r>
      <w:r>
        <w:rPr>
          <w:rFonts w:hint="eastAsia"/>
          <w:color w:val="auto"/>
          <w:highlight w:val="none"/>
        </w:rPr>
        <w:t>评</w:t>
      </w:r>
      <w:r>
        <w:rPr>
          <w:rFonts w:hint="eastAsia"/>
          <w:color w:val="auto"/>
          <w:highlight w:val="none"/>
          <w:lang w:val="en-US" w:eastAsia="zh-CN"/>
        </w:rPr>
        <w:t>标</w:t>
      </w:r>
      <w:r>
        <w:rPr>
          <w:rFonts w:hint="eastAsia"/>
          <w:color w:val="auto"/>
          <w:highlight w:val="none"/>
        </w:rPr>
        <w:t>标准</w:t>
      </w:r>
      <w:r>
        <w:rPr>
          <w:rFonts w:hint="eastAsia"/>
          <w:color w:val="auto"/>
          <w:highlight w:val="none"/>
          <w:lang w:eastAsia="zh-CN"/>
        </w:rPr>
        <w:t>”</w:t>
      </w:r>
      <w:r>
        <w:rPr>
          <w:rFonts w:hint="eastAsia"/>
          <w:color w:val="auto"/>
          <w:highlight w:val="none"/>
        </w:rPr>
        <w:t>。</w:t>
      </w:r>
    </w:p>
    <w:p w14:paraId="384D833B">
      <w:pPr>
        <w:pStyle w:val="36"/>
        <w:keepNext w:val="0"/>
        <w:keepLines w:val="0"/>
        <w:pageBreakBefore w:val="0"/>
        <w:widowControl w:val="0"/>
        <w:kinsoku/>
        <w:overflowPunct/>
        <w:topLinePunct w:val="0"/>
        <w:autoSpaceDE/>
        <w:autoSpaceDN/>
        <w:bidi w:val="0"/>
        <w:adjustRightInd/>
        <w:snapToGrid/>
        <w:textAlignment w:val="auto"/>
        <w:rPr>
          <w:rFonts w:hint="eastAsia"/>
          <w:color w:val="auto"/>
          <w:highlight w:val="none"/>
        </w:rPr>
      </w:pPr>
      <w:r>
        <w:rPr>
          <w:rFonts w:hint="eastAsia"/>
          <w:color w:val="auto"/>
          <w:highlight w:val="none"/>
          <w:lang w:val="en-US" w:eastAsia="zh-CN"/>
        </w:rPr>
        <w:t>10</w:t>
      </w:r>
      <w:r>
        <w:rPr>
          <w:color w:val="auto"/>
          <w:highlight w:val="none"/>
        </w:rPr>
        <w:t>.</w:t>
      </w:r>
      <w:r>
        <w:rPr>
          <w:rFonts w:hint="eastAsia"/>
          <w:color w:val="auto"/>
          <w:highlight w:val="none"/>
        </w:rPr>
        <w:t>有效投标</w:t>
      </w:r>
      <w:r>
        <w:rPr>
          <w:rFonts w:hint="eastAsia"/>
          <w:color w:val="auto"/>
          <w:highlight w:val="none"/>
          <w:lang w:val="en-US" w:eastAsia="zh-CN"/>
        </w:rPr>
        <w:t>人</w:t>
      </w:r>
      <w:r>
        <w:rPr>
          <w:rFonts w:hint="eastAsia"/>
          <w:color w:val="auto"/>
          <w:highlight w:val="none"/>
        </w:rPr>
        <w:t>不足</w:t>
      </w:r>
      <w:r>
        <w:rPr>
          <w:color w:val="auto"/>
          <w:highlight w:val="none"/>
        </w:rPr>
        <w:t>3</w:t>
      </w:r>
      <w:r>
        <w:rPr>
          <w:rFonts w:hint="eastAsia"/>
          <w:color w:val="auto"/>
          <w:highlight w:val="none"/>
        </w:rPr>
        <w:t>家的应按</w:t>
      </w:r>
      <w:r>
        <w:rPr>
          <w:rFonts w:hint="eastAsia"/>
          <w:b/>
          <w:bCs/>
          <w:color w:val="auto"/>
          <w:highlight w:val="none"/>
        </w:rPr>
        <w:t>废标</w:t>
      </w:r>
      <w:r>
        <w:rPr>
          <w:rFonts w:hint="eastAsia"/>
          <w:color w:val="auto"/>
          <w:highlight w:val="none"/>
        </w:rPr>
        <w:t>处理。</w:t>
      </w:r>
    </w:p>
    <w:p w14:paraId="7C54BD9F">
      <w:pPr>
        <w:pStyle w:val="4"/>
        <w:keepNext/>
        <w:keepLines/>
        <w:pageBreakBefore w:val="0"/>
        <w:widowControl w:val="0"/>
        <w:numPr>
          <w:ilvl w:val="0"/>
          <w:numId w:val="0"/>
        </w:numPr>
        <w:kinsoku/>
        <w:wordWrap/>
        <w:overflowPunct/>
        <w:topLinePunct w:val="0"/>
        <w:autoSpaceDE/>
        <w:autoSpaceDN/>
        <w:bidi w:val="0"/>
        <w:adjustRightInd/>
        <w:snapToGrid/>
        <w:spacing w:before="6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361" w:name="_Toc337"/>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四</w:t>
      </w:r>
      <w:r>
        <w:rPr>
          <w:rFonts w:hint="eastAsia" w:ascii="宋体" w:hAnsi="宋体" w:eastAsia="宋体" w:cs="宋体"/>
          <w:b/>
          <w:bCs/>
          <w:color w:val="auto"/>
          <w:kern w:val="2"/>
          <w:sz w:val="24"/>
          <w:szCs w:val="24"/>
          <w:highlight w:val="none"/>
          <w:lang w:val="zh-CN" w:eastAsia="zh-CN" w:bidi="ar-SA"/>
        </w:rPr>
        <w:t>）报价评审</w:t>
      </w:r>
      <w:bookmarkEnd w:id="361"/>
    </w:p>
    <w:p w14:paraId="21874171">
      <w:pPr>
        <w:pStyle w:val="36"/>
        <w:rPr>
          <w:color w:val="auto"/>
          <w:highlight w:val="none"/>
        </w:rPr>
      </w:pPr>
      <w:r>
        <w:rPr>
          <w:rFonts w:hint="eastAsia"/>
          <w:color w:val="auto"/>
          <w:highlight w:val="none"/>
          <w:lang w:val="en-US" w:eastAsia="zh-CN"/>
        </w:rPr>
        <w:t>11.</w:t>
      </w:r>
      <w:r>
        <w:rPr>
          <w:color w:val="auto"/>
          <w:highlight w:val="none"/>
        </w:rPr>
        <w:t>投标报价评审</w:t>
      </w:r>
    </w:p>
    <w:p w14:paraId="266BD854">
      <w:pPr>
        <w:pStyle w:val="36"/>
        <w:rPr>
          <w:color w:val="auto"/>
          <w:highlight w:val="none"/>
        </w:rPr>
      </w:pPr>
      <w:r>
        <w:rPr>
          <w:rFonts w:hint="eastAsia" w:ascii="宋体" w:hAnsi="宋体" w:eastAsia="宋体"/>
          <w:color w:val="auto"/>
          <w:highlight w:val="none"/>
          <w:lang w:val="en-US" w:eastAsia="zh-CN"/>
        </w:rPr>
        <w:t>11.1服务项目的价格分值占总分值的比重不得低于</w:t>
      </w:r>
      <w:r>
        <w:rPr>
          <w:rFonts w:hint="default" w:ascii="宋体" w:hAnsi="宋体" w:eastAsia="宋体"/>
          <w:color w:val="auto"/>
          <w:highlight w:val="none"/>
          <w:lang w:val="en-US" w:eastAsia="zh-CN"/>
        </w:rPr>
        <w:t>10%。</w:t>
      </w:r>
      <w:r>
        <w:rPr>
          <w:rFonts w:hint="eastAsia"/>
          <w:color w:val="auto"/>
          <w:highlight w:val="none"/>
          <w:lang w:val="en-US" w:eastAsia="zh-CN"/>
        </w:rPr>
        <w:t>执行国家统一定价标准和采用固定价格采购的项目，其价格不列为评审因素。</w:t>
      </w:r>
      <w:r>
        <w:rPr>
          <w:color w:val="auto"/>
          <w:highlight w:val="none"/>
        </w:rPr>
        <w:t>价格分应当采用低价优先法计算，即满足招标文件要求且投标价格最低的投标报价为评标基准价，其价格分为满分。其他投标人的价格分统一按照下列公式计算：</w:t>
      </w:r>
    </w:p>
    <w:p w14:paraId="2D86B7AD">
      <w:pPr>
        <w:pStyle w:val="36"/>
        <w:rPr>
          <w:color w:val="auto"/>
          <w:highlight w:val="none"/>
        </w:rPr>
      </w:pPr>
      <w:r>
        <w:rPr>
          <w:rFonts w:hint="eastAsia"/>
          <w:color w:val="auto"/>
          <w:highlight w:val="none"/>
        </w:rPr>
        <w:t>投标报价得分</w:t>
      </w:r>
      <w:r>
        <w:rPr>
          <w:color w:val="auto"/>
          <w:highlight w:val="none"/>
        </w:rPr>
        <w:t>=(评标基准价／投标报价)×</w:t>
      </w:r>
      <w:r>
        <w:rPr>
          <w:rFonts w:hint="eastAsia"/>
          <w:color w:val="auto"/>
          <w:highlight w:val="none"/>
        </w:rPr>
        <w:t>价格</w:t>
      </w:r>
      <w:r>
        <w:rPr>
          <w:rFonts w:hint="eastAsia"/>
          <w:color w:val="auto"/>
          <w:highlight w:val="none"/>
          <w:lang w:eastAsia="zh-CN"/>
        </w:rPr>
        <w:t>分值</w:t>
      </w:r>
    </w:p>
    <w:p w14:paraId="0CCB2E48">
      <w:pPr>
        <w:pStyle w:val="36"/>
        <w:rPr>
          <w:color w:val="auto"/>
          <w:highlight w:val="none"/>
        </w:rPr>
      </w:pPr>
      <w:r>
        <w:rPr>
          <w:rFonts w:hint="eastAsia"/>
          <w:color w:val="auto"/>
          <w:highlight w:val="none"/>
        </w:rPr>
        <w:t>评标过程中，不得去掉报价中的最高报价和最低报价。</w:t>
      </w:r>
    </w:p>
    <w:p w14:paraId="14E623B0">
      <w:pPr>
        <w:pStyle w:val="36"/>
        <w:rPr>
          <w:color w:val="auto"/>
          <w:highlight w:val="none"/>
        </w:rPr>
      </w:pPr>
      <w:r>
        <w:rPr>
          <w:rFonts w:hint="eastAsia"/>
          <w:color w:val="auto"/>
          <w:highlight w:val="none"/>
          <w:lang w:val="en-US" w:eastAsia="zh-CN"/>
        </w:rPr>
        <w:t>11.</w:t>
      </w:r>
      <w:r>
        <w:rPr>
          <w:color w:val="auto"/>
          <w:highlight w:val="none"/>
        </w:rPr>
        <w:t>2</w:t>
      </w:r>
      <w:r>
        <w:rPr>
          <w:rFonts w:hint="eastAsia"/>
          <w:iCs/>
          <w:color w:val="auto"/>
          <w:spacing w:val="-6"/>
          <w:sz w:val="24"/>
          <w:highlight w:val="none"/>
        </w:rPr>
        <w:t>除算术修正和落实政府采购政策的价格扣除外，不对投标报价进行调整；</w:t>
      </w:r>
    </w:p>
    <w:p w14:paraId="6DDDADCE">
      <w:pPr>
        <w:pStyle w:val="36"/>
        <w:rPr>
          <w:color w:val="auto"/>
          <w:highlight w:val="none"/>
        </w:rPr>
      </w:pPr>
      <w:r>
        <w:rPr>
          <w:rFonts w:hint="eastAsia"/>
          <w:color w:val="auto"/>
          <w:highlight w:val="none"/>
          <w:lang w:val="en-US" w:eastAsia="zh-CN"/>
        </w:rPr>
        <w:t>11.</w:t>
      </w:r>
      <w:r>
        <w:rPr>
          <w:color w:val="auto"/>
          <w:highlight w:val="none"/>
        </w:rPr>
        <w:t>3价</w:t>
      </w:r>
      <w:r>
        <w:rPr>
          <w:rFonts w:hint="eastAsia"/>
          <w:color w:val="auto"/>
          <w:highlight w:val="none"/>
        </w:rPr>
        <w:t>格</w:t>
      </w:r>
      <w:r>
        <w:rPr>
          <w:rFonts w:hint="eastAsia"/>
          <w:color w:val="auto"/>
          <w:highlight w:val="none"/>
          <w:lang w:eastAsia="zh-CN"/>
        </w:rPr>
        <w:t>分值</w:t>
      </w:r>
      <w:r>
        <w:rPr>
          <w:rFonts w:hint="eastAsia"/>
          <w:color w:val="auto"/>
          <w:highlight w:val="none"/>
        </w:rPr>
        <w:t>见本章</w:t>
      </w:r>
      <w:r>
        <w:rPr>
          <w:rFonts w:hint="eastAsia"/>
          <w:color w:val="auto"/>
          <w:highlight w:val="none"/>
          <w:lang w:eastAsia="zh-CN"/>
        </w:rPr>
        <w:t>“</w:t>
      </w:r>
      <w:r>
        <w:rPr>
          <w:rFonts w:hint="eastAsia"/>
          <w:color w:val="auto"/>
          <w:highlight w:val="none"/>
          <w:lang w:val="en-US" w:eastAsia="zh-CN"/>
        </w:rPr>
        <w:t>四、</w:t>
      </w:r>
      <w:r>
        <w:rPr>
          <w:rFonts w:hint="eastAsia"/>
          <w:color w:val="auto"/>
          <w:highlight w:val="none"/>
        </w:rPr>
        <w:t>评</w:t>
      </w:r>
      <w:r>
        <w:rPr>
          <w:rFonts w:hint="eastAsia"/>
          <w:color w:val="auto"/>
          <w:highlight w:val="none"/>
          <w:lang w:val="en-US" w:eastAsia="zh-CN"/>
        </w:rPr>
        <w:t>标</w:t>
      </w:r>
      <w:r>
        <w:rPr>
          <w:rFonts w:hint="eastAsia"/>
          <w:color w:val="auto"/>
          <w:highlight w:val="none"/>
        </w:rPr>
        <w:t>标准</w:t>
      </w:r>
      <w:r>
        <w:rPr>
          <w:rFonts w:hint="eastAsia"/>
          <w:color w:val="auto"/>
          <w:highlight w:val="none"/>
          <w:lang w:eastAsia="zh-CN"/>
        </w:rPr>
        <w:t>”</w:t>
      </w:r>
      <w:r>
        <w:rPr>
          <w:color w:val="auto"/>
          <w:highlight w:val="none"/>
        </w:rPr>
        <w:t>。</w:t>
      </w:r>
    </w:p>
    <w:p w14:paraId="30866637">
      <w:pPr>
        <w:pStyle w:val="36"/>
        <w:rPr>
          <w:b w:val="0"/>
          <w:bCs w:val="0"/>
          <w:color w:val="auto"/>
          <w:highlight w:val="none"/>
        </w:rPr>
      </w:pPr>
      <w:r>
        <w:rPr>
          <w:rFonts w:hint="eastAsia"/>
          <w:b w:val="0"/>
          <w:bCs w:val="0"/>
          <w:color w:val="auto"/>
          <w:highlight w:val="none"/>
        </w:rPr>
        <w:t>1</w:t>
      </w:r>
      <w:r>
        <w:rPr>
          <w:rFonts w:hint="eastAsia"/>
          <w:b w:val="0"/>
          <w:bCs w:val="0"/>
          <w:color w:val="auto"/>
          <w:highlight w:val="none"/>
          <w:lang w:val="en-US" w:eastAsia="zh-CN"/>
        </w:rPr>
        <w:t>2</w:t>
      </w:r>
      <w:r>
        <w:rPr>
          <w:b w:val="0"/>
          <w:bCs w:val="0"/>
          <w:color w:val="auto"/>
          <w:highlight w:val="none"/>
        </w:rPr>
        <w:t>.</w:t>
      </w:r>
      <w:r>
        <w:rPr>
          <w:rFonts w:hint="eastAsia"/>
          <w:b w:val="0"/>
          <w:bCs w:val="0"/>
          <w:color w:val="auto"/>
          <w:highlight w:val="none"/>
        </w:rPr>
        <w:t>政府采购政策评审</w:t>
      </w:r>
    </w:p>
    <w:p w14:paraId="1627C557">
      <w:pPr>
        <w:pStyle w:val="36"/>
        <w:numPr>
          <w:ilvl w:val="0"/>
          <w:numId w:val="0"/>
        </w:numPr>
        <w:ind w:firstLine="480" w:firstLineChars="200"/>
        <w:rPr>
          <w:color w:val="auto"/>
          <w:highlight w:val="none"/>
        </w:rPr>
      </w:pPr>
      <w:r>
        <w:rPr>
          <w:color w:val="auto"/>
          <w:highlight w:val="none"/>
        </w:rPr>
        <w:t>1</w:t>
      </w:r>
      <w:r>
        <w:rPr>
          <w:rFonts w:hint="eastAsia"/>
          <w:color w:val="auto"/>
          <w:highlight w:val="none"/>
          <w:lang w:val="en-US" w:eastAsia="zh-CN"/>
        </w:rPr>
        <w:t>2</w:t>
      </w:r>
      <w:r>
        <w:rPr>
          <w:color w:val="auto"/>
          <w:highlight w:val="none"/>
        </w:rPr>
        <w:t>.1非专门面向中小企业的采购项目或采购包，对符合规定的小微企业（</w:t>
      </w:r>
      <w:r>
        <w:rPr>
          <w:rFonts w:hint="eastAsia"/>
          <w:color w:val="auto"/>
          <w:highlight w:val="none"/>
          <w:lang w:val="en-US" w:eastAsia="zh-CN"/>
        </w:rPr>
        <w:t>含</w:t>
      </w:r>
      <w:r>
        <w:rPr>
          <w:color w:val="auto"/>
          <w:highlight w:val="none"/>
        </w:rPr>
        <w:t>监狱企业、残疾人福利性单位、联合体各方均为小微企业的联合体、符合小微企业划分标准的个体工商户视同小微企业）报价</w:t>
      </w:r>
      <w:r>
        <w:rPr>
          <w:rFonts w:hint="eastAsia"/>
          <w:color w:val="auto"/>
          <w:highlight w:val="none"/>
        </w:rPr>
        <w:t>按照本招标文件</w:t>
      </w:r>
      <w:r>
        <w:rPr>
          <w:rFonts w:hint="eastAsia"/>
          <w:color w:val="auto"/>
          <w:highlight w:val="none"/>
          <w:lang w:eastAsia="zh-CN"/>
        </w:rPr>
        <w:t>“</w:t>
      </w:r>
      <w:r>
        <w:rPr>
          <w:rFonts w:hint="eastAsia"/>
          <w:color w:val="auto"/>
          <w:highlight w:val="none"/>
        </w:rPr>
        <w:t>投标人须知前附表”中的规定</w:t>
      </w:r>
      <w:r>
        <w:rPr>
          <w:color w:val="auto"/>
          <w:highlight w:val="none"/>
        </w:rPr>
        <w:t>扣除</w:t>
      </w:r>
      <w:r>
        <w:rPr>
          <w:rFonts w:hint="eastAsia"/>
          <w:color w:val="auto"/>
          <w:highlight w:val="none"/>
        </w:rPr>
        <w:t>，对小微企业中的监狱企业、</w:t>
      </w:r>
      <w:r>
        <w:rPr>
          <w:rFonts w:hint="eastAsia" w:ascii="宋体" w:hAnsi="宋体" w:eastAsia="宋体" w:cs="宋体"/>
          <w:color w:val="auto"/>
          <w:sz w:val="24"/>
          <w:szCs w:val="24"/>
          <w:highlight w:val="none"/>
        </w:rPr>
        <w:t>残疾人福利性单位的报价按照本</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须知前附表”中的规定扣除，用扣除后的价格</w:t>
      </w:r>
      <w:r>
        <w:rPr>
          <w:rFonts w:hint="eastAsia" w:cs="宋体"/>
          <w:color w:val="auto"/>
          <w:sz w:val="24"/>
          <w:szCs w:val="24"/>
          <w:highlight w:val="none"/>
          <w:lang w:val="en-US" w:eastAsia="zh-CN"/>
        </w:rPr>
        <w:t>参与</w:t>
      </w:r>
      <w:r>
        <w:rPr>
          <w:rFonts w:hint="eastAsia" w:ascii="宋体" w:hAnsi="宋体" w:eastAsia="宋体" w:cs="宋体"/>
          <w:color w:val="auto"/>
          <w:sz w:val="24"/>
          <w:szCs w:val="24"/>
          <w:highlight w:val="none"/>
        </w:rPr>
        <w:t>评审</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采购产品纳入创新产品应用示范推荐目录内企业、采购产品获得节能产品或环境标志产品认证证书</w:t>
      </w:r>
      <w:r>
        <w:rPr>
          <w:rFonts w:hint="eastAsia" w:cs="宋体"/>
          <w:color w:val="auto"/>
          <w:sz w:val="24"/>
          <w:szCs w:val="24"/>
          <w:highlight w:val="none"/>
          <w:lang w:val="en-US" w:eastAsia="zh-CN"/>
        </w:rPr>
        <w:t>的投标人</w:t>
      </w:r>
      <w:r>
        <w:rPr>
          <w:rFonts w:hint="eastAsia" w:ascii="宋体" w:hAnsi="宋体" w:eastAsia="宋体" w:cs="宋体"/>
          <w:color w:val="auto"/>
          <w:sz w:val="24"/>
          <w:szCs w:val="24"/>
          <w:highlight w:val="none"/>
        </w:rPr>
        <w:t>按照本</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须知前附表”中的规定</w:t>
      </w:r>
      <w:r>
        <w:rPr>
          <w:rFonts w:hint="eastAsia" w:cs="宋体"/>
          <w:color w:val="auto"/>
          <w:sz w:val="24"/>
          <w:szCs w:val="24"/>
          <w:highlight w:val="none"/>
          <w:lang w:val="en-US" w:eastAsia="zh-CN"/>
        </w:rPr>
        <w:t>给予评审优惠</w:t>
      </w:r>
      <w:r>
        <w:rPr>
          <w:rFonts w:hint="eastAsia" w:ascii="宋体" w:hAnsi="宋体" w:eastAsia="宋体" w:cs="宋体"/>
          <w:color w:val="auto"/>
          <w:sz w:val="24"/>
          <w:szCs w:val="24"/>
          <w:highlight w:val="none"/>
          <w:lang w:eastAsia="zh-CN"/>
        </w:rPr>
        <w:t>。</w:t>
      </w:r>
    </w:p>
    <w:p w14:paraId="1E5F4E03">
      <w:pPr>
        <w:pStyle w:val="36"/>
        <w:numPr>
          <w:ilvl w:val="0"/>
          <w:numId w:val="0"/>
        </w:numPr>
        <w:ind w:firstLine="480" w:firstLineChars="200"/>
        <w:rPr>
          <w:rFonts w:ascii="宋体" w:hAnsi="宋体" w:eastAsia="宋体"/>
          <w:color w:val="auto"/>
          <w:highlight w:val="none"/>
        </w:rPr>
      </w:pPr>
      <w:r>
        <w:rPr>
          <w:rFonts w:hint="eastAsia" w:ascii="宋体" w:hAnsi="宋体" w:eastAsia="宋体"/>
          <w:color w:val="auto"/>
          <w:highlight w:val="none"/>
          <w:lang w:val="en-US" w:eastAsia="zh-CN"/>
        </w:rPr>
        <w:t>12.</w:t>
      </w:r>
      <w:r>
        <w:rPr>
          <w:rFonts w:hint="eastAsia" w:ascii="宋体" w:hAnsi="宋体" w:eastAsia="宋体"/>
          <w:color w:val="auto"/>
          <w:highlight w:val="none"/>
          <w:lang w:val="zh-CN" w:eastAsia="zh-CN"/>
        </w:rPr>
        <w:t>2</w:t>
      </w:r>
      <w:r>
        <w:rPr>
          <w:rFonts w:ascii="宋体" w:hAnsi="宋体" w:eastAsia="宋体"/>
          <w:color w:val="auto"/>
          <w:highlight w:val="none"/>
        </w:rPr>
        <w:t>参加政府采购活动的小微企业</w:t>
      </w:r>
      <w:r>
        <w:rPr>
          <w:rFonts w:hint="eastAsia"/>
          <w:color w:val="auto"/>
          <w:highlight w:val="none"/>
        </w:rPr>
        <w:t>（含节能环保、创新产品企业）</w:t>
      </w:r>
      <w:r>
        <w:rPr>
          <w:rFonts w:ascii="宋体" w:hAnsi="宋体" w:eastAsia="宋体"/>
          <w:color w:val="auto"/>
          <w:highlight w:val="none"/>
        </w:rPr>
        <w:t>未提供“中小企业声明函”的；监狱企业未提供“监狱企业证明文件”的；残疾人福利性单位未提供“残疾人福利性单位声明函”的；不得享受相应的价格扣除优惠。组成联合体或者接受分包的小微企业与联合体内其他企业、分包企业之间存在直接控股、管理关系的，不得享受价格扣除优惠。</w:t>
      </w:r>
      <w:r>
        <w:rPr>
          <w:rFonts w:hint="eastAsia"/>
          <w:color w:val="auto"/>
          <w:highlight w:val="none"/>
          <w:lang w:val="en-US" w:eastAsia="zh-CN"/>
        </w:rPr>
        <w:t>若供应商同时属于小型或微型企业、监狱企业、残疾人福利性单位 中的两种及以上，将不重复享受小微企业价格扣减的优惠政策。</w:t>
      </w:r>
    </w:p>
    <w:p w14:paraId="1A495953">
      <w:pPr>
        <w:pStyle w:val="36"/>
        <w:numPr>
          <w:ilvl w:val="0"/>
          <w:numId w:val="0"/>
        </w:numPr>
        <w:shd w:val="clear" w:color="auto" w:fill="FFFFFF" w:themeFill="background1"/>
        <w:ind w:firstLine="480" w:firstLineChars="200"/>
        <w:rPr>
          <w:rFonts w:ascii="宋体" w:hAnsi="宋体" w:eastAsia="宋体" w:cstheme="minorBidi"/>
          <w:color w:val="auto"/>
          <w:kern w:val="2"/>
          <w:sz w:val="24"/>
          <w:szCs w:val="22"/>
          <w:highlight w:val="none"/>
          <w:lang w:val="en-US" w:eastAsia="zh-CN" w:bidi="ar-SA"/>
        </w:rPr>
      </w:pPr>
      <w:r>
        <w:rPr>
          <w:rFonts w:ascii="宋体" w:hAnsi="宋体" w:eastAsia="宋体" w:cstheme="minorBidi"/>
          <w:color w:val="auto"/>
          <w:kern w:val="2"/>
          <w:sz w:val="24"/>
          <w:szCs w:val="22"/>
          <w:highlight w:val="none"/>
          <w:lang w:val="en-US" w:eastAsia="zh-CN" w:bidi="ar-SA"/>
        </w:rPr>
        <w:t>组成联合体或者接受分包的小微企业与联合体内其他企业、分包企业</w:t>
      </w:r>
      <w:r>
        <w:rPr>
          <w:rFonts w:hint="default" w:ascii="宋体" w:hAnsi="宋体" w:eastAsia="宋体" w:cstheme="minorBidi"/>
          <w:color w:val="auto"/>
          <w:kern w:val="2"/>
          <w:sz w:val="24"/>
          <w:szCs w:val="22"/>
          <w:highlight w:val="none"/>
          <w:lang w:val="en-US" w:eastAsia="zh-CN" w:bidi="ar-SA"/>
        </w:rPr>
        <w:t>之间存在直接控股、管理关系的，不享受价格扣除优惠政策。</w:t>
      </w:r>
    </w:p>
    <w:p w14:paraId="4FDAF77C">
      <w:pPr>
        <w:pStyle w:val="36"/>
        <w:numPr>
          <w:ilvl w:val="0"/>
          <w:numId w:val="0"/>
        </w:numPr>
        <w:ind w:firstLine="480" w:firstLineChars="200"/>
        <w:rPr>
          <w:rFonts w:ascii="宋体" w:hAnsi="宋体" w:eastAsia="宋体"/>
          <w:color w:val="auto"/>
          <w:highlight w:val="none"/>
        </w:rPr>
      </w:pPr>
      <w:r>
        <w:rPr>
          <w:rFonts w:ascii="宋体" w:hAnsi="宋体" w:eastAsia="宋体" w:cstheme="minorBidi"/>
          <w:color w:val="auto"/>
          <w:kern w:val="2"/>
          <w:sz w:val="24"/>
          <w:szCs w:val="22"/>
          <w:highlight w:val="none"/>
          <w:lang w:val="en-US" w:eastAsia="zh-CN" w:bidi="ar-SA"/>
        </w:rPr>
        <w:t>价格扣除比例对小型企业和微型企业同等对待，不作区分。</w:t>
      </w:r>
    </w:p>
    <w:p w14:paraId="71DD10A8">
      <w:pPr>
        <w:pStyle w:val="36"/>
        <w:numPr>
          <w:ilvl w:val="0"/>
          <w:numId w:val="0"/>
        </w:numPr>
        <w:ind w:firstLine="480" w:firstLineChars="200"/>
        <w:rPr>
          <w:rFonts w:ascii="宋体" w:hAnsi="宋体" w:eastAsia="宋体"/>
          <w:color w:val="auto"/>
          <w:highlight w:val="none"/>
        </w:rPr>
      </w:pPr>
      <w:r>
        <w:rPr>
          <w:rFonts w:hint="eastAsia" w:ascii="宋体" w:hAnsi="宋体" w:eastAsia="宋体"/>
          <w:color w:val="auto"/>
          <w:highlight w:val="none"/>
          <w:lang w:val="en-US" w:eastAsia="zh-CN"/>
        </w:rPr>
        <w:t>12.</w:t>
      </w:r>
      <w:r>
        <w:rPr>
          <w:rFonts w:hint="eastAsia" w:ascii="宋体" w:hAnsi="宋体" w:eastAsia="宋体"/>
          <w:color w:val="auto"/>
          <w:highlight w:val="none"/>
          <w:lang w:val="zh-CN" w:eastAsia="zh-CN"/>
        </w:rPr>
        <w:t>3</w:t>
      </w:r>
      <w:r>
        <w:rPr>
          <w:rFonts w:ascii="宋体" w:hAnsi="宋体" w:eastAsia="宋体"/>
          <w:color w:val="auto"/>
          <w:highlight w:val="none"/>
        </w:rPr>
        <w:t>专门面向中小企业、预留部分采购份额面向中小企业采购的项目或采购包，评审时不再进行价格扣除。</w:t>
      </w:r>
    </w:p>
    <w:p w14:paraId="3874ED83">
      <w:pPr>
        <w:pStyle w:val="36"/>
        <w:numPr>
          <w:ilvl w:val="0"/>
          <w:numId w:val="0"/>
        </w:numPr>
        <w:ind w:firstLine="480" w:firstLineChars="200"/>
        <w:rPr>
          <w:rFonts w:hint="eastAsia" w:ascii="宋体" w:hAnsi="宋体" w:eastAsia="宋体"/>
          <w:color w:val="auto"/>
          <w:highlight w:val="none"/>
        </w:rPr>
      </w:pPr>
      <w:r>
        <w:rPr>
          <w:rFonts w:hint="eastAsia" w:ascii="宋体" w:hAnsi="宋体" w:eastAsia="宋体"/>
          <w:color w:val="auto"/>
          <w:highlight w:val="none"/>
          <w:lang w:val="en-US" w:eastAsia="zh-CN"/>
        </w:rPr>
        <w:t>12.4</w:t>
      </w:r>
      <w:r>
        <w:rPr>
          <w:rFonts w:hint="eastAsia" w:ascii="宋体" w:hAnsi="宋体" w:eastAsia="宋体"/>
          <w:color w:val="auto"/>
          <w:highlight w:val="none"/>
        </w:rPr>
        <w:t>对于未预留份额专门面向中小企业的政府采购项目，以及预留份额政府采购项目中的非预留部分标项，对小型和微型企业的投标报价给予10%-</w:t>
      </w:r>
      <w:r>
        <w:rPr>
          <w:rFonts w:ascii="宋体" w:hAnsi="宋体" w:eastAsia="宋体"/>
          <w:color w:val="auto"/>
          <w:highlight w:val="none"/>
        </w:rPr>
        <w:t>20</w:t>
      </w:r>
      <w:r>
        <w:rPr>
          <w:rFonts w:hint="eastAsia" w:ascii="宋体" w:hAnsi="宋体" w:eastAsia="宋体"/>
          <w:color w:val="auto"/>
          <w:highlight w:val="none"/>
        </w:rPr>
        <w:t>%的扣除，用扣除后的价格参与评审。接受大中型企业与小微企业组成联合体或者允许大中型企业向一家或者多家小微企业分包的政府采购项目，对于联合</w:t>
      </w:r>
      <w:r>
        <w:rPr>
          <w:rFonts w:hint="eastAsia" w:ascii="宋体" w:hAnsi="宋体" w:eastAsia="宋体"/>
          <w:color w:val="auto"/>
          <w:highlight w:val="none"/>
          <w:lang w:val="en-US" w:eastAsia="zh-CN"/>
        </w:rPr>
        <w:t>体</w:t>
      </w:r>
      <w:r>
        <w:rPr>
          <w:rFonts w:hint="eastAsia" w:ascii="宋体" w:hAnsi="宋体" w:eastAsia="宋体"/>
          <w:color w:val="auto"/>
          <w:highlight w:val="none"/>
        </w:rPr>
        <w:t>协议</w:t>
      </w:r>
      <w:r>
        <w:rPr>
          <w:rFonts w:hint="eastAsia" w:ascii="宋体" w:hAnsi="宋体" w:eastAsia="宋体"/>
          <w:color w:val="auto"/>
          <w:highlight w:val="none"/>
          <w:lang w:val="en-US" w:eastAsia="zh-CN"/>
        </w:rPr>
        <w:t>书</w:t>
      </w:r>
      <w:r>
        <w:rPr>
          <w:rFonts w:hint="eastAsia" w:ascii="宋体" w:hAnsi="宋体" w:eastAsia="宋体"/>
          <w:color w:val="auto"/>
          <w:highlight w:val="none"/>
        </w:rPr>
        <w:t>或者分包意向协议</w:t>
      </w:r>
      <w:r>
        <w:rPr>
          <w:rFonts w:hint="eastAsia" w:ascii="宋体" w:hAnsi="宋体" w:eastAsia="宋体"/>
          <w:color w:val="auto"/>
          <w:highlight w:val="none"/>
          <w:lang w:val="en-US" w:eastAsia="zh-CN"/>
        </w:rPr>
        <w:t>书</w:t>
      </w:r>
      <w:r>
        <w:rPr>
          <w:rFonts w:hint="eastAsia" w:ascii="宋体" w:hAnsi="宋体" w:eastAsia="宋体"/>
          <w:color w:val="auto"/>
          <w:highlight w:val="none"/>
        </w:rPr>
        <w:t>约定小微企业的合同份额占到合同总金额30%以上的，对联合体或者大中型企业的报价给予4%-</w:t>
      </w:r>
      <w:r>
        <w:rPr>
          <w:rFonts w:ascii="宋体" w:hAnsi="宋体" w:eastAsia="宋体"/>
          <w:color w:val="auto"/>
          <w:highlight w:val="none"/>
        </w:rPr>
        <w:t>6</w:t>
      </w:r>
      <w:r>
        <w:rPr>
          <w:rFonts w:hint="eastAsia" w:ascii="宋体" w:hAnsi="宋体" w:eastAsia="宋体"/>
          <w:color w:val="auto"/>
          <w:highlight w:val="none"/>
        </w:rPr>
        <w:t>%的扣除，用扣除后的价格参加评审。组成联合体或者接受分包的小微企业与联合体内其他企业、分包企业之间存在直接控股、管理关系的，不享受价格扣除优惠政策。</w:t>
      </w:r>
    </w:p>
    <w:p w14:paraId="548FFFDB">
      <w:pPr>
        <w:pStyle w:val="4"/>
        <w:keepNext/>
        <w:keepLines/>
        <w:pageBreakBefore w:val="0"/>
        <w:widowControl w:val="0"/>
        <w:numPr>
          <w:ilvl w:val="0"/>
          <w:numId w:val="0"/>
        </w:numPr>
        <w:kinsoku/>
        <w:wordWrap/>
        <w:overflowPunct/>
        <w:topLinePunct w:val="0"/>
        <w:autoSpaceDE/>
        <w:autoSpaceDN/>
        <w:bidi w:val="0"/>
        <w:adjustRightInd/>
        <w:snapToGrid/>
        <w:spacing w:before="6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362" w:name="_Toc13511"/>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五</w:t>
      </w:r>
      <w:r>
        <w:rPr>
          <w:rFonts w:hint="eastAsia" w:ascii="宋体" w:hAnsi="宋体" w:eastAsia="宋体" w:cs="宋体"/>
          <w:b/>
          <w:bCs/>
          <w:color w:val="auto"/>
          <w:kern w:val="2"/>
          <w:sz w:val="24"/>
          <w:szCs w:val="24"/>
          <w:highlight w:val="none"/>
          <w:lang w:val="zh-CN" w:eastAsia="zh-CN" w:bidi="ar-SA"/>
        </w:rPr>
        <w:t>）评标得分及复核</w:t>
      </w:r>
      <w:bookmarkEnd w:id="362"/>
    </w:p>
    <w:p w14:paraId="073A56A5">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en-US" w:eastAsia="zh-CN"/>
        </w:rPr>
      </w:pPr>
      <w:r>
        <w:rPr>
          <w:rFonts w:hint="eastAsia"/>
          <w:color w:val="auto"/>
          <w:highlight w:val="none"/>
          <w:lang w:val="en-US" w:eastAsia="zh-CN"/>
        </w:rPr>
        <w:t>13.评标过程中，各项分值一般精确到小数点后两位，评标得分应为商务评分、技术评分、报价评分之和。评标委员会各成员应汇总每个投标人的得分。</w:t>
      </w:r>
    </w:p>
    <w:p w14:paraId="0BE80DC7">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en-US" w:eastAsia="zh-CN"/>
        </w:rPr>
      </w:pPr>
      <w:r>
        <w:rPr>
          <w:rFonts w:hint="eastAsia"/>
          <w:color w:val="auto"/>
          <w:highlight w:val="none"/>
          <w:lang w:val="en-US" w:eastAsia="zh-CN"/>
        </w:rPr>
        <w:t>14.评标结果汇总完成后，采购代理机构应对评标结果进行复核。经复核发现存在以下情形之一的，</w:t>
      </w:r>
      <w:r>
        <w:rPr>
          <w:rFonts w:hint="eastAsia"/>
          <w:iCs/>
          <w:color w:val="auto"/>
          <w:spacing w:val="-6"/>
          <w:sz w:val="24"/>
          <w:highlight w:val="none"/>
          <w:lang w:val="en-US" w:eastAsia="zh-CN"/>
        </w:rPr>
        <w:t>评标委员会应当当场修改评标结果，并在评标报告中记载</w:t>
      </w:r>
      <w:r>
        <w:rPr>
          <w:rFonts w:hint="eastAsia"/>
          <w:color w:val="auto"/>
          <w:highlight w:val="none"/>
          <w:lang w:val="en-US" w:eastAsia="zh-CN"/>
        </w:rPr>
        <w:t>：</w:t>
      </w:r>
    </w:p>
    <w:p w14:paraId="427128F3">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en-US" w:eastAsia="zh-CN"/>
        </w:rPr>
      </w:pPr>
      <w:r>
        <w:rPr>
          <w:rFonts w:hint="eastAsia"/>
          <w:color w:val="auto"/>
          <w:highlight w:val="none"/>
          <w:lang w:val="en-US" w:eastAsia="zh-CN"/>
        </w:rPr>
        <w:t>14.1分值汇总计算错误的；</w:t>
      </w:r>
    </w:p>
    <w:p w14:paraId="4404F7B4">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en-US" w:eastAsia="zh-CN"/>
        </w:rPr>
      </w:pPr>
      <w:r>
        <w:rPr>
          <w:rFonts w:hint="eastAsia"/>
          <w:color w:val="auto"/>
          <w:highlight w:val="none"/>
          <w:lang w:val="en-US" w:eastAsia="zh-CN"/>
        </w:rPr>
        <w:t>14.2分项评分超出评分标准范围的；</w:t>
      </w:r>
    </w:p>
    <w:p w14:paraId="18150CA8">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en-US" w:eastAsia="zh-CN"/>
        </w:rPr>
      </w:pPr>
      <w:r>
        <w:rPr>
          <w:rFonts w:hint="eastAsia"/>
          <w:color w:val="auto"/>
          <w:highlight w:val="none"/>
          <w:lang w:val="en-US" w:eastAsia="zh-CN"/>
        </w:rPr>
        <w:t>14.3评标委员会成员对客观评审因素评分不一致的；</w:t>
      </w:r>
    </w:p>
    <w:p w14:paraId="6BFAB3DA">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en-US" w:eastAsia="zh-CN"/>
        </w:rPr>
      </w:pPr>
      <w:r>
        <w:rPr>
          <w:rFonts w:hint="eastAsia"/>
          <w:color w:val="auto"/>
          <w:highlight w:val="none"/>
          <w:lang w:val="en-US" w:eastAsia="zh-CN"/>
        </w:rPr>
        <w:t>14.4经评标委员会认定评分畸高、畸低的。</w:t>
      </w:r>
    </w:p>
    <w:p w14:paraId="0FD26D1C">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en-US" w:eastAsia="zh-CN"/>
        </w:rPr>
      </w:pPr>
      <w:r>
        <w:rPr>
          <w:rFonts w:hint="eastAsia"/>
          <w:color w:val="auto"/>
          <w:highlight w:val="none"/>
          <w:lang w:val="en-US" w:eastAsia="zh-CN"/>
        </w:rPr>
        <w:t>15.各投标人的最终得分为评标委员会所有成员对各投标人评标得分汇总后的算术平均值。</w:t>
      </w:r>
    </w:p>
    <w:p w14:paraId="1FD846A7">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en-US" w:eastAsia="zh-CN"/>
        </w:rPr>
      </w:pPr>
      <w:r>
        <w:rPr>
          <w:rFonts w:hint="eastAsia"/>
          <w:color w:val="auto"/>
          <w:highlight w:val="none"/>
          <w:lang w:val="en-US" w:eastAsia="zh-CN"/>
        </w:rPr>
        <w:t>15.1除资格性检查认定错误、分值汇总计算错误、分项评分超出评分标准范围、客观分评分不一致、经评标委员会一致认定评分畸高、畸低的情形外，采购人或者采购代理机构不得以任何理由组织重新评审。采购人、采购代理机构发现评标委员会未按照招标文件规定的评审标准进行评审的，应当重新开展采购活动，并同时书面报告本级财政部门。</w:t>
      </w:r>
    </w:p>
    <w:p w14:paraId="52280223">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en-US" w:eastAsia="zh-CN"/>
        </w:rPr>
      </w:pPr>
      <w:r>
        <w:rPr>
          <w:rFonts w:hint="eastAsia"/>
          <w:color w:val="auto"/>
          <w:highlight w:val="none"/>
          <w:lang w:val="en-US" w:eastAsia="zh-CN"/>
        </w:rPr>
        <w:t>15.2采购人或者采购代理机构不得通过对样品进行检测、对投标人进行考察等方式改变评审结果。</w:t>
      </w:r>
    </w:p>
    <w:p w14:paraId="5AB9E04E">
      <w:pPr>
        <w:pStyle w:val="4"/>
        <w:keepNext/>
        <w:keepLines/>
        <w:pageBreakBefore w:val="0"/>
        <w:widowControl w:val="0"/>
        <w:numPr>
          <w:ilvl w:val="0"/>
          <w:numId w:val="0"/>
        </w:numPr>
        <w:kinsoku/>
        <w:wordWrap/>
        <w:overflowPunct/>
        <w:topLinePunct w:val="0"/>
        <w:autoSpaceDE/>
        <w:autoSpaceDN/>
        <w:bidi w:val="0"/>
        <w:adjustRightInd/>
        <w:snapToGrid/>
        <w:spacing w:before="6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363" w:name="_Toc17225"/>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六</w:t>
      </w:r>
      <w:r>
        <w:rPr>
          <w:rFonts w:hint="eastAsia" w:ascii="宋体" w:hAnsi="宋体" w:eastAsia="宋体" w:cs="宋体"/>
          <w:b/>
          <w:bCs/>
          <w:color w:val="auto"/>
          <w:kern w:val="2"/>
          <w:sz w:val="24"/>
          <w:szCs w:val="24"/>
          <w:highlight w:val="none"/>
          <w:lang w:val="zh-CN" w:eastAsia="zh-CN" w:bidi="ar-SA"/>
        </w:rPr>
        <w:t>）排序与推荐</w:t>
      </w:r>
      <w:bookmarkEnd w:id="363"/>
    </w:p>
    <w:p w14:paraId="514ADBD8">
      <w:pPr>
        <w:pStyle w:val="36"/>
        <w:rPr>
          <w:rFonts w:hint="eastAsia"/>
          <w:color w:val="auto"/>
          <w:highlight w:val="none"/>
        </w:rPr>
      </w:pPr>
      <w:r>
        <w:rPr>
          <w:rFonts w:hint="eastAsia"/>
          <w:color w:val="auto"/>
          <w:highlight w:val="none"/>
          <w:lang w:val="en-US" w:eastAsia="zh-CN"/>
        </w:rPr>
        <w:t>16.</w:t>
      </w:r>
      <w:r>
        <w:rPr>
          <w:rFonts w:hint="eastAsia"/>
          <w:color w:val="auto"/>
          <w:highlight w:val="none"/>
        </w:rPr>
        <w:t>评标结果按评审后得分由高到低顺序排列。投标文件满足招标文件全部实质性要求，且按照评审因素的量化指标评审得分最高的投标人为排名第一的中标候选人。得分相同的，按投标报价由低到高顺序排列。得分且投标报价相同的，</w:t>
      </w:r>
      <w:r>
        <w:rPr>
          <w:rFonts w:hint="eastAsia"/>
          <w:color w:val="auto"/>
          <w:highlight w:val="none"/>
          <w:lang w:val="en-US" w:eastAsia="zh-CN"/>
        </w:rPr>
        <w:t>按</w:t>
      </w:r>
      <w:r>
        <w:rPr>
          <w:rFonts w:hint="eastAsia"/>
          <w:color w:val="auto"/>
          <w:highlight w:val="none"/>
        </w:rPr>
        <w:t>技术指标</w:t>
      </w:r>
      <w:r>
        <w:rPr>
          <w:rFonts w:hint="eastAsia"/>
          <w:color w:val="auto"/>
          <w:highlight w:val="none"/>
          <w:lang w:val="en-US" w:eastAsia="zh-CN"/>
        </w:rPr>
        <w:t>优劣顺序排列</w:t>
      </w:r>
      <w:r>
        <w:rPr>
          <w:rFonts w:hint="eastAsia"/>
          <w:color w:val="auto"/>
          <w:highlight w:val="none"/>
        </w:rPr>
        <w:t>。</w:t>
      </w:r>
    </w:p>
    <w:p w14:paraId="3B1F6C1A">
      <w:pPr>
        <w:pStyle w:val="36"/>
        <w:rPr>
          <w:color w:val="auto"/>
          <w:highlight w:val="none"/>
        </w:rPr>
      </w:pPr>
      <w:r>
        <w:rPr>
          <w:rFonts w:hint="eastAsia"/>
          <w:color w:val="auto"/>
          <w:highlight w:val="none"/>
          <w:lang w:val="en-US" w:eastAsia="zh-CN"/>
        </w:rPr>
        <w:t>17.</w:t>
      </w:r>
      <w:r>
        <w:rPr>
          <w:rFonts w:hint="eastAsia"/>
          <w:color w:val="auto"/>
          <w:highlight w:val="none"/>
        </w:rPr>
        <w:t>中标候选人</w:t>
      </w:r>
      <w:r>
        <w:rPr>
          <w:rFonts w:hint="eastAsia"/>
          <w:color w:val="auto"/>
          <w:highlight w:val="none"/>
          <w:lang w:val="en-US" w:eastAsia="zh-CN"/>
        </w:rPr>
        <w:t>推荐家数详</w:t>
      </w:r>
      <w:r>
        <w:rPr>
          <w:rFonts w:hint="eastAsia"/>
          <w:color w:val="auto"/>
          <w:highlight w:val="none"/>
        </w:rPr>
        <w:t>见“</w:t>
      </w:r>
      <w:r>
        <w:rPr>
          <w:rFonts w:hint="eastAsia"/>
          <w:color w:val="auto"/>
          <w:highlight w:val="none"/>
          <w:lang w:val="en-US" w:eastAsia="zh-CN"/>
        </w:rPr>
        <w:t>投标人须知</w:t>
      </w:r>
      <w:r>
        <w:rPr>
          <w:rFonts w:hint="eastAsia"/>
          <w:color w:val="auto"/>
          <w:highlight w:val="none"/>
        </w:rPr>
        <w:t>前附表”。</w:t>
      </w:r>
    </w:p>
    <w:p w14:paraId="1F98E10E">
      <w:pPr>
        <w:pStyle w:val="4"/>
        <w:keepNext/>
        <w:keepLines/>
        <w:pageBreakBefore w:val="0"/>
        <w:widowControl w:val="0"/>
        <w:numPr>
          <w:ilvl w:val="0"/>
          <w:numId w:val="0"/>
        </w:numPr>
        <w:kinsoku/>
        <w:wordWrap/>
        <w:overflowPunct/>
        <w:topLinePunct w:val="0"/>
        <w:autoSpaceDE/>
        <w:autoSpaceDN/>
        <w:bidi w:val="0"/>
        <w:adjustRightInd/>
        <w:snapToGrid/>
        <w:spacing w:before="6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364" w:name="_Toc21574"/>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七</w:t>
      </w:r>
      <w:r>
        <w:rPr>
          <w:rFonts w:hint="eastAsia" w:ascii="宋体" w:hAnsi="宋体" w:eastAsia="宋体" w:cs="宋体"/>
          <w:b/>
          <w:bCs/>
          <w:color w:val="auto"/>
          <w:kern w:val="2"/>
          <w:sz w:val="24"/>
          <w:szCs w:val="24"/>
          <w:highlight w:val="none"/>
          <w:lang w:val="zh-CN" w:eastAsia="zh-CN" w:bidi="ar-SA"/>
        </w:rPr>
        <w:t>）编写评标报告</w:t>
      </w:r>
      <w:bookmarkEnd w:id="364"/>
    </w:p>
    <w:p w14:paraId="3576CABA">
      <w:pPr>
        <w:pStyle w:val="36"/>
        <w:rPr>
          <w:color w:val="auto"/>
          <w:highlight w:val="none"/>
        </w:rPr>
      </w:pPr>
      <w:r>
        <w:rPr>
          <w:rFonts w:hint="eastAsia"/>
          <w:color w:val="auto"/>
          <w:highlight w:val="none"/>
          <w:lang w:val="en-US" w:eastAsia="zh-CN"/>
        </w:rPr>
        <w:t>18.</w:t>
      </w:r>
      <w:r>
        <w:rPr>
          <w:rFonts w:hint="eastAsia"/>
          <w:color w:val="auto"/>
          <w:highlight w:val="none"/>
        </w:rPr>
        <w:t>评标委员会根据全体评标成员签字的原始评标记录和评标结果编写评标报告。评标委员会应当在评标报告上签名，对自己的评审意见承担法律责任。评标委员会成员对需要共同认定的事项存在争议的，应当按照少数服从多数的原则作出结论。持不同意见的评标委员会成员应当在评标报告上签署不同意见，并说明理由，否则视为同意评标报告。</w:t>
      </w:r>
    </w:p>
    <w:p w14:paraId="29512443">
      <w:pPr>
        <w:pStyle w:val="4"/>
        <w:keepNext/>
        <w:keepLines/>
        <w:pageBreakBefore w:val="0"/>
        <w:widowControl w:val="0"/>
        <w:numPr>
          <w:ilvl w:val="0"/>
          <w:numId w:val="0"/>
        </w:numPr>
        <w:kinsoku/>
        <w:wordWrap/>
        <w:overflowPunct/>
        <w:topLinePunct w:val="0"/>
        <w:autoSpaceDE/>
        <w:autoSpaceDN/>
        <w:bidi w:val="0"/>
        <w:adjustRightInd/>
        <w:snapToGrid/>
        <w:spacing w:before="6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365" w:name="_Toc155185913"/>
      <w:bookmarkStart w:id="366" w:name="_Toc102116021"/>
      <w:bookmarkStart w:id="367" w:name="_Toc102056217"/>
      <w:bookmarkStart w:id="368" w:name="_Toc102116151"/>
      <w:bookmarkStart w:id="369" w:name="_Toc102057717"/>
      <w:bookmarkStart w:id="370" w:name="_Toc102114919"/>
      <w:bookmarkStart w:id="371" w:name="_Toc1587"/>
      <w:bookmarkStart w:id="372" w:name="_Toc102119852"/>
      <w:bookmarkStart w:id="373" w:name="_Toc163492906"/>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八</w:t>
      </w:r>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投标无效及</w:t>
      </w:r>
      <w:r>
        <w:rPr>
          <w:rFonts w:hint="eastAsia" w:ascii="宋体" w:hAnsi="宋体" w:eastAsia="宋体" w:cs="宋体"/>
          <w:b/>
          <w:bCs/>
          <w:color w:val="auto"/>
          <w:kern w:val="2"/>
          <w:sz w:val="24"/>
          <w:szCs w:val="24"/>
          <w:highlight w:val="none"/>
          <w:lang w:val="zh-CN" w:eastAsia="zh-CN" w:bidi="ar-SA"/>
        </w:rPr>
        <w:t>应予废标的情形</w:t>
      </w:r>
      <w:bookmarkEnd w:id="365"/>
      <w:bookmarkEnd w:id="366"/>
      <w:bookmarkEnd w:id="367"/>
      <w:bookmarkEnd w:id="368"/>
      <w:bookmarkEnd w:id="369"/>
      <w:bookmarkEnd w:id="370"/>
      <w:bookmarkEnd w:id="371"/>
      <w:bookmarkEnd w:id="372"/>
      <w:bookmarkEnd w:id="373"/>
    </w:p>
    <w:p w14:paraId="2D93D6F8">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en-US" w:eastAsia="zh-CN"/>
        </w:rPr>
      </w:pPr>
      <w:r>
        <w:rPr>
          <w:rFonts w:hint="eastAsia"/>
          <w:color w:val="auto"/>
          <w:highlight w:val="none"/>
          <w:lang w:val="en-US" w:eastAsia="zh-CN"/>
        </w:rPr>
        <w:t>19.投标人存在下列情形之一的，</w:t>
      </w:r>
      <w:r>
        <w:rPr>
          <w:rFonts w:hint="eastAsia"/>
          <w:b/>
          <w:bCs/>
          <w:color w:val="auto"/>
          <w:highlight w:val="none"/>
          <w:lang w:val="en-US" w:eastAsia="zh-CN"/>
        </w:rPr>
        <w:t>投标无效</w:t>
      </w:r>
      <w:r>
        <w:rPr>
          <w:rFonts w:hint="eastAsia"/>
          <w:color w:val="auto"/>
          <w:highlight w:val="none"/>
          <w:lang w:val="en-US" w:eastAsia="zh-CN"/>
        </w:rPr>
        <w:t>：</w:t>
      </w:r>
    </w:p>
    <w:p w14:paraId="5C1B2C98">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zh-CN" w:eastAsia="zh-CN"/>
        </w:rPr>
      </w:pPr>
      <w:r>
        <w:rPr>
          <w:rFonts w:hint="eastAsia"/>
          <w:color w:val="auto"/>
          <w:highlight w:val="none"/>
          <w:lang w:val="en-US" w:eastAsia="zh-CN"/>
        </w:rPr>
        <w:t>19.</w:t>
      </w:r>
      <w:r>
        <w:rPr>
          <w:rFonts w:hint="eastAsia"/>
          <w:color w:val="auto"/>
          <w:highlight w:val="none"/>
          <w:lang w:val="zh-CN" w:eastAsia="zh-CN"/>
        </w:rPr>
        <w:t>1</w:t>
      </w:r>
      <w:r>
        <w:rPr>
          <w:rFonts w:hint="eastAsia"/>
          <w:color w:val="auto"/>
          <w:highlight w:val="none"/>
          <w:lang w:val="en-US" w:eastAsia="zh-CN"/>
        </w:rPr>
        <w:t>投标人</w:t>
      </w:r>
      <w:r>
        <w:rPr>
          <w:rFonts w:hint="eastAsia"/>
          <w:color w:val="auto"/>
          <w:highlight w:val="none"/>
          <w:lang w:val="zh-CN" w:eastAsia="zh-CN"/>
        </w:rPr>
        <w:t>不具备《中华人民共和国政府采购法》第二十二条规定条件</w:t>
      </w:r>
      <w:r>
        <w:rPr>
          <w:rFonts w:hint="eastAsia"/>
          <w:color w:val="auto"/>
          <w:highlight w:val="none"/>
          <w:lang w:val="en-US" w:eastAsia="zh-CN"/>
        </w:rPr>
        <w:t>；</w:t>
      </w:r>
    </w:p>
    <w:p w14:paraId="15C939E8">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eastAsia="宋体"/>
          <w:color w:val="auto"/>
          <w:highlight w:val="none"/>
          <w:lang w:val="en-US" w:eastAsia="zh-CN"/>
        </w:rPr>
      </w:pPr>
      <w:r>
        <w:rPr>
          <w:rFonts w:hint="eastAsia"/>
          <w:color w:val="auto"/>
          <w:highlight w:val="none"/>
          <w:lang w:val="en-US" w:eastAsia="zh-CN"/>
        </w:rPr>
        <w:t>19.</w:t>
      </w:r>
      <w:r>
        <w:rPr>
          <w:rFonts w:hint="eastAsia"/>
          <w:color w:val="auto"/>
          <w:highlight w:val="none"/>
          <w:lang w:val="zh-CN" w:eastAsia="zh-CN"/>
        </w:rPr>
        <w:t>2</w:t>
      </w:r>
      <w:r>
        <w:rPr>
          <w:rFonts w:hint="eastAsia"/>
          <w:color w:val="auto"/>
          <w:highlight w:val="none"/>
        </w:rPr>
        <w:t>投标文件未按招标文件要求签署、盖章的</w:t>
      </w:r>
      <w:r>
        <w:rPr>
          <w:rFonts w:hint="eastAsia"/>
          <w:color w:val="auto"/>
          <w:highlight w:val="none"/>
          <w:lang w:val="en-US" w:eastAsia="zh-CN"/>
        </w:rPr>
        <w:t>；</w:t>
      </w:r>
    </w:p>
    <w:p w14:paraId="0A936FC6">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en-US" w:eastAsia="zh-CN"/>
        </w:rPr>
      </w:pPr>
      <w:r>
        <w:rPr>
          <w:rFonts w:hint="eastAsia"/>
          <w:color w:val="auto"/>
          <w:highlight w:val="none"/>
          <w:lang w:val="en-US" w:eastAsia="zh-CN"/>
        </w:rPr>
        <w:t>19.</w:t>
      </w:r>
      <w:r>
        <w:rPr>
          <w:rFonts w:hint="eastAsia"/>
          <w:color w:val="auto"/>
          <w:highlight w:val="none"/>
          <w:lang w:val="zh-CN" w:eastAsia="zh-CN"/>
        </w:rPr>
        <w:t>3</w:t>
      </w:r>
      <w:r>
        <w:rPr>
          <w:rFonts w:hint="eastAsia"/>
          <w:color w:val="auto"/>
          <w:highlight w:val="none"/>
          <w:lang w:val="en-US" w:eastAsia="zh-CN"/>
        </w:rPr>
        <w:t>不具备招标文件中规定的资格要求的（投标人未提供有效资格文件的，视为投标人不具备招标文件中规定的资格要求）；</w:t>
      </w:r>
    </w:p>
    <w:p w14:paraId="0C68E355">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zh-CN" w:eastAsia="zh-CN"/>
        </w:rPr>
      </w:pPr>
      <w:r>
        <w:rPr>
          <w:rFonts w:hint="eastAsia"/>
          <w:color w:val="auto"/>
          <w:highlight w:val="none"/>
          <w:lang w:val="en-US" w:eastAsia="zh-CN"/>
        </w:rPr>
        <w:t>19.</w:t>
      </w:r>
      <w:r>
        <w:rPr>
          <w:rFonts w:hint="eastAsia"/>
          <w:color w:val="auto"/>
          <w:highlight w:val="none"/>
          <w:lang w:val="zh-CN" w:eastAsia="zh-CN"/>
        </w:rPr>
        <w:t>4</w:t>
      </w:r>
      <w:r>
        <w:rPr>
          <w:rFonts w:hint="eastAsia"/>
          <w:color w:val="auto"/>
          <w:highlight w:val="none"/>
          <w:lang w:val="en-US" w:eastAsia="zh-CN"/>
        </w:rPr>
        <w:t>投标</w:t>
      </w:r>
      <w:r>
        <w:rPr>
          <w:rFonts w:hint="eastAsia"/>
          <w:color w:val="auto"/>
          <w:highlight w:val="none"/>
          <w:lang w:val="zh-CN" w:eastAsia="zh-CN"/>
        </w:rPr>
        <w:t>文件提供虚假材料的</w:t>
      </w:r>
      <w:r>
        <w:rPr>
          <w:rFonts w:hint="eastAsia"/>
          <w:color w:val="auto"/>
          <w:highlight w:val="none"/>
          <w:lang w:val="en-US" w:eastAsia="zh-CN"/>
        </w:rPr>
        <w:t>；</w:t>
      </w:r>
    </w:p>
    <w:p w14:paraId="3FDAE166">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zh-CN" w:eastAsia="zh-CN"/>
        </w:rPr>
      </w:pPr>
      <w:r>
        <w:rPr>
          <w:rFonts w:hint="eastAsia"/>
          <w:color w:val="auto"/>
          <w:highlight w:val="none"/>
          <w:lang w:val="en-US" w:eastAsia="zh-CN"/>
        </w:rPr>
        <w:t>19.</w:t>
      </w:r>
      <w:r>
        <w:rPr>
          <w:rFonts w:hint="eastAsia"/>
          <w:color w:val="auto"/>
          <w:highlight w:val="none"/>
          <w:lang w:val="zh-CN" w:eastAsia="zh-CN"/>
        </w:rPr>
        <w:t>5</w:t>
      </w:r>
      <w:r>
        <w:rPr>
          <w:rFonts w:hint="eastAsia"/>
          <w:color w:val="auto"/>
          <w:highlight w:val="none"/>
          <w:lang w:val="en-US" w:eastAsia="zh-CN"/>
        </w:rPr>
        <w:t>投标</w:t>
      </w:r>
      <w:r>
        <w:rPr>
          <w:rFonts w:hint="eastAsia"/>
          <w:color w:val="auto"/>
          <w:highlight w:val="none"/>
          <w:lang w:val="zh-CN" w:eastAsia="zh-CN"/>
        </w:rPr>
        <w:t>文件不满足</w:t>
      </w:r>
      <w:r>
        <w:rPr>
          <w:rFonts w:hint="eastAsia"/>
          <w:color w:val="auto"/>
          <w:highlight w:val="none"/>
          <w:lang w:val="en-US" w:eastAsia="zh-CN"/>
        </w:rPr>
        <w:t>招标</w:t>
      </w:r>
      <w:r>
        <w:rPr>
          <w:rFonts w:hint="eastAsia"/>
          <w:color w:val="auto"/>
          <w:highlight w:val="none"/>
          <w:lang w:val="zh-CN" w:eastAsia="zh-CN"/>
        </w:rPr>
        <w:t>文件中标注“★”号的实质性条款（或指标）要求的</w:t>
      </w:r>
      <w:r>
        <w:rPr>
          <w:rFonts w:hint="eastAsia"/>
          <w:color w:val="auto"/>
          <w:highlight w:val="none"/>
          <w:lang w:val="en-US" w:eastAsia="zh-CN"/>
        </w:rPr>
        <w:t>；</w:t>
      </w:r>
    </w:p>
    <w:p w14:paraId="2C5FC304">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en-US" w:eastAsia="zh-CN"/>
        </w:rPr>
      </w:pPr>
      <w:r>
        <w:rPr>
          <w:rFonts w:hint="eastAsia"/>
          <w:color w:val="auto"/>
          <w:highlight w:val="none"/>
          <w:lang w:val="en-US" w:eastAsia="zh-CN"/>
        </w:rPr>
        <w:t>19.</w:t>
      </w:r>
      <w:r>
        <w:rPr>
          <w:rFonts w:hint="eastAsia"/>
          <w:color w:val="auto"/>
          <w:highlight w:val="none"/>
          <w:lang w:val="zh-CN" w:eastAsia="zh-CN"/>
        </w:rPr>
        <w:t>6</w:t>
      </w:r>
      <w:r>
        <w:rPr>
          <w:rFonts w:hint="eastAsia"/>
          <w:color w:val="auto"/>
          <w:highlight w:val="none"/>
          <w:lang w:val="en-US" w:eastAsia="zh-CN"/>
        </w:rPr>
        <w:t>投标人</w:t>
      </w:r>
      <w:r>
        <w:rPr>
          <w:rFonts w:hint="eastAsia"/>
          <w:color w:val="auto"/>
          <w:highlight w:val="none"/>
          <w:lang w:val="zh-CN" w:eastAsia="zh-CN"/>
        </w:rPr>
        <w:t>报价超过招标文件中规定的</w:t>
      </w:r>
      <w:r>
        <w:rPr>
          <w:rFonts w:hint="eastAsia" w:ascii="宋体" w:hAnsi="宋体" w:eastAsia="宋体"/>
          <w:color w:val="auto"/>
          <w:highlight w:val="none"/>
          <w:lang w:val="en-US" w:eastAsia="zh-CN"/>
        </w:rPr>
        <w:t>最高限价或者预算金额</w:t>
      </w:r>
      <w:r>
        <w:rPr>
          <w:rFonts w:hint="eastAsia"/>
          <w:color w:val="auto"/>
          <w:highlight w:val="none"/>
          <w:lang w:val="zh-CN" w:eastAsia="zh-CN"/>
        </w:rPr>
        <w:t>的</w:t>
      </w:r>
      <w:r>
        <w:rPr>
          <w:rFonts w:hint="eastAsia"/>
          <w:color w:val="auto"/>
          <w:highlight w:val="none"/>
          <w:lang w:val="en-US" w:eastAsia="zh-CN"/>
        </w:rPr>
        <w:t>；</w:t>
      </w:r>
    </w:p>
    <w:p w14:paraId="6FC2A54F">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zh-CN" w:eastAsia="zh-CN"/>
        </w:rPr>
      </w:pPr>
      <w:r>
        <w:rPr>
          <w:rFonts w:hint="eastAsia"/>
          <w:color w:val="auto"/>
          <w:highlight w:val="none"/>
          <w:lang w:val="en-US" w:eastAsia="zh-CN"/>
        </w:rPr>
        <w:t>19.</w:t>
      </w:r>
      <w:r>
        <w:rPr>
          <w:rFonts w:hint="eastAsia"/>
          <w:color w:val="auto"/>
          <w:highlight w:val="none"/>
          <w:lang w:val="zh-CN" w:eastAsia="zh-CN"/>
        </w:rPr>
        <w:t>7联合体的供应商未提交各方共同签署的</w:t>
      </w:r>
      <w:r>
        <w:rPr>
          <w:rFonts w:hint="eastAsia"/>
          <w:color w:val="auto"/>
          <w:highlight w:val="none"/>
          <w:lang w:val="en-US" w:eastAsia="zh-CN"/>
        </w:rPr>
        <w:t>联合体</w:t>
      </w:r>
      <w:r>
        <w:rPr>
          <w:rFonts w:hint="eastAsia"/>
          <w:color w:val="auto"/>
          <w:highlight w:val="none"/>
          <w:lang w:val="zh-CN" w:eastAsia="zh-CN"/>
        </w:rPr>
        <w:t>协议</w:t>
      </w:r>
      <w:r>
        <w:rPr>
          <w:rFonts w:hint="eastAsia"/>
          <w:color w:val="auto"/>
          <w:highlight w:val="none"/>
          <w:lang w:val="en-US" w:eastAsia="zh-CN"/>
        </w:rPr>
        <w:t>的；</w:t>
      </w:r>
    </w:p>
    <w:p w14:paraId="4D1E7850">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zh-CN" w:eastAsia="zh-CN"/>
        </w:rPr>
      </w:pPr>
      <w:r>
        <w:rPr>
          <w:rFonts w:hint="eastAsia"/>
          <w:color w:val="auto"/>
          <w:highlight w:val="none"/>
          <w:lang w:val="en-US" w:eastAsia="zh-CN"/>
        </w:rPr>
        <w:t>19.</w:t>
      </w:r>
      <w:r>
        <w:rPr>
          <w:rFonts w:hint="eastAsia"/>
          <w:color w:val="auto"/>
          <w:highlight w:val="none"/>
          <w:lang w:val="zh-CN" w:eastAsia="zh-CN"/>
        </w:rPr>
        <w:t>8</w:t>
      </w:r>
      <w:r>
        <w:rPr>
          <w:rFonts w:hint="eastAsia"/>
          <w:color w:val="auto"/>
          <w:highlight w:val="none"/>
          <w:lang w:val="en-US" w:eastAsia="zh-CN"/>
        </w:rPr>
        <w:t>投标人</w:t>
      </w:r>
      <w:r>
        <w:rPr>
          <w:rFonts w:hint="eastAsia"/>
          <w:color w:val="auto"/>
          <w:highlight w:val="none"/>
          <w:lang w:val="zh-CN" w:eastAsia="zh-CN"/>
        </w:rPr>
        <w:t>未按</w:t>
      </w:r>
      <w:r>
        <w:rPr>
          <w:rFonts w:hint="eastAsia"/>
          <w:color w:val="auto"/>
          <w:highlight w:val="none"/>
          <w:lang w:val="en-US" w:eastAsia="zh-CN"/>
        </w:rPr>
        <w:t>招标</w:t>
      </w:r>
      <w:r>
        <w:rPr>
          <w:rFonts w:hint="eastAsia"/>
          <w:color w:val="auto"/>
          <w:highlight w:val="none"/>
          <w:lang w:val="zh-CN" w:eastAsia="zh-CN"/>
        </w:rPr>
        <w:t>文件</w:t>
      </w:r>
      <w:r>
        <w:rPr>
          <w:rFonts w:hint="eastAsia"/>
          <w:color w:val="auto"/>
          <w:highlight w:val="none"/>
          <w:lang w:val="en-US" w:eastAsia="zh-CN"/>
        </w:rPr>
        <w:t>的规定</w:t>
      </w:r>
      <w:r>
        <w:rPr>
          <w:rFonts w:hint="eastAsia"/>
          <w:color w:val="auto"/>
          <w:highlight w:val="none"/>
          <w:lang w:val="zh-CN" w:eastAsia="zh-CN"/>
        </w:rPr>
        <w:t>交纳投标保证金</w:t>
      </w:r>
      <w:r>
        <w:rPr>
          <w:rFonts w:hint="eastAsia"/>
          <w:color w:val="auto"/>
          <w:highlight w:val="none"/>
          <w:lang w:val="en-US" w:eastAsia="zh-CN"/>
        </w:rPr>
        <w:t>的；</w:t>
      </w:r>
    </w:p>
    <w:p w14:paraId="149A35CB">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zh-CN" w:eastAsia="zh-CN"/>
        </w:rPr>
      </w:pPr>
      <w:r>
        <w:rPr>
          <w:rFonts w:hint="eastAsia"/>
          <w:color w:val="auto"/>
          <w:highlight w:val="none"/>
          <w:lang w:val="en-US" w:eastAsia="zh-CN"/>
        </w:rPr>
        <w:t>19.</w:t>
      </w:r>
      <w:r>
        <w:rPr>
          <w:rFonts w:hint="eastAsia"/>
          <w:color w:val="auto"/>
          <w:highlight w:val="none"/>
          <w:lang w:val="zh-CN" w:eastAsia="zh-CN"/>
        </w:rPr>
        <w:t>9评审期间,</w:t>
      </w:r>
      <w:r>
        <w:rPr>
          <w:rFonts w:hint="eastAsia"/>
          <w:color w:val="auto"/>
          <w:highlight w:val="none"/>
          <w:lang w:val="en-US" w:eastAsia="zh-CN"/>
        </w:rPr>
        <w:t>投标人</w:t>
      </w:r>
      <w:r>
        <w:rPr>
          <w:rFonts w:hint="eastAsia"/>
          <w:color w:val="auto"/>
          <w:highlight w:val="none"/>
          <w:lang w:val="zh-CN" w:eastAsia="zh-CN"/>
        </w:rPr>
        <w:t>没有按评标委员会的要求提交经授权代表签字的澄清、说明、补正或改变了</w:t>
      </w:r>
      <w:r>
        <w:rPr>
          <w:rFonts w:hint="eastAsia"/>
          <w:color w:val="auto"/>
          <w:highlight w:val="none"/>
          <w:lang w:val="en-US" w:eastAsia="zh-CN"/>
        </w:rPr>
        <w:t>投标</w:t>
      </w:r>
      <w:r>
        <w:rPr>
          <w:rFonts w:hint="eastAsia"/>
          <w:color w:val="auto"/>
          <w:highlight w:val="none"/>
          <w:lang w:val="zh-CN" w:eastAsia="zh-CN"/>
        </w:rPr>
        <w:t>文件的实质性内容</w:t>
      </w:r>
      <w:r>
        <w:rPr>
          <w:rFonts w:hint="eastAsia"/>
          <w:color w:val="auto"/>
          <w:highlight w:val="none"/>
          <w:lang w:val="en-US" w:eastAsia="zh-CN"/>
        </w:rPr>
        <w:t>的；</w:t>
      </w:r>
    </w:p>
    <w:p w14:paraId="19EFB935">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en-US" w:eastAsia="zh-CN"/>
        </w:rPr>
      </w:pPr>
      <w:r>
        <w:rPr>
          <w:rFonts w:hint="eastAsia"/>
          <w:color w:val="auto"/>
          <w:highlight w:val="none"/>
          <w:lang w:val="en-US" w:eastAsia="zh-CN"/>
        </w:rPr>
        <w:t>19.</w:t>
      </w:r>
      <w:r>
        <w:rPr>
          <w:rFonts w:hint="eastAsia"/>
          <w:color w:val="auto"/>
          <w:highlight w:val="none"/>
          <w:lang w:val="zh-CN" w:eastAsia="zh-CN"/>
        </w:rPr>
        <w:t>10</w:t>
      </w:r>
      <w:r>
        <w:rPr>
          <w:rFonts w:hint="eastAsia"/>
          <w:color w:val="auto"/>
          <w:highlight w:val="none"/>
          <w:lang w:val="en-US" w:eastAsia="zh-CN"/>
        </w:rPr>
        <w:t>投标人</w:t>
      </w:r>
      <w:r>
        <w:rPr>
          <w:rFonts w:hint="eastAsia"/>
          <w:color w:val="auto"/>
          <w:highlight w:val="none"/>
          <w:lang w:val="zh-CN" w:eastAsia="zh-CN"/>
        </w:rPr>
        <w:t>对采购人、采购代理机构、评标委员会及其工作人员施加影响,有碍公平、公正</w:t>
      </w:r>
      <w:r>
        <w:rPr>
          <w:rFonts w:hint="eastAsia"/>
          <w:color w:val="auto"/>
          <w:highlight w:val="none"/>
          <w:lang w:val="en-US" w:eastAsia="zh-CN"/>
        </w:rPr>
        <w:t>的；</w:t>
      </w:r>
    </w:p>
    <w:p w14:paraId="3A6B2386">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default"/>
          <w:color w:val="auto"/>
          <w:highlight w:val="none"/>
          <w:lang w:val="en-US" w:eastAsia="zh-CN"/>
        </w:rPr>
      </w:pPr>
      <w:r>
        <w:rPr>
          <w:rFonts w:hint="eastAsia"/>
          <w:color w:val="auto"/>
          <w:highlight w:val="none"/>
          <w:lang w:val="en-US" w:eastAsia="zh-CN"/>
        </w:rPr>
        <w:t>19.11投标文件含有采购人不能接受的附加条件的；</w:t>
      </w:r>
    </w:p>
    <w:p w14:paraId="3764E979">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en-US" w:eastAsia="zh-CN"/>
        </w:rPr>
      </w:pPr>
      <w:r>
        <w:rPr>
          <w:rFonts w:hint="eastAsia"/>
          <w:color w:val="auto"/>
          <w:highlight w:val="none"/>
          <w:lang w:val="en-US" w:eastAsia="zh-CN"/>
        </w:rPr>
        <w:t>19.</w:t>
      </w:r>
      <w:r>
        <w:rPr>
          <w:rFonts w:hint="eastAsia"/>
          <w:color w:val="auto"/>
          <w:highlight w:val="none"/>
          <w:lang w:val="zh-CN" w:eastAsia="zh-CN"/>
        </w:rPr>
        <w:t>1</w:t>
      </w:r>
      <w:r>
        <w:rPr>
          <w:rFonts w:hint="eastAsia"/>
          <w:color w:val="auto"/>
          <w:highlight w:val="none"/>
          <w:lang w:val="en-US" w:eastAsia="zh-CN"/>
        </w:rPr>
        <w:t>2</w:t>
      </w:r>
      <w:r>
        <w:rPr>
          <w:rFonts w:hint="eastAsia"/>
          <w:color w:val="auto"/>
          <w:highlight w:val="none"/>
          <w:lang w:val="zh-CN" w:eastAsia="zh-CN"/>
        </w:rPr>
        <w:t>法律、法规、规章规定属于</w:t>
      </w:r>
      <w:r>
        <w:rPr>
          <w:rFonts w:hint="eastAsia"/>
          <w:color w:val="auto"/>
          <w:highlight w:val="none"/>
          <w:lang w:val="en-US" w:eastAsia="zh-CN"/>
        </w:rPr>
        <w:t>投标</w:t>
      </w:r>
      <w:r>
        <w:rPr>
          <w:rFonts w:hint="eastAsia"/>
          <w:color w:val="auto"/>
          <w:highlight w:val="none"/>
          <w:lang w:val="zh-CN" w:eastAsia="zh-CN"/>
        </w:rPr>
        <w:t>无效的其他情形。</w:t>
      </w:r>
    </w:p>
    <w:p w14:paraId="601D7976">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en-US" w:eastAsia="zh-CN"/>
        </w:rPr>
      </w:pPr>
      <w:r>
        <w:rPr>
          <w:rFonts w:hint="eastAsia"/>
          <w:color w:val="auto"/>
          <w:highlight w:val="none"/>
          <w:lang w:val="en-US" w:eastAsia="zh-CN"/>
        </w:rPr>
        <w:t>20.有下列情形之一的，视为投标人串通投标，其</w:t>
      </w:r>
      <w:r>
        <w:rPr>
          <w:rFonts w:hint="eastAsia"/>
          <w:b/>
          <w:bCs/>
          <w:color w:val="auto"/>
          <w:highlight w:val="none"/>
          <w:lang w:val="en-US" w:eastAsia="zh-CN"/>
        </w:rPr>
        <w:t>投标无效</w:t>
      </w:r>
      <w:r>
        <w:rPr>
          <w:rFonts w:hint="eastAsia"/>
          <w:color w:val="auto"/>
          <w:highlight w:val="none"/>
          <w:lang w:val="en-US" w:eastAsia="zh-CN"/>
        </w:rPr>
        <w:t>：</w:t>
      </w:r>
    </w:p>
    <w:p w14:paraId="0BD50610">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en-US" w:eastAsia="zh-CN"/>
        </w:rPr>
      </w:pPr>
      <w:r>
        <w:rPr>
          <w:rFonts w:hint="eastAsia"/>
          <w:color w:val="auto"/>
          <w:highlight w:val="none"/>
          <w:lang w:val="en-US" w:eastAsia="zh-CN"/>
        </w:rPr>
        <w:t>20.1不同投标人的投标文件由同一单位或者个人编制；</w:t>
      </w:r>
    </w:p>
    <w:p w14:paraId="31815558">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en-US" w:eastAsia="zh-CN"/>
        </w:rPr>
      </w:pPr>
      <w:r>
        <w:rPr>
          <w:rFonts w:hint="eastAsia"/>
          <w:color w:val="auto"/>
          <w:highlight w:val="none"/>
          <w:lang w:val="en-US" w:eastAsia="zh-CN"/>
        </w:rPr>
        <w:t>20.2不同投标人委托同一单位或者个人办理投标事宜；</w:t>
      </w:r>
    </w:p>
    <w:p w14:paraId="3AD20378">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en-US" w:eastAsia="zh-CN"/>
        </w:rPr>
      </w:pPr>
      <w:r>
        <w:rPr>
          <w:rFonts w:hint="eastAsia"/>
          <w:color w:val="auto"/>
          <w:highlight w:val="none"/>
          <w:lang w:val="en-US" w:eastAsia="zh-CN"/>
        </w:rPr>
        <w:t>20.3不同投标人的投标文件载明的项目管理成员或者联系人员为同一人；</w:t>
      </w:r>
    </w:p>
    <w:p w14:paraId="3F168EA2">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en-US" w:eastAsia="zh-CN"/>
        </w:rPr>
      </w:pPr>
      <w:r>
        <w:rPr>
          <w:rFonts w:hint="eastAsia"/>
          <w:color w:val="auto"/>
          <w:highlight w:val="none"/>
          <w:lang w:val="en-US" w:eastAsia="zh-CN"/>
        </w:rPr>
        <w:t>20.4不同投标人的投标文件异常一致或者投标报价呈规律性差异；</w:t>
      </w:r>
    </w:p>
    <w:p w14:paraId="634E7939">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en-US" w:eastAsia="zh-CN"/>
        </w:rPr>
      </w:pPr>
      <w:r>
        <w:rPr>
          <w:rFonts w:hint="eastAsia"/>
          <w:color w:val="auto"/>
          <w:highlight w:val="none"/>
          <w:lang w:val="en-US" w:eastAsia="zh-CN"/>
        </w:rPr>
        <w:t>20.5不同投标人的投标文件相互混装；</w:t>
      </w:r>
    </w:p>
    <w:p w14:paraId="3B078CE3">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en-US" w:eastAsia="zh-CN"/>
        </w:rPr>
      </w:pPr>
      <w:r>
        <w:rPr>
          <w:rFonts w:hint="eastAsia"/>
          <w:color w:val="auto"/>
          <w:highlight w:val="none"/>
          <w:lang w:val="en-US" w:eastAsia="zh-CN"/>
        </w:rPr>
        <w:t>20.6不同投标人的投标保证金从同一单位或者个人的账户转出；</w:t>
      </w:r>
    </w:p>
    <w:p w14:paraId="1C3AF755">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en-US" w:eastAsia="zh-CN"/>
        </w:rPr>
      </w:pPr>
      <w:r>
        <w:rPr>
          <w:rFonts w:hint="eastAsia"/>
          <w:color w:val="auto"/>
          <w:highlight w:val="none"/>
          <w:lang w:val="en-US" w:eastAsia="zh-CN"/>
        </w:rPr>
        <w:t>20.7</w:t>
      </w:r>
      <w:r>
        <w:rPr>
          <w:rFonts w:hint="eastAsia"/>
          <w:color w:val="auto"/>
          <w:highlight w:val="none"/>
          <w:lang w:val="zh-CN" w:eastAsia="zh-CN"/>
        </w:rPr>
        <w:t>不同投标人使用同一电脑（机器特征值一致：如MAC地址等）或使用同一电子密钥，编制或上传电子投标文件</w:t>
      </w:r>
      <w:r>
        <w:rPr>
          <w:rFonts w:hint="eastAsia"/>
          <w:color w:val="auto"/>
          <w:highlight w:val="none"/>
          <w:lang w:val="en-US" w:eastAsia="zh-CN"/>
        </w:rPr>
        <w:t>；</w:t>
      </w:r>
    </w:p>
    <w:p w14:paraId="0641DF48">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default" w:eastAsia="宋体"/>
          <w:color w:val="auto"/>
          <w:highlight w:val="none"/>
          <w:lang w:val="en-US" w:eastAsia="zh-CN"/>
        </w:rPr>
      </w:pPr>
      <w:r>
        <w:rPr>
          <w:rFonts w:hint="eastAsia"/>
          <w:color w:val="auto"/>
          <w:highlight w:val="none"/>
          <w:lang w:val="en-US" w:eastAsia="zh-CN"/>
        </w:rPr>
        <w:t>20.8法律、法规、规章规定属于投标人串通投标的其他情形</w:t>
      </w:r>
      <w:r>
        <w:rPr>
          <w:rFonts w:hint="eastAsia"/>
          <w:color w:val="auto"/>
          <w:highlight w:val="none"/>
          <w:lang w:val="zh-CN" w:eastAsia="zh-CN"/>
        </w:rPr>
        <w:t>。</w:t>
      </w:r>
    </w:p>
    <w:p w14:paraId="737FAF06">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color w:val="auto"/>
          <w:highlight w:val="none"/>
        </w:rPr>
      </w:pPr>
      <w:r>
        <w:rPr>
          <w:rFonts w:hint="eastAsia"/>
          <w:color w:val="auto"/>
          <w:highlight w:val="none"/>
          <w:lang w:val="en-US" w:eastAsia="zh-CN"/>
        </w:rPr>
        <w:t>21</w:t>
      </w:r>
      <w:r>
        <w:rPr>
          <w:color w:val="auto"/>
          <w:highlight w:val="none"/>
        </w:rPr>
        <w:t>.</w:t>
      </w:r>
      <w:r>
        <w:rPr>
          <w:rFonts w:hint="eastAsia"/>
          <w:color w:val="auto"/>
          <w:highlight w:val="none"/>
        </w:rPr>
        <w:t>根据《中华人民共和国政府采购法》第三十六条之规定，在招标采购过程中，出现下列情形之一的，应予</w:t>
      </w:r>
      <w:r>
        <w:rPr>
          <w:rFonts w:hint="eastAsia"/>
          <w:b/>
          <w:bCs/>
          <w:color w:val="auto"/>
          <w:highlight w:val="none"/>
        </w:rPr>
        <w:t>废标</w:t>
      </w:r>
      <w:r>
        <w:rPr>
          <w:rFonts w:hint="eastAsia"/>
          <w:color w:val="auto"/>
          <w:highlight w:val="none"/>
        </w:rPr>
        <w:t>：</w:t>
      </w:r>
    </w:p>
    <w:p w14:paraId="2C92042A">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color w:val="auto"/>
          <w:highlight w:val="none"/>
        </w:rPr>
      </w:pPr>
      <w:r>
        <w:rPr>
          <w:rFonts w:hint="eastAsia"/>
          <w:color w:val="auto"/>
          <w:highlight w:val="none"/>
          <w:lang w:val="en-US" w:eastAsia="zh-CN"/>
        </w:rPr>
        <w:t>21</w:t>
      </w:r>
      <w:r>
        <w:rPr>
          <w:color w:val="auto"/>
          <w:highlight w:val="none"/>
        </w:rPr>
        <w:t>.1</w:t>
      </w:r>
      <w:r>
        <w:rPr>
          <w:rFonts w:hint="eastAsia"/>
          <w:iCs/>
          <w:color w:val="auto"/>
          <w:spacing w:val="-6"/>
          <w:sz w:val="24"/>
          <w:highlight w:val="none"/>
        </w:rPr>
        <w:t>符合专业条件的供应商或者对招标文件作实质响应的供应商不足3家的；</w:t>
      </w:r>
    </w:p>
    <w:p w14:paraId="34ECD7A2">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color w:val="auto"/>
          <w:highlight w:val="none"/>
        </w:rPr>
      </w:pPr>
      <w:r>
        <w:rPr>
          <w:rFonts w:hint="eastAsia"/>
          <w:color w:val="auto"/>
          <w:highlight w:val="none"/>
          <w:lang w:val="en-US" w:eastAsia="zh-CN"/>
        </w:rPr>
        <w:t>21</w:t>
      </w:r>
      <w:r>
        <w:rPr>
          <w:color w:val="auto"/>
          <w:highlight w:val="none"/>
        </w:rPr>
        <w:t>.2</w:t>
      </w:r>
      <w:r>
        <w:rPr>
          <w:rFonts w:hint="eastAsia"/>
          <w:color w:val="auto"/>
          <w:highlight w:val="none"/>
        </w:rPr>
        <w:t>出现影响采购公正的违法、违规行为的；</w:t>
      </w:r>
    </w:p>
    <w:p w14:paraId="55223AA1">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color w:val="auto"/>
          <w:highlight w:val="none"/>
        </w:rPr>
      </w:pPr>
      <w:r>
        <w:rPr>
          <w:rFonts w:hint="eastAsia"/>
          <w:color w:val="auto"/>
          <w:highlight w:val="none"/>
          <w:lang w:val="en-US" w:eastAsia="zh-CN"/>
        </w:rPr>
        <w:t>21</w:t>
      </w:r>
      <w:r>
        <w:rPr>
          <w:color w:val="auto"/>
          <w:highlight w:val="none"/>
        </w:rPr>
        <w:t>.3</w:t>
      </w:r>
      <w:r>
        <w:rPr>
          <w:rFonts w:hint="eastAsia"/>
          <w:color w:val="auto"/>
          <w:highlight w:val="none"/>
        </w:rPr>
        <w:t>投标人的报价均超过了采购预算，采购人不能支付的；</w:t>
      </w:r>
    </w:p>
    <w:p w14:paraId="238CC2DB">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lang w:val="en-US" w:eastAsia="zh-CN"/>
        </w:rPr>
      </w:pPr>
      <w:r>
        <w:rPr>
          <w:rFonts w:hint="eastAsia"/>
          <w:color w:val="auto"/>
          <w:highlight w:val="none"/>
          <w:lang w:val="en-US" w:eastAsia="zh-CN"/>
        </w:rPr>
        <w:t>21</w:t>
      </w:r>
      <w:r>
        <w:rPr>
          <w:color w:val="auto"/>
          <w:highlight w:val="none"/>
        </w:rPr>
        <w:t>.4</w:t>
      </w:r>
      <w:r>
        <w:rPr>
          <w:rFonts w:hint="eastAsia"/>
          <w:color w:val="auto"/>
          <w:highlight w:val="none"/>
        </w:rPr>
        <w:t>因重大变故，采购任务取消的</w:t>
      </w:r>
      <w:r>
        <w:rPr>
          <w:rFonts w:hint="eastAsia"/>
          <w:color w:val="auto"/>
          <w:highlight w:val="none"/>
          <w:lang w:val="en-US" w:eastAsia="zh-CN"/>
        </w:rPr>
        <w:t>；</w:t>
      </w:r>
    </w:p>
    <w:p w14:paraId="42948BC7">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color w:val="auto"/>
          <w:highlight w:val="none"/>
        </w:rPr>
      </w:pPr>
      <w:r>
        <w:rPr>
          <w:rFonts w:hint="eastAsia"/>
          <w:color w:val="auto"/>
          <w:highlight w:val="none"/>
          <w:lang w:val="en-US" w:eastAsia="zh-CN"/>
        </w:rPr>
        <w:t>21.5</w:t>
      </w:r>
      <w:r>
        <w:rPr>
          <w:rFonts w:hint="eastAsia"/>
          <w:color w:val="auto"/>
          <w:highlight w:val="none"/>
        </w:rPr>
        <w:t>法律、法规、规章规定属于</w:t>
      </w:r>
      <w:r>
        <w:rPr>
          <w:rFonts w:hint="eastAsia"/>
          <w:color w:val="auto"/>
          <w:highlight w:val="none"/>
          <w:lang w:val="en-US" w:eastAsia="zh-CN"/>
        </w:rPr>
        <w:t>废标</w:t>
      </w:r>
      <w:r>
        <w:rPr>
          <w:rFonts w:hint="eastAsia"/>
          <w:color w:val="auto"/>
          <w:highlight w:val="none"/>
        </w:rPr>
        <w:t>的其他情形。</w:t>
      </w:r>
    </w:p>
    <w:p w14:paraId="3EE39131">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color w:val="auto"/>
          <w:highlight w:val="none"/>
        </w:rPr>
      </w:pPr>
      <w:r>
        <w:rPr>
          <w:rFonts w:hint="eastAsia"/>
          <w:color w:val="auto"/>
          <w:highlight w:val="none"/>
          <w:lang w:val="en-US" w:eastAsia="zh-CN"/>
        </w:rPr>
        <w:t>22.</w:t>
      </w:r>
      <w:r>
        <w:rPr>
          <w:rFonts w:hint="eastAsia"/>
          <w:color w:val="auto"/>
          <w:highlight w:val="none"/>
        </w:rPr>
        <w:t>废标后，采购人应当将废标理由通知所有投标人。</w:t>
      </w:r>
    </w:p>
    <w:p w14:paraId="05AB6DCD">
      <w:pPr>
        <w:pStyle w:val="4"/>
        <w:keepNext/>
        <w:keepLines/>
        <w:pageBreakBefore w:val="0"/>
        <w:widowControl w:val="0"/>
        <w:numPr>
          <w:ilvl w:val="0"/>
          <w:numId w:val="0"/>
        </w:numPr>
        <w:kinsoku/>
        <w:wordWrap/>
        <w:overflowPunct/>
        <w:topLinePunct w:val="0"/>
        <w:autoSpaceDE/>
        <w:autoSpaceDN/>
        <w:bidi w:val="0"/>
        <w:adjustRightInd/>
        <w:snapToGrid/>
        <w:spacing w:before="6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374" w:name="_Toc163492907"/>
      <w:bookmarkStart w:id="375" w:name="_Toc102056218"/>
      <w:bookmarkStart w:id="376" w:name="_Toc102116152"/>
      <w:bookmarkStart w:id="377" w:name="_Toc102057718"/>
      <w:bookmarkStart w:id="378" w:name="_Toc102119853"/>
      <w:bookmarkStart w:id="379" w:name="_Toc155185914"/>
      <w:bookmarkStart w:id="380" w:name="_Toc102116022"/>
      <w:bookmarkStart w:id="381" w:name="_Toc12911"/>
      <w:bookmarkStart w:id="382" w:name="_Toc102114920"/>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九</w:t>
      </w:r>
      <w:r>
        <w:rPr>
          <w:rFonts w:hint="eastAsia" w:ascii="宋体" w:hAnsi="宋体" w:eastAsia="宋体" w:cs="宋体"/>
          <w:b/>
          <w:bCs/>
          <w:color w:val="auto"/>
          <w:kern w:val="2"/>
          <w:sz w:val="24"/>
          <w:szCs w:val="24"/>
          <w:highlight w:val="none"/>
          <w:lang w:val="zh-CN" w:eastAsia="zh-CN" w:bidi="ar-SA"/>
        </w:rPr>
        <w:t>）停止评标的情形</w:t>
      </w:r>
      <w:bookmarkEnd w:id="374"/>
      <w:bookmarkEnd w:id="375"/>
      <w:bookmarkEnd w:id="376"/>
      <w:bookmarkEnd w:id="377"/>
      <w:bookmarkEnd w:id="378"/>
      <w:bookmarkEnd w:id="379"/>
      <w:bookmarkEnd w:id="380"/>
      <w:bookmarkEnd w:id="381"/>
      <w:bookmarkEnd w:id="382"/>
    </w:p>
    <w:p w14:paraId="190044DE">
      <w:pPr>
        <w:pStyle w:val="36"/>
        <w:rPr>
          <w:rFonts w:hint="eastAsia"/>
          <w:color w:val="auto"/>
          <w:highlight w:val="none"/>
        </w:rPr>
      </w:pPr>
      <w:r>
        <w:rPr>
          <w:rFonts w:hint="eastAsia"/>
          <w:color w:val="auto"/>
          <w:highlight w:val="none"/>
          <w:lang w:val="en-US" w:eastAsia="zh-CN"/>
        </w:rPr>
        <w:t>23</w:t>
      </w:r>
      <w:r>
        <w:rPr>
          <w:color w:val="auto"/>
          <w:highlight w:val="none"/>
        </w:rPr>
        <w:t>.</w:t>
      </w:r>
      <w:r>
        <w:rPr>
          <w:rFonts w:hint="eastAsia"/>
          <w:color w:val="auto"/>
          <w:highlight w:val="none"/>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2CDB1955">
      <w:pPr>
        <w:pStyle w:val="4"/>
        <w:keepNext/>
        <w:keepLines/>
        <w:pageBreakBefore w:val="0"/>
        <w:widowControl w:val="0"/>
        <w:numPr>
          <w:ilvl w:val="0"/>
          <w:numId w:val="0"/>
        </w:numPr>
        <w:kinsoku/>
        <w:wordWrap/>
        <w:overflowPunct/>
        <w:topLinePunct w:val="0"/>
        <w:autoSpaceDE/>
        <w:autoSpaceDN/>
        <w:bidi w:val="0"/>
        <w:adjustRightInd/>
        <w:snapToGrid/>
        <w:spacing w:before="6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383" w:name="_Toc21922"/>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十</w:t>
      </w:r>
      <w:r>
        <w:rPr>
          <w:rFonts w:hint="eastAsia" w:ascii="宋体" w:hAnsi="宋体" w:eastAsia="宋体" w:cs="宋体"/>
          <w:b/>
          <w:bCs/>
          <w:color w:val="auto"/>
          <w:kern w:val="2"/>
          <w:sz w:val="24"/>
          <w:szCs w:val="24"/>
          <w:highlight w:val="none"/>
          <w:lang w:val="zh-CN" w:eastAsia="zh-CN" w:bidi="ar-SA"/>
        </w:rPr>
        <w:t>）重新开展采购</w:t>
      </w:r>
      <w:bookmarkEnd w:id="383"/>
    </w:p>
    <w:p w14:paraId="461B653A">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rPr>
      </w:pPr>
      <w:r>
        <w:rPr>
          <w:rFonts w:hint="eastAsia"/>
          <w:color w:val="auto"/>
          <w:highlight w:val="none"/>
          <w:lang w:val="en-US" w:eastAsia="zh-CN"/>
        </w:rPr>
        <w:t>24.</w:t>
      </w:r>
      <w:r>
        <w:rPr>
          <w:rFonts w:hint="eastAsia"/>
          <w:color w:val="auto"/>
          <w:highlight w:val="none"/>
        </w:rPr>
        <w:t>有</w:t>
      </w:r>
      <w:r>
        <w:rPr>
          <w:rFonts w:hint="eastAsia"/>
          <w:color w:val="auto"/>
          <w:highlight w:val="none"/>
          <w:lang w:eastAsia="zh-CN"/>
        </w:rPr>
        <w:t>《</w:t>
      </w:r>
      <w:r>
        <w:rPr>
          <w:rFonts w:hint="eastAsia"/>
          <w:color w:val="auto"/>
          <w:highlight w:val="none"/>
        </w:rPr>
        <w:t>中华人民共和国政府采购法</w:t>
      </w:r>
      <w:r>
        <w:rPr>
          <w:rFonts w:hint="eastAsia"/>
          <w:color w:val="auto"/>
          <w:highlight w:val="none"/>
          <w:lang w:eastAsia="zh-CN"/>
        </w:rPr>
        <w:t>》</w:t>
      </w:r>
      <w:r>
        <w:rPr>
          <w:rFonts w:hint="eastAsia"/>
          <w:color w:val="auto"/>
          <w:highlight w:val="none"/>
        </w:rPr>
        <w:t>第七十一条、第七十二条规定的违法行为之一，影响或者可能影响中标结果的，依照下列规定处理：</w:t>
      </w:r>
    </w:p>
    <w:p w14:paraId="7AA5C7C3">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rPr>
      </w:pPr>
      <w:r>
        <w:rPr>
          <w:rFonts w:hint="eastAsia"/>
          <w:color w:val="auto"/>
          <w:highlight w:val="none"/>
          <w:lang w:val="en-US" w:eastAsia="zh-CN"/>
        </w:rPr>
        <w:t>24</w:t>
      </w:r>
      <w:r>
        <w:rPr>
          <w:rFonts w:hint="eastAsia"/>
          <w:color w:val="auto"/>
          <w:highlight w:val="none"/>
        </w:rPr>
        <w:t>.1</w:t>
      </w:r>
      <w:r>
        <w:rPr>
          <w:rFonts w:hint="eastAsia"/>
          <w:iCs/>
          <w:color w:val="auto"/>
          <w:spacing w:val="-6"/>
          <w:sz w:val="24"/>
          <w:highlight w:val="none"/>
        </w:rPr>
        <w:t>未确定中标供应商的，终止本次政府采购活动，重新开展政府采购活动。</w:t>
      </w:r>
    </w:p>
    <w:p w14:paraId="3A794890">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rPr>
      </w:pPr>
      <w:r>
        <w:rPr>
          <w:rFonts w:hint="eastAsia"/>
          <w:color w:val="auto"/>
          <w:highlight w:val="none"/>
          <w:lang w:val="en-US" w:eastAsia="zh-CN"/>
        </w:rPr>
        <w:t>24</w:t>
      </w:r>
      <w:r>
        <w:rPr>
          <w:rFonts w:hint="eastAsia"/>
          <w:color w:val="auto"/>
          <w:highlight w:val="none"/>
        </w:rPr>
        <w:t>.2已确定中标供应商但尚未签订政府采购合同的，中标结果无效，从合格的中标候选人中另行确定中标供应商；没有合格的中标候选人的，重新开展政府采购活动。</w:t>
      </w:r>
    </w:p>
    <w:p w14:paraId="595100CC">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rPr>
      </w:pPr>
      <w:r>
        <w:rPr>
          <w:rFonts w:hint="eastAsia"/>
          <w:color w:val="auto"/>
          <w:highlight w:val="none"/>
          <w:lang w:val="en-US" w:eastAsia="zh-CN"/>
        </w:rPr>
        <w:t>24</w:t>
      </w:r>
      <w:r>
        <w:rPr>
          <w:rFonts w:hint="eastAsia"/>
          <w:color w:val="auto"/>
          <w:highlight w:val="none"/>
        </w:rPr>
        <w:t>.3政府采购合同已签订但尚未履行的，撤销合同，从合格的中标候选人中另行确定中标供应商；没有合格的中标候选人的，重新开展政府采购活动。</w:t>
      </w:r>
    </w:p>
    <w:p w14:paraId="45E078B1">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rFonts w:hint="eastAsia"/>
          <w:color w:val="auto"/>
          <w:highlight w:val="none"/>
        </w:rPr>
      </w:pPr>
      <w:r>
        <w:rPr>
          <w:rFonts w:hint="eastAsia"/>
          <w:color w:val="auto"/>
          <w:highlight w:val="none"/>
          <w:lang w:val="en-US" w:eastAsia="zh-CN"/>
        </w:rPr>
        <w:t>24</w:t>
      </w:r>
      <w:r>
        <w:rPr>
          <w:rFonts w:hint="eastAsia"/>
          <w:color w:val="auto"/>
          <w:highlight w:val="none"/>
        </w:rPr>
        <w:t>.4政府采购合同已经履行，给采购人、供应商造成损失的，由责任人承担赔偿责任。</w:t>
      </w:r>
    </w:p>
    <w:p w14:paraId="43A428E9">
      <w:pPr>
        <w:pStyle w:val="36"/>
        <w:keepNext w:val="0"/>
        <w:keepLines w:val="0"/>
        <w:pageBreakBefore w:val="0"/>
        <w:widowControl w:val="0"/>
        <w:kinsoku/>
        <w:wordWrap w:val="0"/>
        <w:overflowPunct/>
        <w:topLinePunct w:val="0"/>
        <w:autoSpaceDE/>
        <w:autoSpaceDN/>
        <w:bidi w:val="0"/>
        <w:adjustRightInd/>
        <w:snapToGrid/>
        <w:spacing w:line="460" w:lineRule="exact"/>
        <w:ind w:firstLine="482"/>
        <w:textAlignment w:val="auto"/>
        <w:rPr>
          <w:color w:val="auto"/>
          <w:highlight w:val="none"/>
        </w:rPr>
      </w:pPr>
      <w:r>
        <w:rPr>
          <w:rFonts w:hint="eastAsia"/>
          <w:color w:val="auto"/>
          <w:highlight w:val="none"/>
          <w:lang w:val="en-US" w:eastAsia="zh-CN"/>
        </w:rPr>
        <w:t>24</w:t>
      </w:r>
      <w:r>
        <w:rPr>
          <w:rFonts w:hint="eastAsia"/>
          <w:color w:val="auto"/>
          <w:highlight w:val="none"/>
        </w:rPr>
        <w:t>.5政府采购当事人有其他违反</w:t>
      </w:r>
      <w:r>
        <w:rPr>
          <w:rFonts w:hint="eastAsia"/>
          <w:iCs/>
          <w:color w:val="auto"/>
          <w:spacing w:val="-6"/>
          <w:sz w:val="24"/>
          <w:highlight w:val="none"/>
          <w:lang w:eastAsia="zh-CN"/>
        </w:rPr>
        <w:t>《</w:t>
      </w:r>
      <w:r>
        <w:rPr>
          <w:rFonts w:hint="eastAsia"/>
          <w:iCs/>
          <w:color w:val="auto"/>
          <w:spacing w:val="-6"/>
          <w:sz w:val="24"/>
          <w:highlight w:val="none"/>
        </w:rPr>
        <w:t>中华人民共和国政府采购法</w:t>
      </w:r>
      <w:r>
        <w:rPr>
          <w:rFonts w:hint="eastAsia"/>
          <w:iCs/>
          <w:color w:val="auto"/>
          <w:spacing w:val="-6"/>
          <w:sz w:val="24"/>
          <w:highlight w:val="none"/>
          <w:lang w:eastAsia="zh-CN"/>
        </w:rPr>
        <w:t>》</w:t>
      </w:r>
      <w:r>
        <w:rPr>
          <w:rFonts w:hint="eastAsia"/>
          <w:iCs/>
          <w:color w:val="auto"/>
          <w:spacing w:val="-6"/>
          <w:sz w:val="24"/>
          <w:highlight w:val="none"/>
        </w:rPr>
        <w:t>或者</w:t>
      </w:r>
      <w:r>
        <w:rPr>
          <w:rFonts w:hint="eastAsia"/>
          <w:iCs/>
          <w:color w:val="auto"/>
          <w:spacing w:val="-6"/>
          <w:sz w:val="24"/>
          <w:highlight w:val="none"/>
          <w:lang w:eastAsia="zh-CN"/>
        </w:rPr>
        <w:t>《</w:t>
      </w:r>
      <w:r>
        <w:rPr>
          <w:rFonts w:hint="eastAsia"/>
          <w:iCs/>
          <w:color w:val="auto"/>
          <w:spacing w:val="-6"/>
          <w:sz w:val="24"/>
          <w:highlight w:val="none"/>
        </w:rPr>
        <w:t>中华人民共和国政府采购法实施条例</w:t>
      </w:r>
      <w:r>
        <w:rPr>
          <w:rFonts w:hint="eastAsia"/>
          <w:iCs/>
          <w:color w:val="auto"/>
          <w:spacing w:val="-6"/>
          <w:sz w:val="24"/>
          <w:highlight w:val="none"/>
          <w:lang w:eastAsia="zh-CN"/>
        </w:rPr>
        <w:t>》</w:t>
      </w:r>
      <w:r>
        <w:rPr>
          <w:rFonts w:hint="eastAsia"/>
          <w:color w:val="auto"/>
          <w:highlight w:val="none"/>
        </w:rPr>
        <w:t>等法律法规规定的行为，经改正后仍然影响或者可能影响中标结果或者依法被认定为中标无效的，依照</w:t>
      </w:r>
      <w:r>
        <w:rPr>
          <w:rFonts w:hint="eastAsia"/>
          <w:color w:val="auto"/>
          <w:highlight w:val="none"/>
          <w:lang w:val="en-US" w:eastAsia="zh-CN"/>
        </w:rPr>
        <w:t>24</w:t>
      </w:r>
      <w:r>
        <w:rPr>
          <w:rFonts w:hint="eastAsia"/>
          <w:color w:val="auto"/>
          <w:highlight w:val="none"/>
        </w:rPr>
        <w:t>.1</w:t>
      </w:r>
      <w:r>
        <w:rPr>
          <w:rFonts w:hint="eastAsia"/>
          <w:color w:val="auto"/>
          <w:highlight w:val="none"/>
          <w:lang w:eastAsia="zh-CN"/>
        </w:rPr>
        <w:t>—</w:t>
      </w:r>
      <w:r>
        <w:rPr>
          <w:rFonts w:hint="eastAsia"/>
          <w:color w:val="auto"/>
          <w:highlight w:val="none"/>
          <w:lang w:val="en-US" w:eastAsia="zh-CN"/>
        </w:rPr>
        <w:t>24</w:t>
      </w:r>
      <w:r>
        <w:rPr>
          <w:rFonts w:hint="eastAsia"/>
          <w:color w:val="auto"/>
          <w:highlight w:val="none"/>
        </w:rPr>
        <w:t>.4规定处理。</w:t>
      </w:r>
    </w:p>
    <w:bookmarkEnd w:id="338"/>
    <w:bookmarkEnd w:id="339"/>
    <w:bookmarkEnd w:id="340"/>
    <w:bookmarkEnd w:id="341"/>
    <w:bookmarkEnd w:id="342"/>
    <w:bookmarkEnd w:id="343"/>
    <w:bookmarkEnd w:id="344"/>
    <w:bookmarkEnd w:id="345"/>
    <w:bookmarkEnd w:id="346"/>
    <w:bookmarkEnd w:id="347"/>
    <w:p w14:paraId="6AD5E432">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default" w:ascii="宋体" w:hAnsi="宋体" w:eastAsia="宋体" w:cs="宋体"/>
          <w:color w:val="auto"/>
          <w:sz w:val="28"/>
          <w:szCs w:val="28"/>
          <w:highlight w:val="none"/>
          <w:lang w:val="en-US" w:eastAsia="zh-CN"/>
        </w:rPr>
      </w:pPr>
      <w:bookmarkStart w:id="384" w:name="_Toc3426"/>
      <w:bookmarkStart w:id="385" w:name="_Toc27267"/>
      <w:r>
        <w:rPr>
          <w:rFonts w:hint="eastAsia" w:ascii="宋体" w:hAnsi="宋体" w:eastAsia="宋体" w:cs="宋体"/>
          <w:color w:val="auto"/>
          <w:sz w:val="28"/>
          <w:szCs w:val="28"/>
          <w:highlight w:val="none"/>
          <w:lang w:val="zh-CN" w:eastAsia="zh-CN"/>
        </w:rPr>
        <w:t>三、评标</w:t>
      </w:r>
      <w:r>
        <w:rPr>
          <w:rFonts w:hint="eastAsia" w:ascii="宋体" w:hAnsi="宋体" w:eastAsia="宋体" w:cs="宋体"/>
          <w:color w:val="auto"/>
          <w:sz w:val="28"/>
          <w:szCs w:val="28"/>
          <w:highlight w:val="none"/>
          <w:lang w:val="en-US" w:eastAsia="zh-CN"/>
        </w:rPr>
        <w:t>其他要求</w:t>
      </w:r>
      <w:bookmarkEnd w:id="384"/>
      <w:bookmarkEnd w:id="385"/>
    </w:p>
    <w:p w14:paraId="555D6B49">
      <w:pPr>
        <w:pStyle w:val="36"/>
        <w:keepNext w:val="0"/>
        <w:keepLines w:val="0"/>
        <w:pageBreakBefore w:val="0"/>
        <w:widowControl w:val="0"/>
        <w:kinsoku/>
        <w:overflowPunct/>
        <w:topLinePunct w:val="0"/>
        <w:autoSpaceDE/>
        <w:autoSpaceDN/>
        <w:bidi w:val="0"/>
        <w:adjustRightInd/>
        <w:snapToGrid/>
        <w:textAlignment w:val="auto"/>
        <w:rPr>
          <w:rFonts w:hint="eastAsia"/>
          <w:color w:val="auto"/>
          <w:highlight w:val="none"/>
          <w:lang w:eastAsia="zh-CN"/>
        </w:rPr>
      </w:pPr>
      <w:r>
        <w:rPr>
          <w:rFonts w:hint="eastAsia"/>
          <w:color w:val="auto"/>
          <w:highlight w:val="none"/>
          <w:lang w:eastAsia="zh-CN"/>
        </w:rPr>
        <w:t>【</w:t>
      </w:r>
      <w:r>
        <w:rPr>
          <w:rFonts w:hint="eastAsia"/>
          <w:color w:val="auto"/>
          <w:highlight w:val="none"/>
          <w:lang w:val="en-US" w:eastAsia="zh-CN"/>
        </w:rPr>
        <w:t>可根据项目的情况增加上述内容中未包含的要求</w:t>
      </w:r>
      <w:r>
        <w:rPr>
          <w:rFonts w:hint="eastAsia"/>
          <w:color w:val="auto"/>
          <w:highlight w:val="none"/>
          <w:lang w:eastAsia="zh-CN"/>
        </w:rPr>
        <w:t>】</w:t>
      </w:r>
    </w:p>
    <w:p w14:paraId="0BE29AB1">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color w:val="auto"/>
          <w:sz w:val="28"/>
          <w:szCs w:val="28"/>
          <w:highlight w:val="none"/>
          <w:lang w:val="zh-CN" w:eastAsia="zh-CN"/>
        </w:rPr>
      </w:pPr>
      <w:bookmarkStart w:id="386" w:name="_Toc3559"/>
      <w:bookmarkStart w:id="387" w:name="_Toc31252"/>
      <w:r>
        <w:rPr>
          <w:rFonts w:hint="eastAsia" w:ascii="宋体" w:hAnsi="宋体" w:eastAsia="宋体" w:cs="宋体"/>
          <w:color w:val="auto"/>
          <w:sz w:val="28"/>
          <w:szCs w:val="28"/>
          <w:highlight w:val="none"/>
          <w:lang w:val="en-US" w:eastAsia="zh-CN"/>
        </w:rPr>
        <w:t>四</w:t>
      </w:r>
      <w:r>
        <w:rPr>
          <w:rFonts w:hint="eastAsia" w:ascii="宋体" w:hAnsi="宋体" w:eastAsia="宋体" w:cs="宋体"/>
          <w:color w:val="auto"/>
          <w:sz w:val="28"/>
          <w:szCs w:val="28"/>
          <w:highlight w:val="none"/>
          <w:lang w:val="zh-CN" w:eastAsia="zh-CN"/>
        </w:rPr>
        <w:t>、评标标准</w:t>
      </w:r>
      <w:bookmarkEnd w:id="386"/>
      <w:bookmarkEnd w:id="387"/>
    </w:p>
    <w:p w14:paraId="6FC1DEBE">
      <w:pPr>
        <w:pStyle w:val="4"/>
        <w:keepNext/>
        <w:keepLines/>
        <w:pageBreakBefore w:val="0"/>
        <w:widowControl w:val="0"/>
        <w:numPr>
          <w:ilvl w:val="0"/>
          <w:numId w:val="0"/>
        </w:numPr>
        <w:kinsoku/>
        <w:wordWrap/>
        <w:overflowPunct/>
        <w:topLinePunct w:val="0"/>
        <w:autoSpaceDE/>
        <w:autoSpaceDN/>
        <w:bidi w:val="0"/>
        <w:adjustRightInd/>
        <w:snapToGrid/>
        <w:spacing w:before="6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388" w:name="_Toc9559"/>
      <w:bookmarkStart w:id="389" w:name="_Toc163492909"/>
      <w:r>
        <w:rPr>
          <w:rFonts w:hint="eastAsia" w:ascii="宋体" w:hAnsi="宋体" w:eastAsia="宋体" w:cs="宋体"/>
          <w:b/>
          <w:bCs/>
          <w:color w:val="auto"/>
          <w:kern w:val="2"/>
          <w:sz w:val="24"/>
          <w:szCs w:val="24"/>
          <w:highlight w:val="none"/>
          <w:lang w:val="zh-CN" w:eastAsia="zh-CN" w:bidi="ar-SA"/>
        </w:rPr>
        <w:t>（一）符合性审查表</w:t>
      </w:r>
      <w:bookmarkEnd w:id="388"/>
      <w:bookmarkEnd w:id="389"/>
    </w:p>
    <w:tbl>
      <w:tblPr>
        <w:tblStyle w:val="29"/>
        <w:tblW w:w="5424" w:type="pct"/>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3"/>
        <w:gridCol w:w="1303"/>
        <w:gridCol w:w="5480"/>
        <w:gridCol w:w="866"/>
        <w:gridCol w:w="1088"/>
      </w:tblGrid>
      <w:tr w14:paraId="6867D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277" w:type="pct"/>
            <w:vMerge w:val="restart"/>
            <w:shd w:val="clear" w:color="auto" w:fill="D8D8D8" w:themeFill="background1" w:themeFillShade="D9"/>
            <w:vAlign w:val="center"/>
          </w:tcPr>
          <w:p w14:paraId="3B188FC3">
            <w:pPr>
              <w:pStyle w:val="48"/>
              <w:jc w:val="center"/>
              <w:rPr>
                <w:rFonts w:hint="eastAsia" w:ascii="宋体" w:hAnsi="宋体" w:eastAsia="宋体" w:cs="宋体"/>
                <w:b/>
                <w:bCs/>
                <w:color w:val="auto"/>
                <w:sz w:val="21"/>
                <w:szCs w:val="21"/>
                <w:highlight w:val="none"/>
                <w:lang w:val="zh-CN"/>
              </w:rPr>
            </w:pPr>
            <w:bookmarkStart w:id="390" w:name="_Toc155185917"/>
            <w:bookmarkStart w:id="391" w:name="_Toc163492910"/>
            <w:r>
              <w:rPr>
                <w:rFonts w:hint="eastAsia" w:ascii="宋体" w:hAnsi="宋体" w:eastAsia="宋体" w:cs="宋体"/>
                <w:b/>
                <w:bCs/>
                <w:color w:val="auto"/>
                <w:sz w:val="21"/>
                <w:szCs w:val="21"/>
                <w:highlight w:val="none"/>
                <w:lang w:val="zh-CN"/>
              </w:rPr>
              <w:t>序号</w:t>
            </w:r>
          </w:p>
        </w:tc>
        <w:tc>
          <w:tcPr>
            <w:tcW w:w="704" w:type="pct"/>
            <w:vMerge w:val="restart"/>
            <w:shd w:val="clear" w:color="auto" w:fill="D8D8D8" w:themeFill="background1" w:themeFillShade="D9"/>
            <w:vAlign w:val="center"/>
          </w:tcPr>
          <w:p w14:paraId="316B5F87">
            <w:pPr>
              <w:pStyle w:val="48"/>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审查项名称</w:t>
            </w:r>
          </w:p>
        </w:tc>
        <w:tc>
          <w:tcPr>
            <w:tcW w:w="2961" w:type="pct"/>
            <w:vMerge w:val="restart"/>
            <w:shd w:val="clear" w:color="auto" w:fill="D8D8D8" w:themeFill="background1" w:themeFillShade="D9"/>
            <w:vAlign w:val="center"/>
          </w:tcPr>
          <w:p w14:paraId="44B32FDC">
            <w:pPr>
              <w:pStyle w:val="48"/>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审查内容</w:t>
            </w:r>
          </w:p>
        </w:tc>
        <w:tc>
          <w:tcPr>
            <w:tcW w:w="1056" w:type="pct"/>
            <w:gridSpan w:val="2"/>
            <w:shd w:val="clear" w:color="auto" w:fill="D8D8D8" w:themeFill="background1" w:themeFillShade="D9"/>
            <w:vAlign w:val="center"/>
          </w:tcPr>
          <w:p w14:paraId="2724C461">
            <w:pPr>
              <w:pStyle w:val="48"/>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审查结果</w:t>
            </w:r>
          </w:p>
        </w:tc>
      </w:tr>
      <w:tr w14:paraId="6963B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277" w:type="pct"/>
            <w:vMerge w:val="continue"/>
            <w:shd w:val="clear" w:color="auto" w:fill="D8D8D8" w:themeFill="background1" w:themeFillShade="D9"/>
            <w:vAlign w:val="center"/>
          </w:tcPr>
          <w:p w14:paraId="1859AA86">
            <w:pPr>
              <w:pStyle w:val="48"/>
              <w:jc w:val="center"/>
              <w:rPr>
                <w:rFonts w:hint="eastAsia" w:ascii="宋体" w:hAnsi="宋体" w:eastAsia="宋体" w:cs="宋体"/>
                <w:b/>
                <w:bCs/>
                <w:color w:val="auto"/>
                <w:sz w:val="21"/>
                <w:szCs w:val="21"/>
                <w:highlight w:val="none"/>
                <w:lang w:val="zh-CN"/>
              </w:rPr>
            </w:pPr>
          </w:p>
        </w:tc>
        <w:tc>
          <w:tcPr>
            <w:tcW w:w="704" w:type="pct"/>
            <w:vMerge w:val="continue"/>
            <w:shd w:val="clear" w:color="auto" w:fill="D8D8D8" w:themeFill="background1" w:themeFillShade="D9"/>
            <w:vAlign w:val="center"/>
          </w:tcPr>
          <w:p w14:paraId="51EF0565">
            <w:pPr>
              <w:pStyle w:val="48"/>
              <w:jc w:val="center"/>
              <w:rPr>
                <w:rFonts w:hint="eastAsia" w:ascii="宋体" w:hAnsi="宋体" w:eastAsia="宋体" w:cs="宋体"/>
                <w:b/>
                <w:bCs/>
                <w:color w:val="auto"/>
                <w:sz w:val="21"/>
                <w:szCs w:val="21"/>
                <w:highlight w:val="none"/>
                <w:lang w:val="zh-CN"/>
              </w:rPr>
            </w:pPr>
          </w:p>
        </w:tc>
        <w:tc>
          <w:tcPr>
            <w:tcW w:w="2961" w:type="pct"/>
            <w:vMerge w:val="continue"/>
            <w:shd w:val="clear" w:color="auto" w:fill="D8D8D8" w:themeFill="background1" w:themeFillShade="D9"/>
            <w:vAlign w:val="center"/>
          </w:tcPr>
          <w:p w14:paraId="2128C077">
            <w:pPr>
              <w:pStyle w:val="48"/>
              <w:jc w:val="center"/>
              <w:rPr>
                <w:rFonts w:hint="eastAsia" w:ascii="宋体" w:hAnsi="宋体" w:eastAsia="宋体" w:cs="宋体"/>
                <w:b/>
                <w:bCs/>
                <w:color w:val="auto"/>
                <w:sz w:val="21"/>
                <w:szCs w:val="21"/>
                <w:highlight w:val="none"/>
                <w:lang w:val="zh-CN"/>
              </w:rPr>
            </w:pPr>
          </w:p>
        </w:tc>
        <w:tc>
          <w:tcPr>
            <w:tcW w:w="468" w:type="pct"/>
            <w:shd w:val="clear" w:color="auto" w:fill="D8D8D8" w:themeFill="background1" w:themeFillShade="D9"/>
            <w:vAlign w:val="center"/>
          </w:tcPr>
          <w:p w14:paraId="0CAA21D7">
            <w:pPr>
              <w:pStyle w:val="48"/>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符合</w:t>
            </w:r>
          </w:p>
        </w:tc>
        <w:tc>
          <w:tcPr>
            <w:tcW w:w="588" w:type="pct"/>
            <w:shd w:val="clear" w:color="auto" w:fill="D8D8D8" w:themeFill="background1" w:themeFillShade="D9"/>
            <w:vAlign w:val="center"/>
          </w:tcPr>
          <w:p w14:paraId="15D1F439">
            <w:pPr>
              <w:pStyle w:val="48"/>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不符合</w:t>
            </w:r>
          </w:p>
        </w:tc>
      </w:tr>
      <w:tr w14:paraId="233AF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8" w:hRule="atLeast"/>
        </w:trPr>
        <w:tc>
          <w:tcPr>
            <w:tcW w:w="277" w:type="pct"/>
            <w:shd w:val="clear" w:color="auto" w:fill="auto"/>
            <w:vAlign w:val="center"/>
          </w:tcPr>
          <w:p w14:paraId="4A515C07">
            <w:pPr>
              <w:pStyle w:val="48"/>
              <w:numPr>
                <w:ilvl w:val="0"/>
                <w:numId w:val="0"/>
              </w:numPr>
              <w:ind w:left="420" w:leftChars="0" w:hanging="420" w:firstLineChars="0"/>
              <w:jc w:val="center"/>
              <w:rPr>
                <w:rFonts w:hint="eastAsia" w:ascii="宋体" w:hAnsi="宋体" w:eastAsia="宋体" w:cs="宋体"/>
                <w:color w:val="auto"/>
                <w:sz w:val="21"/>
                <w:szCs w:val="21"/>
                <w:highlight w:val="none"/>
                <w:lang w:val="zh-CN"/>
              </w:rPr>
            </w:pPr>
            <w:r>
              <w:rPr>
                <w:rFonts w:hint="eastAsia" w:ascii="宋体" w:hAnsi="宋体" w:eastAsia="宋体" w:cs="宋体"/>
                <w:color w:val="auto"/>
                <w:kern w:val="2"/>
                <w:sz w:val="21"/>
                <w:szCs w:val="21"/>
                <w:highlight w:val="none"/>
                <w:lang w:val="zh-CN" w:eastAsia="zh-CN" w:bidi="ar-SA"/>
              </w:rPr>
              <w:t>1</w:t>
            </w:r>
          </w:p>
        </w:tc>
        <w:tc>
          <w:tcPr>
            <w:tcW w:w="704" w:type="pct"/>
            <w:vAlign w:val="center"/>
          </w:tcPr>
          <w:p w14:paraId="5E0E3062">
            <w:pPr>
              <w:pStyle w:val="48"/>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投标文件</w:t>
            </w:r>
            <w:r>
              <w:rPr>
                <w:rFonts w:hint="eastAsia" w:ascii="宋体" w:hAnsi="宋体" w:eastAsia="宋体" w:cs="宋体"/>
                <w:color w:val="auto"/>
                <w:sz w:val="21"/>
                <w:szCs w:val="21"/>
                <w:highlight w:val="none"/>
              </w:rPr>
              <w:t>签署</w:t>
            </w:r>
          </w:p>
        </w:tc>
        <w:tc>
          <w:tcPr>
            <w:tcW w:w="2961" w:type="pct"/>
            <w:shd w:val="clear" w:color="auto" w:fill="auto"/>
            <w:vAlign w:val="center"/>
          </w:tcPr>
          <w:p w14:paraId="0FA4ED80">
            <w:pPr>
              <w:pStyle w:val="48"/>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投标文件按招标文件要求签署、盖章的</w:t>
            </w:r>
          </w:p>
        </w:tc>
        <w:tc>
          <w:tcPr>
            <w:tcW w:w="468" w:type="pct"/>
            <w:shd w:val="clear" w:color="auto" w:fill="auto"/>
            <w:vAlign w:val="center"/>
          </w:tcPr>
          <w:p w14:paraId="1E1F1EB1">
            <w:pPr>
              <w:pStyle w:val="48"/>
              <w:rPr>
                <w:rFonts w:hint="eastAsia" w:ascii="宋体" w:hAnsi="宋体" w:eastAsia="宋体" w:cs="宋体"/>
                <w:color w:val="auto"/>
                <w:sz w:val="21"/>
                <w:szCs w:val="21"/>
                <w:highlight w:val="none"/>
                <w:lang w:val="zh-CN"/>
              </w:rPr>
            </w:pPr>
          </w:p>
        </w:tc>
        <w:tc>
          <w:tcPr>
            <w:tcW w:w="588" w:type="pct"/>
            <w:shd w:val="clear" w:color="auto" w:fill="auto"/>
            <w:vAlign w:val="center"/>
          </w:tcPr>
          <w:p w14:paraId="35325BAA">
            <w:pPr>
              <w:pStyle w:val="48"/>
              <w:rPr>
                <w:rFonts w:hint="eastAsia" w:ascii="宋体" w:hAnsi="宋体" w:eastAsia="宋体" w:cs="宋体"/>
                <w:color w:val="auto"/>
                <w:sz w:val="21"/>
                <w:szCs w:val="21"/>
                <w:highlight w:val="none"/>
                <w:lang w:val="zh-CN"/>
              </w:rPr>
            </w:pPr>
          </w:p>
        </w:tc>
      </w:tr>
      <w:tr w14:paraId="6BB86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277" w:type="pct"/>
            <w:shd w:val="clear" w:color="auto" w:fill="auto"/>
            <w:vAlign w:val="center"/>
          </w:tcPr>
          <w:p w14:paraId="70154C2F">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2</w:t>
            </w:r>
          </w:p>
        </w:tc>
        <w:tc>
          <w:tcPr>
            <w:tcW w:w="704" w:type="pct"/>
            <w:shd w:val="clear" w:color="auto" w:fill="auto"/>
            <w:vAlign w:val="center"/>
          </w:tcPr>
          <w:p w14:paraId="1B390AF0">
            <w:pPr>
              <w:pStyle w:val="48"/>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rPr>
              <w:t>实质性要求</w:t>
            </w:r>
          </w:p>
        </w:tc>
        <w:tc>
          <w:tcPr>
            <w:tcW w:w="2961" w:type="pct"/>
            <w:shd w:val="clear" w:color="auto" w:fill="auto"/>
            <w:vAlign w:val="center"/>
          </w:tcPr>
          <w:p w14:paraId="6D95F485">
            <w:pPr>
              <w:pStyle w:val="48"/>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lang w:val="zh-CN" w:eastAsia="zh-CN"/>
              </w:rPr>
              <w:t>文件满足</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lang w:val="zh-CN" w:eastAsia="zh-CN"/>
              </w:rPr>
              <w:t>文件中标注“★”号的实质性条款（或指标）要求的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具体详见</w:t>
            </w:r>
            <w:r>
              <w:rPr>
                <w:rFonts w:hint="eastAsia" w:ascii="宋体" w:hAnsi="宋体" w:eastAsia="宋体" w:cs="宋体"/>
                <w:color w:val="auto"/>
                <w:sz w:val="21"/>
                <w:szCs w:val="21"/>
                <w:highlight w:val="none"/>
                <w:lang w:val="zh-CN"/>
              </w:rPr>
              <w:t>“实质性响应一览表”</w:t>
            </w:r>
          </w:p>
        </w:tc>
        <w:tc>
          <w:tcPr>
            <w:tcW w:w="468" w:type="pct"/>
            <w:shd w:val="clear" w:color="auto" w:fill="auto"/>
            <w:vAlign w:val="center"/>
          </w:tcPr>
          <w:p w14:paraId="4C63B966">
            <w:pPr>
              <w:pStyle w:val="48"/>
              <w:rPr>
                <w:rFonts w:hint="eastAsia" w:ascii="宋体" w:hAnsi="宋体" w:eastAsia="宋体" w:cs="宋体"/>
                <w:color w:val="auto"/>
                <w:sz w:val="21"/>
                <w:szCs w:val="21"/>
                <w:highlight w:val="none"/>
                <w:lang w:val="zh-CN"/>
              </w:rPr>
            </w:pPr>
          </w:p>
        </w:tc>
        <w:tc>
          <w:tcPr>
            <w:tcW w:w="588" w:type="pct"/>
            <w:shd w:val="clear" w:color="auto" w:fill="auto"/>
            <w:vAlign w:val="center"/>
          </w:tcPr>
          <w:p w14:paraId="5A615EFE">
            <w:pPr>
              <w:pStyle w:val="48"/>
              <w:rPr>
                <w:rFonts w:hint="eastAsia" w:ascii="宋体" w:hAnsi="宋体" w:eastAsia="宋体" w:cs="宋体"/>
                <w:color w:val="auto"/>
                <w:sz w:val="21"/>
                <w:szCs w:val="21"/>
                <w:highlight w:val="none"/>
                <w:lang w:val="zh-CN"/>
              </w:rPr>
            </w:pPr>
          </w:p>
        </w:tc>
      </w:tr>
      <w:tr w14:paraId="591B9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277" w:type="pct"/>
            <w:shd w:val="clear" w:color="auto" w:fill="auto"/>
            <w:vAlign w:val="center"/>
          </w:tcPr>
          <w:p w14:paraId="48860C47">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3</w:t>
            </w:r>
          </w:p>
        </w:tc>
        <w:tc>
          <w:tcPr>
            <w:tcW w:w="704" w:type="pct"/>
            <w:vAlign w:val="center"/>
          </w:tcPr>
          <w:p w14:paraId="31EA832C">
            <w:pPr>
              <w:pStyle w:val="48"/>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投标报价</w:t>
            </w:r>
          </w:p>
        </w:tc>
        <w:tc>
          <w:tcPr>
            <w:tcW w:w="2961" w:type="pct"/>
            <w:shd w:val="clear" w:color="auto" w:fill="auto"/>
            <w:vAlign w:val="center"/>
          </w:tcPr>
          <w:p w14:paraId="02D97709">
            <w:pPr>
              <w:pStyle w:val="48"/>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投标人报价未超过招标文件中规定的</w:t>
            </w:r>
            <w:r>
              <w:rPr>
                <w:rFonts w:hint="eastAsia" w:ascii="宋体" w:hAnsi="宋体" w:eastAsia="宋体" w:cs="宋体"/>
                <w:color w:val="auto"/>
                <w:sz w:val="21"/>
                <w:szCs w:val="21"/>
                <w:highlight w:val="none"/>
                <w:lang w:val="en-US" w:eastAsia="zh-CN"/>
              </w:rPr>
              <w:t>最高限价或者预算金额</w:t>
            </w:r>
            <w:r>
              <w:rPr>
                <w:rFonts w:hint="eastAsia" w:ascii="宋体" w:hAnsi="宋体" w:eastAsia="宋体" w:cs="宋体"/>
                <w:color w:val="auto"/>
                <w:kern w:val="2"/>
                <w:sz w:val="21"/>
                <w:szCs w:val="21"/>
                <w:highlight w:val="none"/>
                <w:lang w:val="en-US" w:eastAsia="zh-CN" w:bidi="ar-SA"/>
              </w:rPr>
              <w:t>的</w:t>
            </w:r>
          </w:p>
        </w:tc>
        <w:tc>
          <w:tcPr>
            <w:tcW w:w="468" w:type="pct"/>
            <w:shd w:val="clear" w:color="auto" w:fill="auto"/>
            <w:vAlign w:val="center"/>
          </w:tcPr>
          <w:p w14:paraId="18835E98">
            <w:pPr>
              <w:pStyle w:val="48"/>
              <w:rPr>
                <w:rFonts w:hint="eastAsia" w:ascii="宋体" w:hAnsi="宋体" w:eastAsia="宋体" w:cs="宋体"/>
                <w:color w:val="auto"/>
                <w:sz w:val="21"/>
                <w:szCs w:val="21"/>
                <w:highlight w:val="none"/>
                <w:lang w:val="zh-CN"/>
              </w:rPr>
            </w:pPr>
          </w:p>
        </w:tc>
        <w:tc>
          <w:tcPr>
            <w:tcW w:w="588" w:type="pct"/>
            <w:shd w:val="clear" w:color="auto" w:fill="auto"/>
            <w:vAlign w:val="center"/>
          </w:tcPr>
          <w:p w14:paraId="32826E79">
            <w:pPr>
              <w:pStyle w:val="48"/>
              <w:rPr>
                <w:rFonts w:hint="eastAsia" w:ascii="宋体" w:hAnsi="宋体" w:eastAsia="宋体" w:cs="宋体"/>
                <w:color w:val="auto"/>
                <w:sz w:val="21"/>
                <w:szCs w:val="21"/>
                <w:highlight w:val="none"/>
                <w:lang w:val="zh-CN"/>
              </w:rPr>
            </w:pPr>
          </w:p>
        </w:tc>
      </w:tr>
      <w:tr w14:paraId="7C777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4" w:hRule="atLeast"/>
        </w:trPr>
        <w:tc>
          <w:tcPr>
            <w:tcW w:w="277" w:type="pct"/>
            <w:shd w:val="clear" w:color="auto" w:fill="auto"/>
            <w:vAlign w:val="center"/>
          </w:tcPr>
          <w:p w14:paraId="0D25BA5B">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4</w:t>
            </w:r>
          </w:p>
        </w:tc>
        <w:tc>
          <w:tcPr>
            <w:tcW w:w="704" w:type="pct"/>
            <w:vAlign w:val="center"/>
          </w:tcPr>
          <w:p w14:paraId="6B53D7DD">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虚假材料</w:t>
            </w:r>
          </w:p>
        </w:tc>
        <w:tc>
          <w:tcPr>
            <w:tcW w:w="2961" w:type="pct"/>
            <w:shd w:val="clear" w:color="auto" w:fill="auto"/>
            <w:vAlign w:val="center"/>
          </w:tcPr>
          <w:p w14:paraId="3C241A91">
            <w:pPr>
              <w:pStyle w:val="48"/>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lang w:val="zh-CN" w:eastAsia="zh-CN"/>
              </w:rPr>
              <w:t>文件</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val="zh-CN" w:eastAsia="zh-CN"/>
              </w:rPr>
              <w:t>提供虚假材料的</w:t>
            </w:r>
          </w:p>
        </w:tc>
        <w:tc>
          <w:tcPr>
            <w:tcW w:w="468" w:type="pct"/>
            <w:shd w:val="clear" w:color="auto" w:fill="auto"/>
            <w:vAlign w:val="center"/>
          </w:tcPr>
          <w:p w14:paraId="4B513014">
            <w:pPr>
              <w:pStyle w:val="48"/>
              <w:rPr>
                <w:rFonts w:hint="eastAsia" w:ascii="宋体" w:hAnsi="宋体" w:eastAsia="宋体" w:cs="宋体"/>
                <w:color w:val="auto"/>
                <w:sz w:val="21"/>
                <w:szCs w:val="21"/>
                <w:highlight w:val="none"/>
                <w:lang w:val="zh-CN"/>
              </w:rPr>
            </w:pPr>
          </w:p>
        </w:tc>
        <w:tc>
          <w:tcPr>
            <w:tcW w:w="588" w:type="pct"/>
            <w:shd w:val="clear" w:color="auto" w:fill="auto"/>
            <w:vAlign w:val="center"/>
          </w:tcPr>
          <w:p w14:paraId="48AFA180">
            <w:pPr>
              <w:pStyle w:val="48"/>
              <w:rPr>
                <w:rFonts w:hint="eastAsia" w:ascii="宋体" w:hAnsi="宋体" w:eastAsia="宋体" w:cs="宋体"/>
                <w:color w:val="auto"/>
                <w:sz w:val="21"/>
                <w:szCs w:val="21"/>
                <w:highlight w:val="none"/>
                <w:lang w:val="zh-CN"/>
              </w:rPr>
            </w:pPr>
          </w:p>
        </w:tc>
      </w:tr>
      <w:tr w14:paraId="2260F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277" w:type="pct"/>
            <w:shd w:val="clear" w:color="auto" w:fill="auto"/>
            <w:vAlign w:val="center"/>
          </w:tcPr>
          <w:p w14:paraId="5772C4C0">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5</w:t>
            </w:r>
          </w:p>
        </w:tc>
        <w:tc>
          <w:tcPr>
            <w:tcW w:w="704" w:type="pct"/>
            <w:vAlign w:val="center"/>
          </w:tcPr>
          <w:p w14:paraId="1817A2C0">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联合体</w:t>
            </w:r>
          </w:p>
        </w:tc>
        <w:tc>
          <w:tcPr>
            <w:tcW w:w="2961" w:type="pct"/>
            <w:shd w:val="clear" w:color="auto" w:fill="auto"/>
            <w:vAlign w:val="center"/>
          </w:tcPr>
          <w:p w14:paraId="39640874">
            <w:pPr>
              <w:pStyle w:val="48"/>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zh-CN" w:eastAsia="zh-CN"/>
              </w:rPr>
              <w:t>联合体的供应商提交</w:t>
            </w:r>
            <w:r>
              <w:rPr>
                <w:rFonts w:hint="eastAsia" w:ascii="宋体" w:hAnsi="宋体" w:eastAsia="宋体" w:cs="宋体"/>
                <w:color w:val="auto"/>
                <w:sz w:val="21"/>
                <w:szCs w:val="21"/>
                <w:highlight w:val="none"/>
                <w:lang w:val="en-US" w:eastAsia="zh-CN"/>
              </w:rPr>
              <w:t>了</w:t>
            </w:r>
            <w:r>
              <w:rPr>
                <w:rFonts w:hint="eastAsia" w:ascii="宋体" w:hAnsi="宋体" w:eastAsia="宋体" w:cs="宋体"/>
                <w:color w:val="auto"/>
                <w:sz w:val="21"/>
                <w:szCs w:val="21"/>
                <w:highlight w:val="none"/>
                <w:lang w:val="zh-CN" w:eastAsia="zh-CN"/>
              </w:rPr>
              <w:t>各方共同签署的联合体协议的【</w:t>
            </w:r>
            <w:r>
              <w:rPr>
                <w:rFonts w:hint="eastAsia" w:ascii="宋体" w:hAnsi="宋体" w:eastAsia="宋体" w:cs="宋体"/>
                <w:color w:val="auto"/>
                <w:sz w:val="21"/>
                <w:szCs w:val="21"/>
                <w:highlight w:val="none"/>
                <w:lang w:val="en-US" w:eastAsia="zh-CN"/>
              </w:rPr>
              <w:t>如允许联合体投标的</w:t>
            </w:r>
            <w:r>
              <w:rPr>
                <w:rFonts w:hint="eastAsia" w:ascii="宋体" w:hAnsi="宋体" w:eastAsia="宋体" w:cs="宋体"/>
                <w:color w:val="auto"/>
                <w:sz w:val="21"/>
                <w:szCs w:val="21"/>
                <w:highlight w:val="none"/>
                <w:lang w:val="zh-CN" w:eastAsia="zh-CN"/>
              </w:rPr>
              <w:t>】</w:t>
            </w:r>
          </w:p>
        </w:tc>
        <w:tc>
          <w:tcPr>
            <w:tcW w:w="468" w:type="pct"/>
            <w:shd w:val="clear" w:color="auto" w:fill="auto"/>
            <w:vAlign w:val="center"/>
          </w:tcPr>
          <w:p w14:paraId="2C782F18">
            <w:pPr>
              <w:pStyle w:val="48"/>
              <w:rPr>
                <w:rFonts w:hint="eastAsia" w:ascii="宋体" w:hAnsi="宋体" w:eastAsia="宋体" w:cs="宋体"/>
                <w:color w:val="auto"/>
                <w:sz w:val="21"/>
                <w:szCs w:val="21"/>
                <w:highlight w:val="none"/>
                <w:lang w:val="zh-CN"/>
              </w:rPr>
            </w:pPr>
          </w:p>
        </w:tc>
        <w:tc>
          <w:tcPr>
            <w:tcW w:w="588" w:type="pct"/>
            <w:shd w:val="clear" w:color="auto" w:fill="auto"/>
            <w:vAlign w:val="center"/>
          </w:tcPr>
          <w:p w14:paraId="163069B8">
            <w:pPr>
              <w:pStyle w:val="48"/>
              <w:rPr>
                <w:rFonts w:hint="eastAsia" w:ascii="宋体" w:hAnsi="宋体" w:eastAsia="宋体" w:cs="宋体"/>
                <w:color w:val="auto"/>
                <w:sz w:val="21"/>
                <w:szCs w:val="21"/>
                <w:highlight w:val="none"/>
                <w:lang w:val="zh-CN"/>
              </w:rPr>
            </w:pPr>
          </w:p>
        </w:tc>
      </w:tr>
      <w:tr w14:paraId="37C41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trPr>
        <w:tc>
          <w:tcPr>
            <w:tcW w:w="277" w:type="pct"/>
            <w:shd w:val="clear" w:color="auto" w:fill="auto"/>
            <w:vAlign w:val="center"/>
          </w:tcPr>
          <w:p w14:paraId="31C12A1B">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6</w:t>
            </w:r>
          </w:p>
        </w:tc>
        <w:tc>
          <w:tcPr>
            <w:tcW w:w="704" w:type="pct"/>
            <w:vAlign w:val="center"/>
          </w:tcPr>
          <w:p w14:paraId="55194F4F">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投标保证金</w:t>
            </w:r>
          </w:p>
        </w:tc>
        <w:tc>
          <w:tcPr>
            <w:tcW w:w="2961" w:type="pct"/>
            <w:shd w:val="clear" w:color="auto" w:fill="auto"/>
            <w:vAlign w:val="center"/>
          </w:tcPr>
          <w:p w14:paraId="4803457A">
            <w:pPr>
              <w:pStyle w:val="48"/>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投标人按招标文件的规定交纳投标保证金的</w:t>
            </w:r>
          </w:p>
        </w:tc>
        <w:tc>
          <w:tcPr>
            <w:tcW w:w="468" w:type="pct"/>
            <w:shd w:val="clear" w:color="auto" w:fill="auto"/>
            <w:vAlign w:val="center"/>
          </w:tcPr>
          <w:p w14:paraId="194FF3C2">
            <w:pPr>
              <w:pStyle w:val="48"/>
              <w:rPr>
                <w:rFonts w:hint="eastAsia" w:ascii="宋体" w:hAnsi="宋体" w:eastAsia="宋体" w:cs="宋体"/>
                <w:color w:val="auto"/>
                <w:sz w:val="21"/>
                <w:szCs w:val="21"/>
                <w:highlight w:val="none"/>
                <w:lang w:val="zh-CN"/>
              </w:rPr>
            </w:pPr>
          </w:p>
        </w:tc>
        <w:tc>
          <w:tcPr>
            <w:tcW w:w="588" w:type="pct"/>
            <w:shd w:val="clear" w:color="auto" w:fill="auto"/>
            <w:vAlign w:val="center"/>
          </w:tcPr>
          <w:p w14:paraId="2372B823">
            <w:pPr>
              <w:pStyle w:val="48"/>
              <w:rPr>
                <w:rFonts w:hint="eastAsia" w:ascii="宋体" w:hAnsi="宋体" w:eastAsia="宋体" w:cs="宋体"/>
                <w:color w:val="auto"/>
                <w:sz w:val="21"/>
                <w:szCs w:val="21"/>
                <w:highlight w:val="none"/>
                <w:lang w:val="zh-CN"/>
              </w:rPr>
            </w:pPr>
          </w:p>
        </w:tc>
      </w:tr>
      <w:tr w14:paraId="30B89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277" w:type="pct"/>
            <w:shd w:val="clear" w:color="auto" w:fill="auto"/>
            <w:vAlign w:val="center"/>
          </w:tcPr>
          <w:p w14:paraId="6C002E13">
            <w:pPr>
              <w:pStyle w:val="48"/>
              <w:numPr>
                <w:ilvl w:val="0"/>
                <w:numId w:val="0"/>
              </w:numPr>
              <w:ind w:left="0" w:leftChars="0" w:firstLine="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7</w:t>
            </w:r>
          </w:p>
        </w:tc>
        <w:tc>
          <w:tcPr>
            <w:tcW w:w="704" w:type="pct"/>
            <w:vAlign w:val="center"/>
          </w:tcPr>
          <w:p w14:paraId="5C91A4A7">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投标文件的澄清、说明、补正</w:t>
            </w:r>
          </w:p>
        </w:tc>
        <w:tc>
          <w:tcPr>
            <w:tcW w:w="2961" w:type="pct"/>
            <w:shd w:val="clear" w:color="auto" w:fill="auto"/>
            <w:vAlign w:val="center"/>
          </w:tcPr>
          <w:p w14:paraId="3E6052BB">
            <w:pPr>
              <w:pStyle w:val="48"/>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eastAsia="zh-CN"/>
              </w:rPr>
              <w:t>评审期间,</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lang w:val="zh-CN" w:eastAsia="zh-CN"/>
              </w:rPr>
              <w:t>按评标委员会的要求提交经授权代表签字的澄清、说明、补正或</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val="zh-CN" w:eastAsia="zh-CN"/>
              </w:rPr>
              <w:t>改变</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lang w:val="zh-CN" w:eastAsia="zh-CN"/>
              </w:rPr>
              <w:t>文件的实质性内容</w:t>
            </w:r>
          </w:p>
        </w:tc>
        <w:tc>
          <w:tcPr>
            <w:tcW w:w="468" w:type="pct"/>
            <w:shd w:val="clear" w:color="auto" w:fill="auto"/>
            <w:vAlign w:val="center"/>
          </w:tcPr>
          <w:p w14:paraId="1EA81190">
            <w:pPr>
              <w:pStyle w:val="48"/>
              <w:rPr>
                <w:rFonts w:hint="eastAsia" w:ascii="宋体" w:hAnsi="宋体" w:eastAsia="宋体" w:cs="宋体"/>
                <w:color w:val="auto"/>
                <w:sz w:val="21"/>
                <w:szCs w:val="21"/>
                <w:highlight w:val="none"/>
                <w:lang w:val="zh-CN"/>
              </w:rPr>
            </w:pPr>
          </w:p>
        </w:tc>
        <w:tc>
          <w:tcPr>
            <w:tcW w:w="588" w:type="pct"/>
            <w:shd w:val="clear" w:color="auto" w:fill="auto"/>
            <w:vAlign w:val="center"/>
          </w:tcPr>
          <w:p w14:paraId="2394B23D">
            <w:pPr>
              <w:pStyle w:val="48"/>
              <w:rPr>
                <w:rFonts w:hint="eastAsia" w:ascii="宋体" w:hAnsi="宋体" w:eastAsia="宋体" w:cs="宋体"/>
                <w:color w:val="auto"/>
                <w:sz w:val="21"/>
                <w:szCs w:val="21"/>
                <w:highlight w:val="none"/>
                <w:lang w:val="zh-CN"/>
              </w:rPr>
            </w:pPr>
          </w:p>
        </w:tc>
      </w:tr>
      <w:tr w14:paraId="6D40C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277" w:type="pct"/>
            <w:shd w:val="clear" w:color="auto" w:fill="auto"/>
            <w:vAlign w:val="center"/>
          </w:tcPr>
          <w:p w14:paraId="09617D9C">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en-US" w:eastAsia="zh-CN" w:bidi="ar-SA"/>
              </w:rPr>
              <w:t>8</w:t>
            </w:r>
          </w:p>
        </w:tc>
        <w:tc>
          <w:tcPr>
            <w:tcW w:w="704" w:type="pct"/>
            <w:vAlign w:val="center"/>
          </w:tcPr>
          <w:p w14:paraId="2016E93A">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投标人影响评标</w:t>
            </w:r>
          </w:p>
        </w:tc>
        <w:tc>
          <w:tcPr>
            <w:tcW w:w="2961" w:type="pct"/>
            <w:shd w:val="clear" w:color="auto" w:fill="auto"/>
            <w:vAlign w:val="center"/>
          </w:tcPr>
          <w:p w14:paraId="50B76BB4">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lang w:val="zh-CN" w:eastAsia="zh-CN"/>
              </w:rPr>
              <w:t>对采购人、采购代理机构、评标委员会及其工作人员</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val="zh-CN" w:eastAsia="zh-CN"/>
              </w:rPr>
              <w:t>施加影响,</w:t>
            </w:r>
            <w:r>
              <w:rPr>
                <w:rFonts w:hint="eastAsia" w:ascii="宋体" w:hAnsi="宋体" w:eastAsia="宋体" w:cs="宋体"/>
                <w:color w:val="auto"/>
                <w:sz w:val="21"/>
                <w:szCs w:val="21"/>
                <w:highlight w:val="none"/>
                <w:lang w:val="en-US" w:eastAsia="zh-CN"/>
              </w:rPr>
              <w:t>无</w:t>
            </w:r>
            <w:r>
              <w:rPr>
                <w:rFonts w:hint="eastAsia" w:ascii="宋体" w:hAnsi="宋体" w:eastAsia="宋体" w:cs="宋体"/>
                <w:color w:val="auto"/>
                <w:sz w:val="21"/>
                <w:szCs w:val="21"/>
                <w:highlight w:val="none"/>
                <w:lang w:val="zh-CN" w:eastAsia="zh-CN"/>
              </w:rPr>
              <w:t>有碍公平、公正</w:t>
            </w:r>
            <w:r>
              <w:rPr>
                <w:rFonts w:hint="eastAsia" w:ascii="宋体" w:hAnsi="宋体" w:eastAsia="宋体" w:cs="宋体"/>
                <w:color w:val="auto"/>
                <w:sz w:val="21"/>
                <w:szCs w:val="21"/>
                <w:highlight w:val="none"/>
                <w:lang w:val="en-US" w:eastAsia="zh-CN"/>
              </w:rPr>
              <w:t>的</w:t>
            </w:r>
          </w:p>
        </w:tc>
        <w:tc>
          <w:tcPr>
            <w:tcW w:w="468" w:type="pct"/>
            <w:shd w:val="clear" w:color="auto" w:fill="auto"/>
            <w:vAlign w:val="center"/>
          </w:tcPr>
          <w:p w14:paraId="75DB24A7">
            <w:pPr>
              <w:pStyle w:val="48"/>
              <w:rPr>
                <w:rFonts w:hint="eastAsia" w:ascii="宋体" w:hAnsi="宋体" w:eastAsia="宋体" w:cs="宋体"/>
                <w:color w:val="auto"/>
                <w:sz w:val="21"/>
                <w:szCs w:val="21"/>
                <w:highlight w:val="none"/>
                <w:lang w:val="zh-CN"/>
              </w:rPr>
            </w:pPr>
          </w:p>
        </w:tc>
        <w:tc>
          <w:tcPr>
            <w:tcW w:w="588" w:type="pct"/>
            <w:shd w:val="clear" w:color="auto" w:fill="auto"/>
            <w:vAlign w:val="center"/>
          </w:tcPr>
          <w:p w14:paraId="7D6DA84C">
            <w:pPr>
              <w:pStyle w:val="48"/>
              <w:rPr>
                <w:rFonts w:hint="eastAsia" w:ascii="宋体" w:hAnsi="宋体" w:eastAsia="宋体" w:cs="宋体"/>
                <w:color w:val="auto"/>
                <w:sz w:val="21"/>
                <w:szCs w:val="21"/>
                <w:highlight w:val="none"/>
                <w:lang w:val="zh-CN"/>
              </w:rPr>
            </w:pPr>
          </w:p>
        </w:tc>
      </w:tr>
      <w:tr w14:paraId="67196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7" w:type="pct"/>
            <w:shd w:val="clear" w:color="auto" w:fill="auto"/>
            <w:vAlign w:val="center"/>
          </w:tcPr>
          <w:p w14:paraId="06D38870">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w:t>
            </w:r>
          </w:p>
        </w:tc>
        <w:tc>
          <w:tcPr>
            <w:tcW w:w="704" w:type="pct"/>
            <w:vAlign w:val="center"/>
          </w:tcPr>
          <w:p w14:paraId="32AEC3D4">
            <w:pPr>
              <w:pStyle w:val="48"/>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围标串标情形</w:t>
            </w:r>
          </w:p>
        </w:tc>
        <w:tc>
          <w:tcPr>
            <w:tcW w:w="2961" w:type="pct"/>
            <w:shd w:val="clear" w:color="auto" w:fill="auto"/>
            <w:vAlign w:val="center"/>
          </w:tcPr>
          <w:p w14:paraId="68DBD364">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没有</w:t>
            </w:r>
            <w:r>
              <w:rPr>
                <w:rFonts w:hint="eastAsia" w:ascii="宋体" w:hAnsi="宋体" w:eastAsia="宋体" w:cs="宋体"/>
                <w:color w:val="auto"/>
                <w:sz w:val="21"/>
                <w:szCs w:val="21"/>
                <w:highlight w:val="none"/>
                <w:lang w:val="zh-CN" w:eastAsia="zh-CN"/>
              </w:rPr>
              <w:t>“第五章 评标方法及标准”</w:t>
            </w:r>
            <w:r>
              <w:rPr>
                <w:rFonts w:hint="eastAsia" w:ascii="宋体" w:hAnsi="宋体" w:eastAsia="宋体" w:cs="宋体"/>
                <w:color w:val="auto"/>
                <w:sz w:val="21"/>
                <w:szCs w:val="21"/>
                <w:highlight w:val="none"/>
                <w:lang w:val="en-US" w:eastAsia="zh-CN"/>
              </w:rPr>
              <w:t>第20条情形之一的</w:t>
            </w:r>
          </w:p>
        </w:tc>
        <w:tc>
          <w:tcPr>
            <w:tcW w:w="468" w:type="pct"/>
            <w:shd w:val="clear" w:color="auto" w:fill="auto"/>
            <w:vAlign w:val="center"/>
          </w:tcPr>
          <w:p w14:paraId="5A26F512">
            <w:pPr>
              <w:pStyle w:val="48"/>
              <w:rPr>
                <w:rFonts w:hint="eastAsia" w:ascii="宋体" w:hAnsi="宋体" w:eastAsia="宋体" w:cs="宋体"/>
                <w:color w:val="auto"/>
                <w:sz w:val="21"/>
                <w:szCs w:val="21"/>
                <w:highlight w:val="none"/>
                <w:lang w:val="zh-CN"/>
              </w:rPr>
            </w:pPr>
          </w:p>
        </w:tc>
        <w:tc>
          <w:tcPr>
            <w:tcW w:w="588" w:type="pct"/>
            <w:shd w:val="clear" w:color="auto" w:fill="auto"/>
            <w:vAlign w:val="center"/>
          </w:tcPr>
          <w:p w14:paraId="06C24958">
            <w:pPr>
              <w:pStyle w:val="48"/>
              <w:rPr>
                <w:rFonts w:hint="eastAsia" w:ascii="宋体" w:hAnsi="宋体" w:eastAsia="宋体" w:cs="宋体"/>
                <w:color w:val="auto"/>
                <w:sz w:val="21"/>
                <w:szCs w:val="21"/>
                <w:highlight w:val="none"/>
                <w:lang w:val="zh-CN"/>
              </w:rPr>
            </w:pPr>
          </w:p>
        </w:tc>
      </w:tr>
      <w:tr w14:paraId="35AAC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7" w:type="pct"/>
            <w:shd w:val="clear" w:color="auto" w:fill="auto"/>
            <w:vAlign w:val="center"/>
          </w:tcPr>
          <w:p w14:paraId="332BD4A6">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w:t>
            </w:r>
          </w:p>
        </w:tc>
        <w:tc>
          <w:tcPr>
            <w:tcW w:w="704" w:type="pct"/>
            <w:vAlign w:val="center"/>
          </w:tcPr>
          <w:p w14:paraId="56EEFE7E">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附加条件</w:t>
            </w:r>
          </w:p>
        </w:tc>
        <w:tc>
          <w:tcPr>
            <w:tcW w:w="2961" w:type="pct"/>
            <w:shd w:val="clear" w:color="auto" w:fill="auto"/>
            <w:vAlign w:val="center"/>
          </w:tcPr>
          <w:p w14:paraId="618DB2FB">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投标文件没有采购人不能接受的附加条件的</w:t>
            </w:r>
          </w:p>
        </w:tc>
        <w:tc>
          <w:tcPr>
            <w:tcW w:w="468" w:type="pct"/>
            <w:shd w:val="clear" w:color="auto" w:fill="auto"/>
            <w:vAlign w:val="center"/>
          </w:tcPr>
          <w:p w14:paraId="36C2A679">
            <w:pPr>
              <w:pStyle w:val="48"/>
              <w:rPr>
                <w:rFonts w:hint="eastAsia" w:ascii="宋体" w:hAnsi="宋体" w:eastAsia="宋体" w:cs="宋体"/>
                <w:color w:val="auto"/>
                <w:sz w:val="21"/>
                <w:szCs w:val="21"/>
                <w:highlight w:val="none"/>
                <w:lang w:val="zh-CN"/>
              </w:rPr>
            </w:pPr>
          </w:p>
        </w:tc>
        <w:tc>
          <w:tcPr>
            <w:tcW w:w="588" w:type="pct"/>
            <w:shd w:val="clear" w:color="auto" w:fill="auto"/>
            <w:vAlign w:val="center"/>
          </w:tcPr>
          <w:p w14:paraId="73E4201A">
            <w:pPr>
              <w:pStyle w:val="48"/>
              <w:rPr>
                <w:rFonts w:hint="eastAsia" w:ascii="宋体" w:hAnsi="宋体" w:eastAsia="宋体" w:cs="宋体"/>
                <w:color w:val="auto"/>
                <w:sz w:val="21"/>
                <w:szCs w:val="21"/>
                <w:highlight w:val="none"/>
                <w:lang w:val="zh-CN"/>
              </w:rPr>
            </w:pPr>
          </w:p>
        </w:tc>
      </w:tr>
      <w:tr w14:paraId="56775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7" w:type="pct"/>
            <w:shd w:val="clear" w:color="auto" w:fill="auto"/>
            <w:vAlign w:val="center"/>
          </w:tcPr>
          <w:p w14:paraId="3CD6AABE">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w:t>
            </w:r>
          </w:p>
        </w:tc>
        <w:tc>
          <w:tcPr>
            <w:tcW w:w="704" w:type="pct"/>
            <w:vAlign w:val="center"/>
          </w:tcPr>
          <w:p w14:paraId="40726A5F">
            <w:pPr>
              <w:pStyle w:val="48"/>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其他无效情形</w:t>
            </w:r>
          </w:p>
        </w:tc>
        <w:tc>
          <w:tcPr>
            <w:tcW w:w="2961" w:type="pct"/>
            <w:shd w:val="clear" w:color="auto" w:fill="auto"/>
            <w:vAlign w:val="center"/>
          </w:tcPr>
          <w:p w14:paraId="05CC0303">
            <w:pPr>
              <w:pStyle w:val="48"/>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没有</w:t>
            </w:r>
            <w:r>
              <w:rPr>
                <w:rFonts w:hint="eastAsia" w:ascii="宋体" w:hAnsi="宋体" w:eastAsia="宋体" w:cs="宋体"/>
                <w:color w:val="auto"/>
                <w:sz w:val="21"/>
                <w:szCs w:val="21"/>
                <w:highlight w:val="none"/>
                <w:lang w:val="zh-CN" w:eastAsia="zh-CN"/>
              </w:rPr>
              <w:t>法律、法规、规章规定属于</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lang w:val="zh-CN" w:eastAsia="zh-CN"/>
              </w:rPr>
              <w:t>无效的其他情形。</w:t>
            </w:r>
          </w:p>
        </w:tc>
        <w:tc>
          <w:tcPr>
            <w:tcW w:w="468" w:type="pct"/>
            <w:shd w:val="clear" w:color="auto" w:fill="auto"/>
            <w:vAlign w:val="center"/>
          </w:tcPr>
          <w:p w14:paraId="3A44DE13">
            <w:pPr>
              <w:pStyle w:val="48"/>
              <w:rPr>
                <w:rFonts w:hint="eastAsia" w:ascii="宋体" w:hAnsi="宋体" w:eastAsia="宋体" w:cs="宋体"/>
                <w:color w:val="auto"/>
                <w:sz w:val="21"/>
                <w:szCs w:val="21"/>
                <w:highlight w:val="none"/>
                <w:lang w:val="zh-CN"/>
              </w:rPr>
            </w:pPr>
          </w:p>
        </w:tc>
        <w:tc>
          <w:tcPr>
            <w:tcW w:w="588" w:type="pct"/>
            <w:shd w:val="clear" w:color="auto" w:fill="auto"/>
            <w:vAlign w:val="center"/>
          </w:tcPr>
          <w:p w14:paraId="5D1C94D8">
            <w:pPr>
              <w:pStyle w:val="48"/>
              <w:rPr>
                <w:rFonts w:hint="eastAsia" w:ascii="宋体" w:hAnsi="宋体" w:eastAsia="宋体" w:cs="宋体"/>
                <w:color w:val="auto"/>
                <w:sz w:val="21"/>
                <w:szCs w:val="21"/>
                <w:highlight w:val="none"/>
                <w:lang w:val="zh-CN"/>
              </w:rPr>
            </w:pPr>
          </w:p>
        </w:tc>
      </w:tr>
      <w:tr w14:paraId="105D0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7" w:type="pct"/>
            <w:shd w:val="clear" w:color="auto" w:fill="auto"/>
            <w:vAlign w:val="center"/>
          </w:tcPr>
          <w:p w14:paraId="65992B2F">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p>
        </w:tc>
        <w:tc>
          <w:tcPr>
            <w:tcW w:w="704" w:type="pct"/>
            <w:vAlign w:val="center"/>
          </w:tcPr>
          <w:p w14:paraId="52767F5E">
            <w:pPr>
              <w:pStyle w:val="48"/>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p>
        </w:tc>
        <w:tc>
          <w:tcPr>
            <w:tcW w:w="2961" w:type="pct"/>
            <w:shd w:val="clear" w:color="auto" w:fill="auto"/>
            <w:vAlign w:val="center"/>
          </w:tcPr>
          <w:p w14:paraId="018BE69C">
            <w:pPr>
              <w:pStyle w:val="48"/>
              <w:rPr>
                <w:rFonts w:hint="eastAsia" w:ascii="宋体" w:hAnsi="宋体" w:eastAsia="宋体" w:cs="宋体"/>
                <w:color w:val="auto"/>
                <w:sz w:val="21"/>
                <w:szCs w:val="21"/>
                <w:highlight w:val="none"/>
                <w:lang w:val="zh-CN" w:eastAsia="zh-CN"/>
              </w:rPr>
            </w:pPr>
          </w:p>
        </w:tc>
        <w:tc>
          <w:tcPr>
            <w:tcW w:w="468" w:type="pct"/>
            <w:shd w:val="clear" w:color="auto" w:fill="auto"/>
            <w:vAlign w:val="center"/>
          </w:tcPr>
          <w:p w14:paraId="4BD7EBEE">
            <w:pPr>
              <w:pStyle w:val="48"/>
              <w:rPr>
                <w:rFonts w:hint="eastAsia" w:ascii="宋体" w:hAnsi="宋体" w:eastAsia="宋体" w:cs="宋体"/>
                <w:color w:val="auto"/>
                <w:sz w:val="21"/>
                <w:szCs w:val="21"/>
                <w:highlight w:val="none"/>
                <w:lang w:val="zh-CN"/>
              </w:rPr>
            </w:pPr>
          </w:p>
        </w:tc>
        <w:tc>
          <w:tcPr>
            <w:tcW w:w="588" w:type="pct"/>
            <w:shd w:val="clear" w:color="auto" w:fill="auto"/>
            <w:vAlign w:val="center"/>
          </w:tcPr>
          <w:p w14:paraId="3F4076D0">
            <w:pPr>
              <w:pStyle w:val="48"/>
              <w:rPr>
                <w:rFonts w:hint="eastAsia" w:ascii="宋体" w:hAnsi="宋体" w:eastAsia="宋体" w:cs="宋体"/>
                <w:color w:val="auto"/>
                <w:sz w:val="21"/>
                <w:szCs w:val="21"/>
                <w:highlight w:val="none"/>
                <w:lang w:val="zh-CN"/>
              </w:rPr>
            </w:pPr>
          </w:p>
        </w:tc>
      </w:tr>
    </w:tbl>
    <w:p w14:paraId="1300A53A">
      <w:pPr>
        <w:rPr>
          <w:rFonts w:hint="eastAsia" w:ascii="宋体" w:hAnsi="宋体" w:eastAsia="宋体" w:cstheme="minorBidi"/>
          <w:b/>
          <w:bCs/>
          <w:color w:val="auto"/>
          <w:kern w:val="2"/>
          <w:sz w:val="30"/>
          <w:szCs w:val="32"/>
          <w:highlight w:val="none"/>
          <w:lang w:val="zh-CN" w:eastAsia="zh-CN" w:bidi="ar-SA"/>
        </w:rPr>
      </w:pPr>
      <w:r>
        <w:rPr>
          <w:rFonts w:hint="eastAsia" w:ascii="宋体" w:hAnsi="宋体" w:eastAsia="宋体" w:cstheme="minorBidi"/>
          <w:b/>
          <w:bCs/>
          <w:color w:val="auto"/>
          <w:kern w:val="2"/>
          <w:sz w:val="30"/>
          <w:szCs w:val="32"/>
          <w:highlight w:val="none"/>
          <w:lang w:val="zh-CN" w:eastAsia="zh-CN" w:bidi="ar-SA"/>
        </w:rPr>
        <w:br w:type="page"/>
      </w:r>
    </w:p>
    <w:p w14:paraId="7D635A1B">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3DB6FBF5">
      <w:pPr>
        <w:shd w:val="clear" w:color="auto" w:fill="FFFFFF"/>
        <w:tabs>
          <w:tab w:val="left" w:pos="3045"/>
        </w:tabs>
        <w:autoSpaceDE w:val="0"/>
        <w:autoSpaceDN w:val="0"/>
        <w:adjustRightInd w:val="0"/>
        <w:snapToGrid w:val="0"/>
        <w:spacing w:line="360" w:lineRule="exact"/>
        <w:rPr>
          <w:rFonts w:hint="eastAsia"/>
          <w:color w:val="auto"/>
          <w:highlight w:val="none"/>
        </w:rPr>
      </w:pPr>
      <w:r>
        <w:rPr>
          <w:rFonts w:hint="eastAsia" w:ascii="宋体" w:hAnsi="宋体" w:cs="宋体"/>
          <w:b/>
          <w:color w:val="auto"/>
          <w:sz w:val="24"/>
          <w:highlight w:val="none"/>
        </w:rPr>
        <w:t>符合</w:t>
      </w:r>
      <w:r>
        <w:rPr>
          <w:rFonts w:hint="eastAsia" w:ascii="宋体" w:hAnsi="宋体" w:cs="宋体"/>
          <w:b/>
          <w:color w:val="auto"/>
          <w:sz w:val="24"/>
          <w:highlight w:val="none"/>
          <w:lang w:eastAsia="zh-CN"/>
        </w:rPr>
        <w:t>性</w:t>
      </w:r>
      <w:r>
        <w:rPr>
          <w:rFonts w:hint="eastAsia" w:cs="宋体"/>
          <w:b/>
          <w:color w:val="auto"/>
          <w:sz w:val="24"/>
          <w:highlight w:val="none"/>
          <w:lang w:val="en-US" w:eastAsia="zh-CN"/>
        </w:rPr>
        <w:t>审查表-</w:t>
      </w:r>
      <w:r>
        <w:rPr>
          <w:rFonts w:hint="eastAsia" w:ascii="宋体" w:hAnsi="宋体" w:cs="宋体"/>
          <w:b/>
          <w:color w:val="auto"/>
          <w:sz w:val="24"/>
          <w:highlight w:val="none"/>
        </w:rPr>
        <w:t>附表</w:t>
      </w:r>
    </w:p>
    <w:p w14:paraId="70584E38">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jc w:val="center"/>
        <w:textAlignment w:val="auto"/>
        <w:rPr>
          <w:rFonts w:hint="eastAsia" w:ascii="宋体" w:hAnsi="宋体" w:eastAsia="宋体" w:cstheme="minorBidi"/>
          <w:b/>
          <w:bCs/>
          <w:color w:val="auto"/>
          <w:kern w:val="2"/>
          <w:sz w:val="28"/>
          <w:szCs w:val="28"/>
          <w:highlight w:val="none"/>
          <w:lang w:val="zh-CN" w:eastAsia="zh-CN" w:bidi="ar-SA"/>
        </w:rPr>
      </w:pPr>
      <w:bookmarkStart w:id="392" w:name="_Toc8990"/>
      <w:r>
        <w:rPr>
          <w:rFonts w:hint="eastAsia" w:ascii="宋体" w:hAnsi="宋体" w:eastAsia="宋体" w:cstheme="minorBidi"/>
          <w:b/>
          <w:bCs/>
          <w:color w:val="auto"/>
          <w:kern w:val="2"/>
          <w:sz w:val="28"/>
          <w:szCs w:val="28"/>
          <w:highlight w:val="none"/>
          <w:lang w:val="zh-CN" w:eastAsia="zh-CN" w:bidi="ar-SA"/>
        </w:rPr>
        <w:t>实质性响应一览表</w:t>
      </w:r>
      <w:bookmarkEnd w:id="392"/>
    </w:p>
    <w:p w14:paraId="7DFD9111">
      <w:pPr>
        <w:shd w:val="clear" w:color="auto" w:fill="FFFFFF"/>
        <w:tabs>
          <w:tab w:val="left" w:pos="3045"/>
        </w:tabs>
        <w:autoSpaceDE w:val="0"/>
        <w:autoSpaceDN w:val="0"/>
        <w:adjustRightInd w:val="0"/>
        <w:snapToGrid w:val="0"/>
        <w:spacing w:line="360" w:lineRule="exact"/>
        <w:jc w:val="center"/>
        <w:rPr>
          <w:rFonts w:hint="eastAsia" w:ascii="宋体" w:hAnsi="宋体" w:cs="宋体"/>
          <w:b w:val="0"/>
          <w:bCs/>
          <w:color w:val="auto"/>
          <w:sz w:val="24"/>
          <w:highlight w:val="none"/>
        </w:rPr>
      </w:pPr>
      <w:r>
        <w:rPr>
          <w:rFonts w:hint="eastAsia" w:ascii="宋体" w:hAnsi="宋体" w:cs="宋体"/>
          <w:b w:val="0"/>
          <w:bCs/>
          <w:color w:val="auto"/>
          <w:sz w:val="24"/>
          <w:highlight w:val="none"/>
        </w:rPr>
        <w:t>（</w:t>
      </w:r>
      <w:r>
        <w:rPr>
          <w:rFonts w:hint="eastAsia" w:cs="宋体"/>
          <w:b w:val="0"/>
          <w:bCs/>
          <w:color w:val="auto"/>
          <w:sz w:val="24"/>
          <w:highlight w:val="none"/>
          <w:lang w:val="en-US" w:eastAsia="zh-CN"/>
        </w:rPr>
        <w:t>投标人</w:t>
      </w:r>
      <w:r>
        <w:rPr>
          <w:rFonts w:hint="eastAsia" w:ascii="宋体" w:hAnsi="宋体" w:cs="宋体"/>
          <w:b w:val="0"/>
          <w:bCs/>
          <w:color w:val="auto"/>
          <w:sz w:val="24"/>
          <w:highlight w:val="none"/>
        </w:rPr>
        <w:t>须对本附表所有内容逐条响应且无负偏离，否则</w:t>
      </w:r>
      <w:r>
        <w:rPr>
          <w:rFonts w:hint="eastAsia" w:cs="宋体"/>
          <w:b w:val="0"/>
          <w:bCs/>
          <w:color w:val="auto"/>
          <w:sz w:val="24"/>
          <w:highlight w:val="none"/>
          <w:lang w:val="en-US" w:eastAsia="zh-CN"/>
        </w:rPr>
        <w:t>其</w:t>
      </w:r>
      <w:r>
        <w:rPr>
          <w:rFonts w:hint="eastAsia" w:ascii="宋体" w:hAnsi="宋体" w:cs="宋体"/>
          <w:b/>
          <w:bCs w:val="0"/>
          <w:color w:val="auto"/>
          <w:sz w:val="24"/>
          <w:highlight w:val="none"/>
        </w:rPr>
        <w:t>投标无效</w:t>
      </w:r>
      <w:r>
        <w:rPr>
          <w:rFonts w:hint="eastAsia" w:ascii="宋体" w:hAnsi="宋体" w:cs="宋体"/>
          <w:b w:val="0"/>
          <w:bCs/>
          <w:color w:val="auto"/>
          <w:sz w:val="24"/>
          <w:highlight w:val="none"/>
        </w:rPr>
        <w:t>）</w:t>
      </w:r>
    </w:p>
    <w:p w14:paraId="212CF784">
      <w:pPr>
        <w:pStyle w:val="23"/>
        <w:rPr>
          <w:rFonts w:hint="eastAsia" w:ascii="宋体" w:hAnsi="宋体" w:cs="宋体"/>
          <w:color w:val="auto"/>
          <w:highlight w:val="none"/>
        </w:rPr>
      </w:pPr>
    </w:p>
    <w:tbl>
      <w:tblPr>
        <w:tblStyle w:val="29"/>
        <w:tblW w:w="5435" w:type="pct"/>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8"/>
        <w:gridCol w:w="1993"/>
        <w:gridCol w:w="4261"/>
        <w:gridCol w:w="1874"/>
        <w:gridCol w:w="732"/>
      </w:tblGrid>
      <w:tr w14:paraId="098C5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20" w:type="pct"/>
            <w:vMerge w:val="restart"/>
            <w:noWrap w:val="0"/>
            <w:vAlign w:val="center"/>
          </w:tcPr>
          <w:p w14:paraId="7CE32AA3">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3373" w:type="pct"/>
            <w:gridSpan w:val="2"/>
            <w:noWrap w:val="0"/>
            <w:vAlign w:val="center"/>
          </w:tcPr>
          <w:p w14:paraId="01AF850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文件要求的实质性响应内容</w:t>
            </w:r>
          </w:p>
        </w:tc>
        <w:tc>
          <w:tcPr>
            <w:tcW w:w="1010" w:type="pct"/>
            <w:vMerge w:val="restart"/>
            <w:noWrap w:val="0"/>
            <w:vAlign w:val="center"/>
          </w:tcPr>
          <w:p w14:paraId="2428BDFD">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投标文件响应</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具体内容</w:t>
            </w:r>
          </w:p>
        </w:tc>
        <w:tc>
          <w:tcPr>
            <w:tcW w:w="395" w:type="pct"/>
            <w:vMerge w:val="restart"/>
            <w:noWrap w:val="0"/>
            <w:vAlign w:val="center"/>
          </w:tcPr>
          <w:p w14:paraId="2BD31803">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063C6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220" w:type="pct"/>
            <w:vMerge w:val="continue"/>
            <w:noWrap w:val="0"/>
            <w:vAlign w:val="center"/>
          </w:tcPr>
          <w:p w14:paraId="01C8640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1075" w:type="pct"/>
            <w:noWrap w:val="0"/>
            <w:vAlign w:val="center"/>
          </w:tcPr>
          <w:p w14:paraId="38AFEC81">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实质性要求</w:t>
            </w:r>
          </w:p>
        </w:tc>
        <w:tc>
          <w:tcPr>
            <w:tcW w:w="2298" w:type="pct"/>
            <w:noWrap w:val="0"/>
            <w:vAlign w:val="center"/>
          </w:tcPr>
          <w:p w14:paraId="11DB8578">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招标文件中的规定</w:t>
            </w:r>
          </w:p>
        </w:tc>
        <w:tc>
          <w:tcPr>
            <w:tcW w:w="1010" w:type="pct"/>
            <w:vMerge w:val="continue"/>
            <w:noWrap w:val="0"/>
            <w:vAlign w:val="center"/>
          </w:tcPr>
          <w:p w14:paraId="3D2B011E">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395" w:type="pct"/>
            <w:vMerge w:val="continue"/>
            <w:noWrap w:val="0"/>
            <w:vAlign w:val="center"/>
          </w:tcPr>
          <w:p w14:paraId="485D6181">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p>
        </w:tc>
      </w:tr>
      <w:tr w14:paraId="0E72D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trPr>
        <w:tc>
          <w:tcPr>
            <w:tcW w:w="220" w:type="pct"/>
            <w:noWrap w:val="0"/>
            <w:vAlign w:val="center"/>
          </w:tcPr>
          <w:p w14:paraId="7ECA8034">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075" w:type="pct"/>
            <w:shd w:val="clear" w:color="auto" w:fill="auto"/>
            <w:noWrap w:val="0"/>
            <w:vAlign w:val="center"/>
          </w:tcPr>
          <w:p w14:paraId="6264251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投标有效期</w:t>
            </w:r>
          </w:p>
        </w:tc>
        <w:tc>
          <w:tcPr>
            <w:tcW w:w="2298" w:type="pct"/>
            <w:shd w:val="clear" w:color="auto" w:fill="auto"/>
            <w:noWrap w:val="0"/>
            <w:vAlign w:val="center"/>
          </w:tcPr>
          <w:p w14:paraId="3517C392">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招标文件“第二章投标须知”关于投标有效期的规定</w:t>
            </w:r>
          </w:p>
        </w:tc>
        <w:tc>
          <w:tcPr>
            <w:tcW w:w="1010" w:type="pct"/>
            <w:noWrap w:val="0"/>
            <w:vAlign w:val="center"/>
          </w:tcPr>
          <w:p w14:paraId="3F7DA8EA">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投标人在</w:t>
            </w:r>
            <w:r>
              <w:rPr>
                <w:rFonts w:hint="eastAsia" w:ascii="宋体" w:hAnsi="宋体" w:eastAsia="宋体" w:cs="宋体"/>
                <w:color w:val="auto"/>
                <w:sz w:val="21"/>
                <w:szCs w:val="21"/>
                <w:highlight w:val="none"/>
              </w:rPr>
              <w:t>此处填写</w:t>
            </w:r>
            <w:r>
              <w:rPr>
                <w:rFonts w:hint="eastAsia" w:ascii="宋体" w:hAnsi="宋体" w:eastAsia="宋体" w:cs="宋体"/>
                <w:color w:val="auto"/>
                <w:sz w:val="21"/>
                <w:szCs w:val="21"/>
                <w:highlight w:val="none"/>
                <w:lang w:eastAsia="zh-CN"/>
              </w:rPr>
              <w:t>投标</w:t>
            </w:r>
            <w:r>
              <w:rPr>
                <w:rFonts w:hint="eastAsia" w:ascii="宋体" w:hAnsi="宋体" w:eastAsia="宋体" w:cs="宋体"/>
                <w:color w:val="auto"/>
                <w:sz w:val="21"/>
                <w:szCs w:val="21"/>
                <w:highlight w:val="none"/>
                <w:lang w:val="en-US" w:eastAsia="zh-CN"/>
              </w:rPr>
              <w:t>文件的相关内容</w:t>
            </w:r>
            <w:r>
              <w:rPr>
                <w:rFonts w:hint="eastAsia" w:ascii="宋体" w:hAnsi="宋体" w:eastAsia="宋体" w:cs="宋体"/>
                <w:color w:val="auto"/>
                <w:sz w:val="21"/>
                <w:szCs w:val="21"/>
                <w:highlight w:val="none"/>
                <w:lang w:eastAsia="zh-CN"/>
              </w:rPr>
              <w:t>】</w:t>
            </w:r>
          </w:p>
        </w:tc>
        <w:tc>
          <w:tcPr>
            <w:tcW w:w="395" w:type="pct"/>
            <w:noWrap w:val="0"/>
            <w:vAlign w:val="center"/>
          </w:tcPr>
          <w:p w14:paraId="729A312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671CC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trPr>
        <w:tc>
          <w:tcPr>
            <w:tcW w:w="220" w:type="pct"/>
            <w:noWrap w:val="0"/>
            <w:vAlign w:val="center"/>
          </w:tcPr>
          <w:p w14:paraId="79561691">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075" w:type="pct"/>
            <w:shd w:val="clear" w:color="auto" w:fill="auto"/>
            <w:noWrap w:val="0"/>
            <w:vAlign w:val="center"/>
          </w:tcPr>
          <w:p w14:paraId="7FB35A2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【根据项目需要自行填列及编制】</w:t>
            </w:r>
          </w:p>
        </w:tc>
        <w:tc>
          <w:tcPr>
            <w:tcW w:w="2298" w:type="pct"/>
            <w:shd w:val="clear" w:color="auto" w:fill="auto"/>
            <w:noWrap w:val="0"/>
            <w:vAlign w:val="center"/>
          </w:tcPr>
          <w:p w14:paraId="119C002B">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p>
        </w:tc>
        <w:tc>
          <w:tcPr>
            <w:tcW w:w="1010" w:type="pct"/>
            <w:noWrap w:val="0"/>
            <w:vAlign w:val="center"/>
          </w:tcPr>
          <w:p w14:paraId="5BB89004">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0E4E117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35056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trPr>
        <w:tc>
          <w:tcPr>
            <w:tcW w:w="220" w:type="pct"/>
            <w:shd w:val="clear" w:color="auto" w:fill="auto"/>
            <w:noWrap w:val="0"/>
            <w:vAlign w:val="center"/>
          </w:tcPr>
          <w:p w14:paraId="7D5DC93C">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3</w:t>
            </w:r>
          </w:p>
        </w:tc>
        <w:tc>
          <w:tcPr>
            <w:tcW w:w="1075" w:type="pct"/>
            <w:shd w:val="clear" w:color="auto" w:fill="auto"/>
            <w:noWrap w:val="0"/>
            <w:vAlign w:val="center"/>
          </w:tcPr>
          <w:p w14:paraId="505EE26A">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zh-CN"/>
              </w:rPr>
              <w:t>……</w:t>
            </w:r>
          </w:p>
        </w:tc>
        <w:tc>
          <w:tcPr>
            <w:tcW w:w="2298" w:type="pct"/>
            <w:shd w:val="clear" w:color="auto" w:fill="auto"/>
            <w:noWrap w:val="0"/>
            <w:vAlign w:val="center"/>
          </w:tcPr>
          <w:p w14:paraId="324EF1FF">
            <w:pPr>
              <w:pStyle w:val="48"/>
              <w:rPr>
                <w:rFonts w:hint="eastAsia" w:ascii="宋体" w:hAnsi="宋体" w:eastAsia="宋体" w:cs="宋体"/>
                <w:color w:val="auto"/>
                <w:kern w:val="2"/>
                <w:sz w:val="21"/>
                <w:szCs w:val="21"/>
                <w:highlight w:val="none"/>
                <w:lang w:val="en-US" w:eastAsia="zh-CN" w:bidi="ar-SA"/>
              </w:rPr>
            </w:pPr>
          </w:p>
        </w:tc>
        <w:tc>
          <w:tcPr>
            <w:tcW w:w="1010" w:type="pct"/>
            <w:noWrap w:val="0"/>
            <w:vAlign w:val="center"/>
          </w:tcPr>
          <w:p w14:paraId="042BD64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458E18AF">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0126A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220" w:type="pct"/>
            <w:shd w:val="clear" w:color="auto" w:fill="auto"/>
            <w:noWrap w:val="0"/>
            <w:vAlign w:val="center"/>
          </w:tcPr>
          <w:p w14:paraId="24A010C1">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4</w:t>
            </w:r>
          </w:p>
        </w:tc>
        <w:tc>
          <w:tcPr>
            <w:tcW w:w="1075" w:type="pct"/>
            <w:shd w:val="clear" w:color="auto" w:fill="auto"/>
            <w:noWrap w:val="0"/>
            <w:vAlign w:val="center"/>
          </w:tcPr>
          <w:p w14:paraId="127FA67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zh-CN"/>
              </w:rPr>
              <w:t>……</w:t>
            </w:r>
          </w:p>
        </w:tc>
        <w:tc>
          <w:tcPr>
            <w:tcW w:w="2298" w:type="pct"/>
            <w:shd w:val="clear" w:color="auto" w:fill="auto"/>
            <w:noWrap w:val="0"/>
            <w:vAlign w:val="center"/>
          </w:tcPr>
          <w:p w14:paraId="723D0D7F">
            <w:pPr>
              <w:pStyle w:val="48"/>
              <w:rPr>
                <w:rFonts w:hint="eastAsia" w:ascii="宋体" w:hAnsi="宋体" w:eastAsia="宋体" w:cs="宋体"/>
                <w:color w:val="auto"/>
                <w:kern w:val="2"/>
                <w:sz w:val="21"/>
                <w:szCs w:val="21"/>
                <w:highlight w:val="none"/>
                <w:lang w:val="en-US" w:eastAsia="zh-CN" w:bidi="ar-SA"/>
              </w:rPr>
            </w:pPr>
          </w:p>
        </w:tc>
        <w:tc>
          <w:tcPr>
            <w:tcW w:w="1010" w:type="pct"/>
            <w:noWrap w:val="0"/>
            <w:vAlign w:val="center"/>
          </w:tcPr>
          <w:p w14:paraId="6E29F27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63A4B6F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188F2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220" w:type="pct"/>
            <w:shd w:val="clear" w:color="auto" w:fill="auto"/>
            <w:noWrap w:val="0"/>
            <w:vAlign w:val="center"/>
          </w:tcPr>
          <w:p w14:paraId="7D889D64">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5</w:t>
            </w:r>
          </w:p>
        </w:tc>
        <w:tc>
          <w:tcPr>
            <w:tcW w:w="1075" w:type="pct"/>
            <w:shd w:val="clear" w:color="auto" w:fill="auto"/>
            <w:noWrap w:val="0"/>
            <w:vAlign w:val="center"/>
          </w:tcPr>
          <w:p w14:paraId="1BACABE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zh-CN"/>
              </w:rPr>
              <w:t>……</w:t>
            </w:r>
          </w:p>
        </w:tc>
        <w:tc>
          <w:tcPr>
            <w:tcW w:w="2298" w:type="pct"/>
            <w:noWrap w:val="0"/>
            <w:vAlign w:val="center"/>
          </w:tcPr>
          <w:p w14:paraId="6AF4E488">
            <w:pPr>
              <w:pStyle w:val="72"/>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color w:val="auto"/>
                <w:kern w:val="0"/>
                <w:sz w:val="21"/>
                <w:szCs w:val="21"/>
                <w:highlight w:val="none"/>
                <w:lang w:val="en-US" w:eastAsia="zh-CN" w:bidi="ar-SA"/>
              </w:rPr>
            </w:pPr>
          </w:p>
        </w:tc>
        <w:tc>
          <w:tcPr>
            <w:tcW w:w="1010" w:type="pct"/>
            <w:noWrap w:val="0"/>
            <w:vAlign w:val="center"/>
          </w:tcPr>
          <w:p w14:paraId="5791DDF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4FAB139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7D82C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220" w:type="pct"/>
            <w:shd w:val="clear" w:color="auto" w:fill="auto"/>
            <w:noWrap w:val="0"/>
            <w:vAlign w:val="center"/>
          </w:tcPr>
          <w:p w14:paraId="1D658F73">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6</w:t>
            </w:r>
          </w:p>
        </w:tc>
        <w:tc>
          <w:tcPr>
            <w:tcW w:w="1075" w:type="pct"/>
            <w:noWrap w:val="0"/>
            <w:vAlign w:val="center"/>
          </w:tcPr>
          <w:p w14:paraId="76B2B25F">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lang w:val="en-US" w:eastAsia="zh-CN"/>
              </w:rPr>
            </w:pPr>
          </w:p>
        </w:tc>
        <w:tc>
          <w:tcPr>
            <w:tcW w:w="2298" w:type="pct"/>
            <w:noWrap w:val="0"/>
            <w:vAlign w:val="center"/>
          </w:tcPr>
          <w:p w14:paraId="080CF7F9">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p>
        </w:tc>
        <w:tc>
          <w:tcPr>
            <w:tcW w:w="1010" w:type="pct"/>
            <w:noWrap w:val="0"/>
            <w:vAlign w:val="center"/>
          </w:tcPr>
          <w:p w14:paraId="404E91E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4B03ECB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581EA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220" w:type="pct"/>
            <w:shd w:val="clear" w:color="auto" w:fill="auto"/>
            <w:noWrap w:val="0"/>
            <w:vAlign w:val="center"/>
          </w:tcPr>
          <w:p w14:paraId="2A12EC9F">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7</w:t>
            </w:r>
          </w:p>
        </w:tc>
        <w:tc>
          <w:tcPr>
            <w:tcW w:w="1075" w:type="pct"/>
            <w:noWrap w:val="0"/>
            <w:vAlign w:val="center"/>
          </w:tcPr>
          <w:p w14:paraId="0BFE6DF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lang w:val="en-US" w:eastAsia="zh-CN"/>
              </w:rPr>
            </w:pPr>
          </w:p>
        </w:tc>
        <w:tc>
          <w:tcPr>
            <w:tcW w:w="2298" w:type="pct"/>
            <w:noWrap w:val="0"/>
            <w:vAlign w:val="center"/>
          </w:tcPr>
          <w:p w14:paraId="70263471">
            <w:pPr>
              <w:keepNext w:val="0"/>
              <w:keepLines w:val="0"/>
              <w:pageBreakBefore w:val="0"/>
              <w:widowControl w:val="0"/>
              <w:shd w:val="clear" w:color="auto" w:fill="FFFFFF"/>
              <w:kinsoku/>
              <w:wordWrap/>
              <w:overflowPunct/>
              <w:topLinePunct w:val="0"/>
              <w:autoSpaceDE/>
              <w:autoSpaceDN/>
              <w:bidi w:val="0"/>
              <w:adjustRightInd/>
              <w:snapToGrid/>
              <w:spacing w:line="400" w:lineRule="atLeast"/>
              <w:textAlignment w:val="auto"/>
              <w:rPr>
                <w:rFonts w:hint="eastAsia" w:ascii="宋体" w:hAnsi="宋体" w:eastAsia="宋体" w:cs="宋体"/>
                <w:color w:val="auto"/>
                <w:sz w:val="21"/>
                <w:szCs w:val="21"/>
                <w:highlight w:val="none"/>
                <w:lang w:val="en-US" w:eastAsia="zh-CN"/>
              </w:rPr>
            </w:pPr>
          </w:p>
        </w:tc>
        <w:tc>
          <w:tcPr>
            <w:tcW w:w="1010" w:type="pct"/>
            <w:noWrap w:val="0"/>
            <w:vAlign w:val="center"/>
          </w:tcPr>
          <w:p w14:paraId="7D8F15D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4F0FDAA9">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409E6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220" w:type="pct"/>
            <w:noWrap w:val="0"/>
            <w:vAlign w:val="center"/>
          </w:tcPr>
          <w:p w14:paraId="225EEE9F">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lang w:val="en-US" w:eastAsia="zh-CN"/>
              </w:rPr>
            </w:pPr>
          </w:p>
        </w:tc>
        <w:tc>
          <w:tcPr>
            <w:tcW w:w="1075" w:type="pct"/>
            <w:shd w:val="clear" w:color="auto" w:fill="auto"/>
            <w:noWrap w:val="0"/>
            <w:vAlign w:val="center"/>
          </w:tcPr>
          <w:p w14:paraId="4AA8125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lang w:val="zh-CN" w:eastAsia="zh-CN"/>
              </w:rPr>
            </w:pPr>
          </w:p>
        </w:tc>
        <w:tc>
          <w:tcPr>
            <w:tcW w:w="2298" w:type="pct"/>
            <w:noWrap w:val="0"/>
            <w:vAlign w:val="center"/>
          </w:tcPr>
          <w:p w14:paraId="5D3B3A0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lang w:eastAsia="zh-CN"/>
              </w:rPr>
            </w:pPr>
          </w:p>
        </w:tc>
        <w:tc>
          <w:tcPr>
            <w:tcW w:w="1010" w:type="pct"/>
            <w:noWrap w:val="0"/>
            <w:vAlign w:val="center"/>
          </w:tcPr>
          <w:p w14:paraId="22A79CB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1D5F24C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bl>
    <w:p w14:paraId="1E416027">
      <w:pPr>
        <w:rPr>
          <w:rFonts w:hint="eastAsia"/>
          <w:b/>
          <w:bCs/>
          <w:color w:val="auto"/>
          <w:sz w:val="21"/>
          <w:szCs w:val="21"/>
          <w:highlight w:val="none"/>
          <w:lang w:val="en-US" w:eastAsia="zh-CN"/>
        </w:rPr>
      </w:pPr>
    </w:p>
    <w:p w14:paraId="73C7580B">
      <w:pP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注：“实质性响应一览表”中的内容为参考，可根据项目情况自行设置。</w:t>
      </w:r>
    </w:p>
    <w:p w14:paraId="16A7E26A">
      <w:pPr>
        <w:rPr>
          <w:rFonts w:hint="eastAsia" w:ascii="宋体" w:hAnsi="宋体" w:eastAsia="宋体" w:cstheme="minorBidi"/>
          <w:b/>
          <w:bCs/>
          <w:color w:val="auto"/>
          <w:kern w:val="2"/>
          <w:sz w:val="30"/>
          <w:szCs w:val="32"/>
          <w:highlight w:val="none"/>
          <w:lang w:val="zh-CN" w:eastAsia="zh-CN" w:bidi="ar-SA"/>
        </w:rPr>
      </w:pPr>
      <w:r>
        <w:rPr>
          <w:rFonts w:hint="eastAsia" w:ascii="宋体" w:hAnsi="宋体" w:eastAsia="宋体" w:cstheme="minorBidi"/>
          <w:b/>
          <w:bCs/>
          <w:color w:val="auto"/>
          <w:kern w:val="2"/>
          <w:sz w:val="30"/>
          <w:szCs w:val="32"/>
          <w:highlight w:val="none"/>
          <w:lang w:val="zh-CN" w:eastAsia="zh-CN" w:bidi="ar-SA"/>
        </w:rPr>
        <w:br w:type="page"/>
      </w:r>
    </w:p>
    <w:p w14:paraId="3FE0903E">
      <w:pPr>
        <w:pStyle w:val="4"/>
        <w:keepNext/>
        <w:keepLines/>
        <w:pageBreakBefore w:val="0"/>
        <w:widowControl w:val="0"/>
        <w:numPr>
          <w:ilvl w:val="0"/>
          <w:numId w:val="0"/>
        </w:numPr>
        <w:kinsoku/>
        <w:wordWrap/>
        <w:overflowPunct/>
        <w:topLinePunct w:val="0"/>
        <w:autoSpaceDE/>
        <w:autoSpaceDN/>
        <w:bidi w:val="0"/>
        <w:adjustRightInd/>
        <w:snapToGrid/>
        <w:spacing w:before="6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393" w:name="_Toc17074"/>
      <w:r>
        <w:rPr>
          <w:rFonts w:hint="eastAsia" w:ascii="宋体" w:hAnsi="宋体" w:eastAsia="宋体" w:cs="宋体"/>
          <w:b/>
          <w:bCs/>
          <w:color w:val="auto"/>
          <w:kern w:val="2"/>
          <w:sz w:val="24"/>
          <w:szCs w:val="24"/>
          <w:highlight w:val="none"/>
          <w:lang w:val="zh-CN" w:eastAsia="zh-CN" w:bidi="ar-SA"/>
        </w:rPr>
        <w:t>（二）评分标准</w:t>
      </w:r>
      <w:bookmarkEnd w:id="390"/>
      <w:bookmarkEnd w:id="391"/>
      <w:bookmarkEnd w:id="393"/>
    </w:p>
    <w:p w14:paraId="7679D3A0">
      <w:pPr>
        <w:rPr>
          <w:rFonts w:hint="eastAsia"/>
          <w:color w:val="auto"/>
          <w:sz w:val="21"/>
          <w:szCs w:val="21"/>
          <w:highlight w:val="none"/>
          <w:lang w:val="zh-CN" w:eastAsia="zh-CN"/>
        </w:rPr>
      </w:pPr>
      <w:r>
        <w:rPr>
          <w:rFonts w:hint="eastAsia"/>
          <w:color w:val="auto"/>
          <w:sz w:val="21"/>
          <w:szCs w:val="21"/>
          <w:highlight w:val="none"/>
          <w:lang w:val="en-US" w:eastAsia="zh-CN"/>
        </w:rPr>
        <w:t>注：以下评标分项根据项目实际情况可自行设置。</w:t>
      </w:r>
    </w:p>
    <w:tbl>
      <w:tblPr>
        <w:tblStyle w:val="29"/>
        <w:tblW w:w="55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6"/>
        <w:gridCol w:w="1572"/>
        <w:gridCol w:w="1000"/>
        <w:gridCol w:w="6040"/>
      </w:tblGrid>
      <w:tr w14:paraId="5175C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418" w:type="pct"/>
            <w:shd w:val="clear" w:color="auto" w:fill="D8D8D8" w:themeFill="background1" w:themeFillShade="D9"/>
            <w:vAlign w:val="center"/>
          </w:tcPr>
          <w:p w14:paraId="4924CA4E">
            <w:pPr>
              <w:pStyle w:val="4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评标项目</w:t>
            </w:r>
          </w:p>
        </w:tc>
        <w:tc>
          <w:tcPr>
            <w:tcW w:w="835" w:type="pct"/>
            <w:shd w:val="clear" w:color="auto" w:fill="D8D8D8" w:themeFill="background1" w:themeFillShade="D9"/>
            <w:vAlign w:val="center"/>
          </w:tcPr>
          <w:p w14:paraId="7A3DCB70">
            <w:pPr>
              <w:pStyle w:val="4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评标分项</w:t>
            </w:r>
          </w:p>
        </w:tc>
        <w:tc>
          <w:tcPr>
            <w:tcW w:w="532" w:type="pct"/>
            <w:shd w:val="clear" w:color="auto" w:fill="D8D8D8" w:themeFill="background1" w:themeFillShade="D9"/>
            <w:vAlign w:val="center"/>
          </w:tcPr>
          <w:p w14:paraId="65B86E0D">
            <w:pPr>
              <w:pStyle w:val="4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c>
          <w:tcPr>
            <w:tcW w:w="3213" w:type="pct"/>
            <w:shd w:val="clear" w:color="auto" w:fill="D8D8D8" w:themeFill="background1" w:themeFillShade="D9"/>
            <w:vAlign w:val="center"/>
          </w:tcPr>
          <w:p w14:paraId="467A385D">
            <w:pPr>
              <w:pStyle w:val="4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子项目及分值</w:t>
            </w:r>
          </w:p>
        </w:tc>
      </w:tr>
      <w:tr w14:paraId="497D9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4" w:hRule="atLeast"/>
          <w:jc w:val="center"/>
        </w:trPr>
        <w:tc>
          <w:tcPr>
            <w:tcW w:w="418" w:type="pct"/>
            <w:vAlign w:val="center"/>
          </w:tcPr>
          <w:p w14:paraId="3C480381">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价格部分</w:t>
            </w:r>
          </w:p>
          <w:p w14:paraId="375F38AD">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w:t>
            </w:r>
          </w:p>
        </w:tc>
        <w:tc>
          <w:tcPr>
            <w:tcW w:w="835" w:type="pct"/>
            <w:tcBorders>
              <w:bottom w:val="single" w:color="auto" w:sz="4" w:space="0"/>
            </w:tcBorders>
            <w:vAlign w:val="center"/>
          </w:tcPr>
          <w:p w14:paraId="4D31CF31">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tc>
        <w:tc>
          <w:tcPr>
            <w:tcW w:w="532" w:type="pct"/>
            <w:vAlign w:val="center"/>
          </w:tcPr>
          <w:p w14:paraId="318A84CC">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不低于10分</w:t>
            </w:r>
          </w:p>
        </w:tc>
        <w:tc>
          <w:tcPr>
            <w:tcW w:w="3213" w:type="pct"/>
            <w:vAlign w:val="center"/>
          </w:tcPr>
          <w:p w14:paraId="76A28B05">
            <w:pPr>
              <w:pStyle w:val="4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满足招标文件要求且投标价格最低的投标报价为评标基准价，其价格分为满分。其他投标人的价格分统一按照下列公式计算：</w:t>
            </w:r>
          </w:p>
          <w:p w14:paraId="5254A4DB">
            <w:pPr>
              <w:pStyle w:val="4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投标报价得分=（评标基准价／投标报价)×价格</w:t>
            </w:r>
            <w:r>
              <w:rPr>
                <w:rFonts w:hint="eastAsia" w:ascii="宋体" w:hAnsi="宋体" w:eastAsia="宋体" w:cs="宋体"/>
                <w:color w:val="auto"/>
                <w:sz w:val="21"/>
                <w:szCs w:val="21"/>
                <w:highlight w:val="none"/>
                <w:lang w:eastAsia="zh-CN"/>
              </w:rPr>
              <w:t>分值</w:t>
            </w:r>
          </w:p>
          <w:p w14:paraId="4F468258">
            <w:pPr>
              <w:pStyle w:val="48"/>
              <w:rPr>
                <w:rFonts w:hint="eastAsia" w:ascii="宋体" w:hAnsi="宋体" w:eastAsia="宋体" w:cs="宋体"/>
                <w:b/>
                <w:bCs/>
                <w:color w:val="auto"/>
                <w:sz w:val="21"/>
                <w:szCs w:val="21"/>
                <w:highlight w:val="none"/>
              </w:rPr>
            </w:pPr>
          </w:p>
          <w:p w14:paraId="201E7F07">
            <w:pPr>
              <w:pStyle w:val="48"/>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备注</w:t>
            </w:r>
            <w:r>
              <w:rPr>
                <w:rFonts w:hint="eastAsia" w:ascii="宋体" w:hAnsi="宋体" w:eastAsia="宋体" w:cs="宋体"/>
                <w:color w:val="auto"/>
                <w:sz w:val="21"/>
                <w:szCs w:val="21"/>
                <w:highlight w:val="none"/>
              </w:rPr>
              <w:t>：符合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r>
              <w:rPr>
                <w:rFonts w:hint="eastAsia" w:ascii="宋体" w:hAnsi="宋体" w:eastAsia="宋体" w:cs="宋体"/>
                <w:color w:val="auto"/>
                <w:sz w:val="21"/>
                <w:szCs w:val="21"/>
                <w:highlight w:val="none"/>
                <w:lang w:val="en-US" w:eastAsia="zh-CN"/>
              </w:rPr>
              <w:t>前附表”</w:t>
            </w:r>
            <w:r>
              <w:rPr>
                <w:rFonts w:hint="eastAsia" w:ascii="宋体" w:hAnsi="宋体" w:eastAsia="宋体" w:cs="宋体"/>
                <w:color w:val="auto"/>
                <w:sz w:val="21"/>
                <w:szCs w:val="21"/>
                <w:highlight w:val="none"/>
              </w:rPr>
              <w:t>中价格扣除规定的，在评审时予以价格扣除，用扣除后的价格参与评审。</w:t>
            </w:r>
          </w:p>
        </w:tc>
      </w:tr>
      <w:tr w14:paraId="1F710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418" w:type="pct"/>
            <w:vMerge w:val="restart"/>
            <w:vAlign w:val="center"/>
          </w:tcPr>
          <w:p w14:paraId="0EA62830">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商务部分</w:t>
            </w:r>
          </w:p>
          <w:p w14:paraId="6C0619A6">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w:t>
            </w:r>
          </w:p>
        </w:tc>
        <w:tc>
          <w:tcPr>
            <w:tcW w:w="835" w:type="pct"/>
            <w:tcBorders>
              <w:top w:val="single" w:color="auto" w:sz="4" w:space="0"/>
            </w:tcBorders>
            <w:vAlign w:val="center"/>
          </w:tcPr>
          <w:p w14:paraId="7B47B92D">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服务能力与承诺</w:t>
            </w:r>
          </w:p>
        </w:tc>
        <w:tc>
          <w:tcPr>
            <w:tcW w:w="532" w:type="pct"/>
            <w:vAlign w:val="center"/>
          </w:tcPr>
          <w:p w14:paraId="4E7EA155">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×分</w:t>
            </w:r>
          </w:p>
        </w:tc>
        <w:tc>
          <w:tcPr>
            <w:tcW w:w="3213" w:type="pct"/>
            <w:vAlign w:val="center"/>
          </w:tcPr>
          <w:p w14:paraId="00872C1F">
            <w:pPr>
              <w:pStyle w:val="48"/>
              <w:numPr>
                <w:ilvl w:val="0"/>
                <w:numId w:val="0"/>
              </w:numPr>
              <w:rPr>
                <w:rFonts w:hint="eastAsia" w:ascii="宋体" w:hAnsi="宋体" w:eastAsia="宋体" w:cs="宋体"/>
                <w:color w:val="auto"/>
                <w:sz w:val="21"/>
                <w:szCs w:val="21"/>
                <w:highlight w:val="none"/>
                <w:lang w:val="en-US" w:eastAsia="zh-CN"/>
              </w:rPr>
            </w:pPr>
          </w:p>
        </w:tc>
      </w:tr>
      <w:tr w14:paraId="27940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18" w:type="pct"/>
            <w:vMerge w:val="continue"/>
            <w:vAlign w:val="center"/>
          </w:tcPr>
          <w:p w14:paraId="052C663E">
            <w:pPr>
              <w:pStyle w:val="48"/>
              <w:jc w:val="center"/>
              <w:rPr>
                <w:rFonts w:hint="eastAsia" w:ascii="宋体" w:hAnsi="宋体" w:eastAsia="宋体" w:cs="宋体"/>
                <w:color w:val="auto"/>
                <w:sz w:val="21"/>
                <w:szCs w:val="21"/>
                <w:highlight w:val="none"/>
              </w:rPr>
            </w:pPr>
          </w:p>
        </w:tc>
        <w:tc>
          <w:tcPr>
            <w:tcW w:w="835" w:type="pct"/>
            <w:tcBorders>
              <w:top w:val="single" w:color="auto" w:sz="4" w:space="0"/>
            </w:tcBorders>
            <w:vAlign w:val="center"/>
          </w:tcPr>
          <w:p w14:paraId="460AF2C5">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tc>
        <w:tc>
          <w:tcPr>
            <w:tcW w:w="532" w:type="pct"/>
            <w:vAlign w:val="center"/>
          </w:tcPr>
          <w:p w14:paraId="628FC415">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×分</w:t>
            </w:r>
          </w:p>
        </w:tc>
        <w:tc>
          <w:tcPr>
            <w:tcW w:w="3213" w:type="pct"/>
            <w:vAlign w:val="center"/>
          </w:tcPr>
          <w:p w14:paraId="1CAA3B77">
            <w:pPr>
              <w:pStyle w:val="48"/>
              <w:rPr>
                <w:rFonts w:hint="eastAsia" w:ascii="宋体" w:hAnsi="宋体" w:eastAsia="宋体" w:cs="宋体"/>
                <w:color w:val="auto"/>
                <w:sz w:val="21"/>
                <w:szCs w:val="21"/>
                <w:highlight w:val="none"/>
              </w:rPr>
            </w:pPr>
          </w:p>
        </w:tc>
      </w:tr>
      <w:tr w14:paraId="05A34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418" w:type="pct"/>
            <w:vMerge w:val="continue"/>
            <w:vAlign w:val="center"/>
          </w:tcPr>
          <w:p w14:paraId="3BD7C09E">
            <w:pPr>
              <w:pStyle w:val="48"/>
              <w:jc w:val="center"/>
              <w:rPr>
                <w:rFonts w:hint="eastAsia" w:ascii="宋体" w:hAnsi="宋体" w:eastAsia="宋体" w:cs="宋体"/>
                <w:color w:val="auto"/>
                <w:sz w:val="21"/>
                <w:szCs w:val="21"/>
                <w:highlight w:val="none"/>
              </w:rPr>
            </w:pPr>
          </w:p>
        </w:tc>
        <w:tc>
          <w:tcPr>
            <w:tcW w:w="835" w:type="pct"/>
            <w:tcBorders>
              <w:top w:val="single" w:color="auto" w:sz="4" w:space="0"/>
            </w:tcBorders>
            <w:vAlign w:val="center"/>
          </w:tcPr>
          <w:p w14:paraId="6B9EB51E">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项目参与人员</w:t>
            </w:r>
          </w:p>
        </w:tc>
        <w:tc>
          <w:tcPr>
            <w:tcW w:w="532" w:type="pct"/>
            <w:vAlign w:val="center"/>
          </w:tcPr>
          <w:p w14:paraId="5CC6F5C7">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×分</w:t>
            </w:r>
          </w:p>
        </w:tc>
        <w:tc>
          <w:tcPr>
            <w:tcW w:w="3213" w:type="pct"/>
            <w:vAlign w:val="center"/>
          </w:tcPr>
          <w:p w14:paraId="423C2D10">
            <w:pPr>
              <w:pStyle w:val="48"/>
              <w:rPr>
                <w:rFonts w:hint="eastAsia" w:ascii="宋体" w:hAnsi="宋体" w:eastAsia="宋体" w:cs="宋体"/>
                <w:color w:val="auto"/>
                <w:sz w:val="21"/>
                <w:szCs w:val="21"/>
                <w:highlight w:val="none"/>
              </w:rPr>
            </w:pPr>
          </w:p>
        </w:tc>
      </w:tr>
      <w:tr w14:paraId="1E7CC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418" w:type="pct"/>
            <w:vMerge w:val="continue"/>
            <w:vAlign w:val="center"/>
          </w:tcPr>
          <w:p w14:paraId="62336E52">
            <w:pPr>
              <w:pStyle w:val="48"/>
              <w:jc w:val="center"/>
              <w:rPr>
                <w:rFonts w:hint="eastAsia" w:ascii="宋体" w:hAnsi="宋体" w:eastAsia="宋体" w:cs="宋体"/>
                <w:color w:val="auto"/>
                <w:sz w:val="21"/>
                <w:szCs w:val="21"/>
                <w:highlight w:val="none"/>
              </w:rPr>
            </w:pPr>
          </w:p>
        </w:tc>
        <w:tc>
          <w:tcPr>
            <w:tcW w:w="835" w:type="pct"/>
            <w:tcBorders>
              <w:top w:val="single" w:color="auto" w:sz="4" w:space="0"/>
            </w:tcBorders>
            <w:vAlign w:val="center"/>
          </w:tcPr>
          <w:p w14:paraId="16595CC7">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期</w:t>
            </w:r>
          </w:p>
        </w:tc>
        <w:tc>
          <w:tcPr>
            <w:tcW w:w="532" w:type="pct"/>
            <w:vAlign w:val="center"/>
          </w:tcPr>
          <w:p w14:paraId="48AA2DE0">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×分</w:t>
            </w:r>
          </w:p>
        </w:tc>
        <w:tc>
          <w:tcPr>
            <w:tcW w:w="3213" w:type="pct"/>
            <w:vAlign w:val="center"/>
          </w:tcPr>
          <w:p w14:paraId="36694946">
            <w:pPr>
              <w:pStyle w:val="48"/>
              <w:rPr>
                <w:rFonts w:hint="eastAsia" w:ascii="宋体" w:hAnsi="宋体" w:eastAsia="宋体" w:cs="宋体"/>
                <w:color w:val="auto"/>
                <w:sz w:val="21"/>
                <w:szCs w:val="21"/>
                <w:highlight w:val="none"/>
                <w:lang w:eastAsia="zh-CN"/>
              </w:rPr>
            </w:pPr>
          </w:p>
        </w:tc>
      </w:tr>
      <w:tr w14:paraId="09565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418" w:type="pct"/>
            <w:vMerge w:val="continue"/>
            <w:vAlign w:val="center"/>
          </w:tcPr>
          <w:p w14:paraId="271BA664">
            <w:pPr>
              <w:pStyle w:val="48"/>
              <w:jc w:val="center"/>
              <w:rPr>
                <w:rFonts w:hint="eastAsia" w:ascii="宋体" w:hAnsi="宋体" w:eastAsia="宋体" w:cs="宋体"/>
                <w:color w:val="auto"/>
                <w:sz w:val="21"/>
                <w:szCs w:val="21"/>
                <w:highlight w:val="none"/>
              </w:rPr>
            </w:pPr>
          </w:p>
        </w:tc>
        <w:tc>
          <w:tcPr>
            <w:tcW w:w="835" w:type="pct"/>
            <w:tcBorders>
              <w:top w:val="single" w:color="auto" w:sz="4" w:space="0"/>
            </w:tcBorders>
            <w:vAlign w:val="center"/>
          </w:tcPr>
          <w:p w14:paraId="23875990">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32" w:type="pct"/>
            <w:vAlign w:val="center"/>
          </w:tcPr>
          <w:p w14:paraId="057CBCEF">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213" w:type="pct"/>
            <w:vAlign w:val="center"/>
          </w:tcPr>
          <w:p w14:paraId="001C1B46">
            <w:pPr>
              <w:pStyle w:val="4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r>
      <w:tr w14:paraId="105D2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418" w:type="pct"/>
            <w:vMerge w:val="restart"/>
            <w:vAlign w:val="center"/>
          </w:tcPr>
          <w:p w14:paraId="009533AC">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技术部分</w:t>
            </w:r>
          </w:p>
          <w:p w14:paraId="3C5A6CF4">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w:t>
            </w:r>
          </w:p>
        </w:tc>
        <w:tc>
          <w:tcPr>
            <w:tcW w:w="835" w:type="pct"/>
            <w:tcBorders>
              <w:top w:val="single" w:color="auto" w:sz="4" w:space="0"/>
            </w:tcBorders>
            <w:vAlign w:val="center"/>
          </w:tcPr>
          <w:p w14:paraId="1ECFDBB7">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技术指标响应</w:t>
            </w:r>
          </w:p>
        </w:tc>
        <w:tc>
          <w:tcPr>
            <w:tcW w:w="532" w:type="pct"/>
            <w:vAlign w:val="center"/>
          </w:tcPr>
          <w:p w14:paraId="35C961A9">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×分</w:t>
            </w:r>
          </w:p>
        </w:tc>
        <w:tc>
          <w:tcPr>
            <w:tcW w:w="3213" w:type="pct"/>
            <w:vAlign w:val="center"/>
          </w:tcPr>
          <w:p w14:paraId="5050357A">
            <w:pPr>
              <w:pStyle w:val="48"/>
              <w:rPr>
                <w:rFonts w:hint="eastAsia" w:ascii="宋体" w:hAnsi="宋体" w:eastAsia="宋体" w:cs="宋体"/>
                <w:color w:val="auto"/>
                <w:sz w:val="21"/>
                <w:szCs w:val="21"/>
                <w:highlight w:val="none"/>
              </w:rPr>
            </w:pPr>
          </w:p>
        </w:tc>
      </w:tr>
      <w:tr w14:paraId="1811E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418" w:type="pct"/>
            <w:vMerge w:val="continue"/>
            <w:vAlign w:val="center"/>
          </w:tcPr>
          <w:p w14:paraId="24E10105">
            <w:pPr>
              <w:pStyle w:val="48"/>
              <w:jc w:val="center"/>
              <w:rPr>
                <w:rFonts w:hint="eastAsia" w:ascii="宋体" w:hAnsi="宋体" w:eastAsia="宋体" w:cs="宋体"/>
                <w:color w:val="auto"/>
                <w:sz w:val="21"/>
                <w:szCs w:val="21"/>
                <w:highlight w:val="none"/>
              </w:rPr>
            </w:pPr>
          </w:p>
        </w:tc>
        <w:tc>
          <w:tcPr>
            <w:tcW w:w="835" w:type="pct"/>
            <w:vAlign w:val="center"/>
          </w:tcPr>
          <w:p w14:paraId="69144E03">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技术方案</w:t>
            </w:r>
          </w:p>
        </w:tc>
        <w:tc>
          <w:tcPr>
            <w:tcW w:w="532" w:type="pct"/>
            <w:vAlign w:val="center"/>
          </w:tcPr>
          <w:p w14:paraId="7922AA03">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×分</w:t>
            </w:r>
          </w:p>
        </w:tc>
        <w:tc>
          <w:tcPr>
            <w:tcW w:w="3213" w:type="pct"/>
            <w:vAlign w:val="center"/>
          </w:tcPr>
          <w:p w14:paraId="08F1C419">
            <w:pPr>
              <w:pStyle w:val="48"/>
              <w:rPr>
                <w:rFonts w:hint="eastAsia" w:ascii="宋体" w:hAnsi="宋体" w:eastAsia="宋体" w:cs="宋体"/>
                <w:color w:val="auto"/>
                <w:sz w:val="21"/>
                <w:szCs w:val="21"/>
                <w:highlight w:val="none"/>
              </w:rPr>
            </w:pPr>
          </w:p>
        </w:tc>
      </w:tr>
      <w:tr w14:paraId="58C0B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418" w:type="pct"/>
            <w:vMerge w:val="continue"/>
            <w:vAlign w:val="center"/>
          </w:tcPr>
          <w:p w14:paraId="6BC81CA5">
            <w:pPr>
              <w:pStyle w:val="48"/>
              <w:jc w:val="center"/>
              <w:rPr>
                <w:rFonts w:hint="eastAsia" w:ascii="宋体" w:hAnsi="宋体" w:eastAsia="宋体" w:cs="宋体"/>
                <w:color w:val="auto"/>
                <w:sz w:val="21"/>
                <w:szCs w:val="21"/>
                <w:highlight w:val="none"/>
              </w:rPr>
            </w:pPr>
          </w:p>
        </w:tc>
        <w:tc>
          <w:tcPr>
            <w:tcW w:w="835" w:type="pct"/>
            <w:vAlign w:val="center"/>
          </w:tcPr>
          <w:p w14:paraId="4FF5A0D7">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培训方案</w:t>
            </w:r>
          </w:p>
        </w:tc>
        <w:tc>
          <w:tcPr>
            <w:tcW w:w="532" w:type="pct"/>
            <w:vAlign w:val="center"/>
          </w:tcPr>
          <w:p w14:paraId="124035BA">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×分 </w:t>
            </w:r>
          </w:p>
        </w:tc>
        <w:tc>
          <w:tcPr>
            <w:tcW w:w="3213" w:type="pct"/>
            <w:vAlign w:val="center"/>
          </w:tcPr>
          <w:p w14:paraId="012BAC0B">
            <w:pPr>
              <w:pStyle w:val="48"/>
              <w:rPr>
                <w:rFonts w:hint="eastAsia" w:ascii="宋体" w:hAnsi="宋体" w:eastAsia="宋体" w:cs="宋体"/>
                <w:color w:val="auto"/>
                <w:sz w:val="21"/>
                <w:szCs w:val="21"/>
                <w:highlight w:val="none"/>
                <w:lang w:val="en-US" w:eastAsia="zh-CN"/>
              </w:rPr>
            </w:pPr>
          </w:p>
        </w:tc>
      </w:tr>
      <w:tr w14:paraId="349B4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418" w:type="pct"/>
            <w:vMerge w:val="continue"/>
            <w:vAlign w:val="center"/>
          </w:tcPr>
          <w:p w14:paraId="0520050F">
            <w:pPr>
              <w:pStyle w:val="48"/>
              <w:jc w:val="center"/>
              <w:rPr>
                <w:rFonts w:hint="eastAsia" w:ascii="宋体" w:hAnsi="宋体" w:eastAsia="宋体" w:cs="宋体"/>
                <w:color w:val="auto"/>
                <w:sz w:val="21"/>
                <w:szCs w:val="21"/>
                <w:highlight w:val="none"/>
              </w:rPr>
            </w:pPr>
          </w:p>
        </w:tc>
        <w:tc>
          <w:tcPr>
            <w:tcW w:w="835" w:type="pct"/>
            <w:vAlign w:val="center"/>
          </w:tcPr>
          <w:p w14:paraId="4009041A">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项目质量保证措施</w:t>
            </w:r>
          </w:p>
        </w:tc>
        <w:tc>
          <w:tcPr>
            <w:tcW w:w="532" w:type="pct"/>
            <w:vAlign w:val="center"/>
          </w:tcPr>
          <w:p w14:paraId="56908100">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×分</w:t>
            </w:r>
          </w:p>
        </w:tc>
        <w:tc>
          <w:tcPr>
            <w:tcW w:w="3213" w:type="pct"/>
            <w:vAlign w:val="center"/>
          </w:tcPr>
          <w:p w14:paraId="17119387">
            <w:pPr>
              <w:pStyle w:val="48"/>
              <w:rPr>
                <w:rFonts w:hint="eastAsia" w:ascii="宋体" w:hAnsi="宋体" w:eastAsia="宋体" w:cs="宋体"/>
                <w:color w:val="auto"/>
                <w:sz w:val="21"/>
                <w:szCs w:val="21"/>
                <w:highlight w:val="none"/>
                <w:lang w:val="en-US" w:eastAsia="zh-CN"/>
              </w:rPr>
            </w:pPr>
          </w:p>
        </w:tc>
      </w:tr>
      <w:tr w14:paraId="1E31E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418" w:type="pct"/>
            <w:vMerge w:val="continue"/>
            <w:vAlign w:val="center"/>
          </w:tcPr>
          <w:p w14:paraId="12A0A0BD">
            <w:pPr>
              <w:pStyle w:val="48"/>
              <w:jc w:val="center"/>
              <w:rPr>
                <w:rFonts w:hint="eastAsia" w:ascii="宋体" w:hAnsi="宋体" w:eastAsia="宋体" w:cs="宋体"/>
                <w:color w:val="auto"/>
                <w:sz w:val="21"/>
                <w:szCs w:val="21"/>
                <w:highlight w:val="none"/>
              </w:rPr>
            </w:pPr>
          </w:p>
        </w:tc>
        <w:tc>
          <w:tcPr>
            <w:tcW w:w="835" w:type="pct"/>
            <w:tcBorders>
              <w:top w:val="single" w:color="auto" w:sz="4" w:space="0"/>
            </w:tcBorders>
            <w:vAlign w:val="center"/>
          </w:tcPr>
          <w:p w14:paraId="5417D7F6">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32" w:type="pct"/>
            <w:vAlign w:val="center"/>
          </w:tcPr>
          <w:p w14:paraId="458346B8">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213" w:type="pct"/>
            <w:vAlign w:val="center"/>
          </w:tcPr>
          <w:p w14:paraId="5757178D">
            <w:pPr>
              <w:pStyle w:val="4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r>
      <w:tr w14:paraId="10782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1254" w:type="pct"/>
            <w:gridSpan w:val="2"/>
            <w:vAlign w:val="center"/>
          </w:tcPr>
          <w:p w14:paraId="1F1436FF">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532" w:type="pct"/>
            <w:tcBorders>
              <w:bottom w:val="single" w:color="auto" w:sz="4" w:space="0"/>
            </w:tcBorders>
            <w:vAlign w:val="center"/>
          </w:tcPr>
          <w:p w14:paraId="2C7F1184">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=SUM(ABOVE)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100</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lang w:val="en-US" w:eastAsia="zh-CN"/>
              </w:rPr>
              <w:t>分</w:t>
            </w:r>
          </w:p>
        </w:tc>
        <w:tc>
          <w:tcPr>
            <w:tcW w:w="3213" w:type="pct"/>
            <w:tcBorders>
              <w:bottom w:val="single" w:color="auto" w:sz="4" w:space="0"/>
            </w:tcBorders>
            <w:vAlign w:val="center"/>
          </w:tcPr>
          <w:p w14:paraId="7EBD69F8">
            <w:pPr>
              <w:pStyle w:val="48"/>
              <w:rPr>
                <w:rFonts w:hint="eastAsia" w:ascii="宋体" w:hAnsi="宋体" w:eastAsia="宋体" w:cs="宋体"/>
                <w:color w:val="auto"/>
                <w:sz w:val="21"/>
                <w:szCs w:val="21"/>
                <w:highlight w:val="none"/>
              </w:rPr>
            </w:pPr>
          </w:p>
        </w:tc>
      </w:tr>
    </w:tbl>
    <w:p w14:paraId="0DEE66CB">
      <w:pPr>
        <w:pStyle w:val="36"/>
        <w:rPr>
          <w:rFonts w:hint="eastAsia"/>
          <w:color w:val="auto"/>
          <w:highlight w:val="none"/>
        </w:rPr>
      </w:pPr>
    </w:p>
    <w:p w14:paraId="1F2727F3">
      <w:pPr>
        <w:pStyle w:val="36"/>
        <w:rPr>
          <w:rFonts w:hint="eastAsia"/>
          <w:color w:val="auto"/>
          <w:highlight w:val="none"/>
        </w:rPr>
      </w:pPr>
    </w:p>
    <w:p w14:paraId="7469BF24">
      <w:pPr>
        <w:pStyle w:val="2"/>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default" w:ascii="宋体" w:hAnsi="宋体" w:eastAsia="宋体" w:cs="宋体"/>
          <w:b/>
          <w:bCs/>
          <w:color w:val="auto"/>
          <w:kern w:val="44"/>
          <w:sz w:val="36"/>
          <w:szCs w:val="36"/>
          <w:highlight w:val="none"/>
          <w:lang w:val="en-US" w:eastAsia="zh-CN" w:bidi="ar-SA"/>
        </w:rPr>
      </w:pPr>
      <w:bookmarkStart w:id="394" w:name="_Toc14749"/>
      <w:bookmarkStart w:id="395" w:name="_Toc10666"/>
      <w:r>
        <w:rPr>
          <w:rFonts w:hint="eastAsia" w:ascii="宋体" w:hAnsi="宋体" w:eastAsia="宋体" w:cs="宋体"/>
          <w:b/>
          <w:bCs/>
          <w:color w:val="auto"/>
          <w:kern w:val="44"/>
          <w:sz w:val="36"/>
          <w:szCs w:val="36"/>
          <w:highlight w:val="none"/>
          <w:lang w:val="en-US" w:eastAsia="zh-CN" w:bidi="ar-SA"/>
        </w:rPr>
        <w:t>第五章 评标方法及标准(最低评标价法)</w:t>
      </w:r>
      <w:bookmarkEnd w:id="394"/>
      <w:bookmarkEnd w:id="395"/>
    </w:p>
    <w:p w14:paraId="5297B140">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rPr>
      </w:pPr>
      <w:r>
        <w:rPr>
          <w:rFonts w:hint="eastAsia" w:ascii="宋体" w:hAnsi="宋体" w:eastAsia="宋体" w:cs="宋体"/>
          <w:color w:val="auto"/>
          <w:highlight w:val="none"/>
        </w:rPr>
        <w:t>根据《中华人民共和国政府采购法》及其实施条例、《政府采购货物和服务招标投标管理办法》相关法律法规确定以下评标</w:t>
      </w:r>
      <w:r>
        <w:rPr>
          <w:rFonts w:hint="eastAsia" w:ascii="宋体" w:hAnsi="宋体" w:eastAsia="宋体" w:cs="宋体"/>
          <w:color w:val="auto"/>
          <w:highlight w:val="none"/>
          <w:lang w:val="en-US" w:eastAsia="zh-CN"/>
        </w:rPr>
        <w:t>方</w:t>
      </w:r>
      <w:r>
        <w:rPr>
          <w:rFonts w:hint="eastAsia" w:ascii="宋体" w:hAnsi="宋体" w:eastAsia="宋体" w:cs="宋体"/>
          <w:color w:val="auto"/>
          <w:highlight w:val="none"/>
        </w:rPr>
        <w:t>法及标准。</w:t>
      </w:r>
    </w:p>
    <w:p w14:paraId="2037B408">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440" w:lineRule="exact"/>
        <w:ind w:left="420" w:leftChars="0" w:hanging="420" w:firstLineChars="0"/>
        <w:textAlignment w:val="auto"/>
        <w:rPr>
          <w:rFonts w:hint="eastAsia" w:ascii="宋体" w:hAnsi="宋体" w:eastAsia="宋体" w:cs="宋体"/>
          <w:b/>
          <w:bCs/>
          <w:color w:val="auto"/>
          <w:kern w:val="2"/>
          <w:sz w:val="28"/>
          <w:szCs w:val="28"/>
          <w:highlight w:val="none"/>
          <w:lang w:val="zh-CN" w:eastAsia="zh-CN" w:bidi="ar-SA"/>
        </w:rPr>
      </w:pPr>
      <w:bookmarkStart w:id="396" w:name="_Toc5721"/>
      <w:bookmarkStart w:id="397" w:name="_Toc12888"/>
      <w:r>
        <w:rPr>
          <w:rFonts w:hint="eastAsia" w:ascii="宋体" w:hAnsi="宋体" w:eastAsia="宋体" w:cs="宋体"/>
          <w:b/>
          <w:bCs/>
          <w:color w:val="auto"/>
          <w:kern w:val="2"/>
          <w:sz w:val="28"/>
          <w:szCs w:val="28"/>
          <w:highlight w:val="none"/>
          <w:lang w:val="zh-CN" w:eastAsia="zh-CN" w:bidi="ar-SA"/>
        </w:rPr>
        <w:t>一、评标</w:t>
      </w:r>
      <w:r>
        <w:rPr>
          <w:rFonts w:hint="eastAsia" w:ascii="宋体" w:hAnsi="宋体" w:eastAsia="宋体" w:cs="宋体"/>
          <w:b/>
          <w:bCs/>
          <w:color w:val="auto"/>
          <w:kern w:val="2"/>
          <w:sz w:val="28"/>
          <w:szCs w:val="28"/>
          <w:highlight w:val="none"/>
          <w:lang w:val="en-US" w:eastAsia="zh-CN" w:bidi="ar-SA"/>
        </w:rPr>
        <w:t>方</w:t>
      </w:r>
      <w:r>
        <w:rPr>
          <w:rFonts w:hint="eastAsia" w:ascii="宋体" w:hAnsi="宋体" w:eastAsia="宋体" w:cs="宋体"/>
          <w:b/>
          <w:bCs/>
          <w:color w:val="auto"/>
          <w:kern w:val="2"/>
          <w:sz w:val="28"/>
          <w:szCs w:val="28"/>
          <w:highlight w:val="none"/>
          <w:lang w:val="zh-CN" w:eastAsia="zh-CN" w:bidi="ar-SA"/>
        </w:rPr>
        <w:t>法</w:t>
      </w:r>
      <w:bookmarkEnd w:id="396"/>
      <w:bookmarkEnd w:id="397"/>
    </w:p>
    <w:p w14:paraId="106A6A5D">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b/>
          <w:bCs/>
          <w:color w:val="auto"/>
          <w:highlight w:val="none"/>
        </w:rPr>
        <w:t>本项目采用</w:t>
      </w:r>
      <w:r>
        <w:rPr>
          <w:rFonts w:hint="eastAsia" w:ascii="宋体" w:hAnsi="宋体" w:eastAsia="宋体" w:cs="宋体"/>
          <w:b/>
          <w:bCs/>
          <w:color w:val="auto"/>
          <w:highlight w:val="none"/>
          <w:lang w:val="en-US" w:eastAsia="zh-CN"/>
        </w:rPr>
        <w:t>最低评标价</w:t>
      </w:r>
      <w:r>
        <w:rPr>
          <w:rFonts w:hint="eastAsia" w:ascii="宋体" w:hAnsi="宋体" w:eastAsia="宋体" w:cs="宋体"/>
          <w:b/>
          <w:bCs/>
          <w:color w:val="auto"/>
          <w:highlight w:val="none"/>
        </w:rPr>
        <w:t>法</w:t>
      </w:r>
      <w:r>
        <w:rPr>
          <w:rFonts w:hint="eastAsia" w:ascii="宋体" w:hAnsi="宋体" w:eastAsia="宋体" w:cs="宋体"/>
          <w:color w:val="auto"/>
          <w:highlight w:val="none"/>
        </w:rPr>
        <w:t>。最低评标价法，是指投标文件满足招标文件全部实质性要求，且投标报价最低的投标人为中标候选人的评标方法。</w:t>
      </w:r>
    </w:p>
    <w:p w14:paraId="6DA82D45">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440" w:lineRule="exact"/>
        <w:ind w:left="420" w:leftChars="0" w:hanging="420" w:firstLineChars="0"/>
        <w:textAlignment w:val="auto"/>
        <w:rPr>
          <w:rFonts w:hint="eastAsia" w:ascii="宋体" w:hAnsi="宋体" w:eastAsia="宋体" w:cs="宋体"/>
          <w:b/>
          <w:bCs/>
          <w:color w:val="auto"/>
          <w:kern w:val="2"/>
          <w:sz w:val="28"/>
          <w:szCs w:val="28"/>
          <w:highlight w:val="none"/>
          <w:lang w:val="zh-CN" w:eastAsia="zh-CN" w:bidi="ar-SA"/>
        </w:rPr>
      </w:pPr>
      <w:bookmarkStart w:id="398" w:name="_Toc29570"/>
      <w:bookmarkStart w:id="399" w:name="_Toc27021"/>
      <w:r>
        <w:rPr>
          <w:rFonts w:hint="eastAsia" w:ascii="宋体" w:hAnsi="宋体" w:eastAsia="宋体" w:cs="宋体"/>
          <w:b/>
          <w:bCs/>
          <w:color w:val="auto"/>
          <w:kern w:val="2"/>
          <w:sz w:val="28"/>
          <w:szCs w:val="28"/>
          <w:highlight w:val="none"/>
          <w:lang w:val="zh-CN" w:eastAsia="zh-CN" w:bidi="ar-SA"/>
        </w:rPr>
        <w:t>二、评标程序</w:t>
      </w:r>
      <w:bookmarkEnd w:id="398"/>
      <w:bookmarkEnd w:id="399"/>
    </w:p>
    <w:p w14:paraId="5AA5EDA2">
      <w:pPr>
        <w:pStyle w:val="4"/>
        <w:keepNext w:val="0"/>
        <w:keepLines w:val="0"/>
        <w:pageBreakBefore w:val="0"/>
        <w:widowControl w:val="0"/>
        <w:numPr>
          <w:ilvl w:val="0"/>
          <w:numId w:val="0"/>
        </w:numPr>
        <w:kinsoku/>
        <w:wordWrap/>
        <w:overflowPunct/>
        <w:topLinePunct w:val="0"/>
        <w:autoSpaceDE/>
        <w:autoSpaceDN/>
        <w:bidi w:val="0"/>
        <w:adjustRightInd/>
        <w:snapToGrid/>
        <w:spacing w:before="6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00" w:name="_Toc8857"/>
      <w:r>
        <w:rPr>
          <w:rFonts w:hint="eastAsia" w:ascii="宋体" w:hAnsi="宋体" w:eastAsia="宋体" w:cs="宋体"/>
          <w:b/>
          <w:bCs/>
          <w:color w:val="auto"/>
          <w:kern w:val="2"/>
          <w:sz w:val="24"/>
          <w:szCs w:val="24"/>
          <w:highlight w:val="none"/>
          <w:lang w:val="zh-CN" w:eastAsia="zh-CN" w:bidi="ar-SA"/>
        </w:rPr>
        <w:t>（一）符合性审查</w:t>
      </w:r>
      <w:bookmarkEnd w:id="400"/>
    </w:p>
    <w:p w14:paraId="03A2BC3F">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评标委员会应当对</w:t>
      </w:r>
      <w:r>
        <w:rPr>
          <w:rFonts w:hint="eastAsia" w:ascii="宋体" w:hAnsi="宋体" w:eastAsia="宋体" w:cs="宋体"/>
          <w:color w:val="auto"/>
          <w:highlight w:val="none"/>
          <w:lang w:val="en-US" w:eastAsia="zh-CN"/>
        </w:rPr>
        <w:t>通过</w:t>
      </w:r>
      <w:r>
        <w:rPr>
          <w:rFonts w:hint="eastAsia" w:ascii="宋体" w:hAnsi="宋体" w:eastAsia="宋体" w:cs="宋体"/>
          <w:color w:val="auto"/>
          <w:highlight w:val="none"/>
        </w:rPr>
        <w:t>资格</w:t>
      </w:r>
      <w:r>
        <w:rPr>
          <w:rFonts w:hint="eastAsia" w:ascii="宋体" w:hAnsi="宋体" w:eastAsia="宋体" w:cs="宋体"/>
          <w:color w:val="auto"/>
          <w:highlight w:val="none"/>
          <w:lang w:val="en-US" w:eastAsia="zh-CN"/>
        </w:rPr>
        <w:t>审查</w:t>
      </w:r>
      <w:r>
        <w:rPr>
          <w:rFonts w:hint="eastAsia" w:ascii="宋体" w:hAnsi="宋体" w:eastAsia="宋体" w:cs="宋体"/>
          <w:color w:val="auto"/>
          <w:highlight w:val="none"/>
        </w:rPr>
        <w:t>的投标人的投标文件进行符合性审查，以确定其是否满足招标文件的实质性要求。投标人必须通过符合性审查的全部评审指标</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不满足招标文件的实质性要求的，投标无效。</w:t>
      </w:r>
      <w:r>
        <w:rPr>
          <w:rFonts w:hint="eastAsia" w:ascii="宋体" w:hAnsi="宋体" w:eastAsia="宋体" w:cs="宋体"/>
          <w:color w:val="auto"/>
          <w:highlight w:val="none"/>
          <w:lang w:val="en-US" w:eastAsia="zh-CN"/>
        </w:rPr>
        <w:t>具体内容详</w:t>
      </w:r>
      <w:r>
        <w:rPr>
          <w:rFonts w:hint="eastAsia" w:ascii="宋体" w:hAnsi="宋体" w:eastAsia="宋体" w:cs="宋体"/>
          <w:color w:val="auto"/>
          <w:highlight w:val="none"/>
          <w:lang w:val="zh-CN"/>
        </w:rPr>
        <w:t>本章“</w:t>
      </w:r>
      <w:r>
        <w:rPr>
          <w:rFonts w:hint="eastAsia" w:ascii="宋体" w:hAnsi="宋体" w:eastAsia="宋体" w:cs="宋体"/>
          <w:color w:val="auto"/>
          <w:highlight w:val="none"/>
          <w:lang w:val="en-US" w:eastAsia="zh-CN"/>
        </w:rPr>
        <w:t>四</w:t>
      </w:r>
      <w:r>
        <w:rPr>
          <w:rFonts w:hint="eastAsia" w:ascii="宋体" w:hAnsi="宋体" w:eastAsia="宋体" w:cs="宋体"/>
          <w:color w:val="auto"/>
          <w:highlight w:val="none"/>
          <w:lang w:val="zh-CN"/>
        </w:rPr>
        <w:t>、评标标准”中</w:t>
      </w:r>
      <w:r>
        <w:rPr>
          <w:rFonts w:hint="eastAsia" w:ascii="宋体" w:hAnsi="宋体" w:eastAsia="宋体" w:cs="宋体"/>
          <w:color w:val="auto"/>
          <w:highlight w:val="none"/>
          <w:lang w:val="en-US" w:eastAsia="zh-CN"/>
        </w:rPr>
        <w:t>的</w:t>
      </w:r>
      <w:r>
        <w:rPr>
          <w:rFonts w:hint="eastAsia" w:ascii="宋体" w:hAnsi="宋体" w:eastAsia="宋体" w:cs="宋体"/>
          <w:color w:val="auto"/>
          <w:highlight w:val="none"/>
          <w:lang w:val="zh-CN"/>
        </w:rPr>
        <w:t>“（一）符合性审查”。</w:t>
      </w:r>
    </w:p>
    <w:p w14:paraId="126AF9BD">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通过</w:t>
      </w:r>
      <w:r>
        <w:rPr>
          <w:rFonts w:hint="eastAsia" w:ascii="宋体" w:hAnsi="宋体" w:eastAsia="宋体" w:cs="宋体"/>
          <w:color w:val="auto"/>
          <w:highlight w:val="none"/>
        </w:rPr>
        <w:t>符合性审查</w:t>
      </w:r>
      <w:r>
        <w:rPr>
          <w:rFonts w:hint="eastAsia" w:ascii="宋体" w:hAnsi="宋体" w:eastAsia="宋体" w:cs="宋体"/>
          <w:color w:val="auto"/>
          <w:highlight w:val="none"/>
          <w:lang w:val="en-US" w:eastAsia="zh-CN"/>
        </w:rPr>
        <w:t>的</w:t>
      </w:r>
      <w:r>
        <w:rPr>
          <w:rFonts w:hint="eastAsia" w:ascii="宋体" w:hAnsi="宋体" w:eastAsia="宋体" w:cs="宋体"/>
          <w:color w:val="auto"/>
          <w:highlight w:val="none"/>
        </w:rPr>
        <w:t>有效</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不足3家的应当终止采购活动，发布项目终止公告并说明原因，重新开展采购活动。</w:t>
      </w:r>
    </w:p>
    <w:p w14:paraId="3F70286A">
      <w:pPr>
        <w:pStyle w:val="4"/>
        <w:keepNext w:val="0"/>
        <w:keepLines w:val="0"/>
        <w:pageBreakBefore w:val="0"/>
        <w:widowControl w:val="0"/>
        <w:numPr>
          <w:ilvl w:val="0"/>
          <w:numId w:val="0"/>
        </w:numPr>
        <w:kinsoku/>
        <w:wordWrap/>
        <w:overflowPunct/>
        <w:topLinePunct w:val="0"/>
        <w:autoSpaceDE/>
        <w:autoSpaceDN/>
        <w:bidi w:val="0"/>
        <w:adjustRightInd/>
        <w:snapToGrid/>
        <w:spacing w:before="6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01" w:name="_Toc28928"/>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二</w:t>
      </w:r>
      <w:r>
        <w:rPr>
          <w:rFonts w:hint="eastAsia" w:ascii="宋体" w:hAnsi="宋体" w:eastAsia="宋体" w:cs="宋体"/>
          <w:b/>
          <w:bCs/>
          <w:color w:val="auto"/>
          <w:kern w:val="2"/>
          <w:sz w:val="24"/>
          <w:szCs w:val="24"/>
          <w:highlight w:val="none"/>
          <w:lang w:val="zh-CN" w:eastAsia="zh-CN" w:bidi="ar-SA"/>
        </w:rPr>
        <w:t>）投标文件澄清及修正</w:t>
      </w:r>
      <w:bookmarkEnd w:id="401"/>
    </w:p>
    <w:p w14:paraId="7858B30A">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.评标期间，对于投标文件中含义不明确、同类问题表述不一致或者有明显文字和计算错误的内容需要投标人作出必要的澄清、说明或者补正的，评标委员会应当在</w:t>
      </w:r>
      <w:r>
        <w:rPr>
          <w:rFonts w:hint="eastAsia" w:ascii="宋体" w:hAnsi="宋体" w:eastAsia="宋体" w:cs="宋体"/>
          <w:color w:val="auto"/>
          <w:sz w:val="24"/>
          <w:szCs w:val="24"/>
          <w:highlight w:val="none"/>
          <w:lang w:val="en-US" w:eastAsia="zh-CN"/>
        </w:rPr>
        <w:t>政采云平台评标</w:t>
      </w:r>
      <w:r>
        <w:rPr>
          <w:rFonts w:hint="eastAsia" w:ascii="宋体" w:hAnsi="宋体" w:eastAsia="宋体" w:cs="宋体"/>
          <w:color w:val="auto"/>
          <w:sz w:val="24"/>
          <w:szCs w:val="24"/>
          <w:highlight w:val="none"/>
        </w:rPr>
        <w:t>系统中以书面形式要求投标人作出必要的澄清、说明或者补正。</w:t>
      </w:r>
    </w:p>
    <w:p w14:paraId="75913C29">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.投标人应按照评标委员会要求在规定时间内作出澄清、说明或者补正，澄清、说明或者补正不得超出投标文件的范围或者改变投标文件的实质性内容。</w:t>
      </w:r>
    </w:p>
    <w:p w14:paraId="38CF14AF">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.投标人的澄清、说明或者补正是其投标文件的有效组成部分，澄清、说明或者补正应当在</w:t>
      </w:r>
      <w:r>
        <w:rPr>
          <w:rFonts w:hint="eastAsia" w:ascii="宋体" w:hAnsi="宋体" w:eastAsia="宋体" w:cs="宋体"/>
          <w:color w:val="auto"/>
          <w:sz w:val="24"/>
          <w:szCs w:val="24"/>
          <w:highlight w:val="none"/>
          <w:lang w:val="en-US" w:eastAsia="zh-CN"/>
        </w:rPr>
        <w:t>政采云平台评标</w:t>
      </w:r>
      <w:r>
        <w:rPr>
          <w:rFonts w:hint="eastAsia" w:ascii="宋体" w:hAnsi="宋体" w:eastAsia="宋体" w:cs="宋体"/>
          <w:color w:val="auto"/>
          <w:sz w:val="24"/>
          <w:szCs w:val="24"/>
          <w:highlight w:val="none"/>
        </w:rPr>
        <w:t>系统中加盖电子印章后提交。</w:t>
      </w:r>
    </w:p>
    <w:p w14:paraId="41EDAF01">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.报价合理性说明：评标委员会认为投标人的报价明显低于其他通过符合性审查投标人的报价，有可能影响</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质量或者不能诚信履约的，</w:t>
      </w:r>
      <w:r>
        <w:rPr>
          <w:rFonts w:hint="eastAsia" w:ascii="宋体" w:hAnsi="宋体" w:eastAsia="宋体" w:cs="宋体"/>
          <w:color w:val="auto"/>
          <w:sz w:val="24"/>
          <w:szCs w:val="24"/>
          <w:highlight w:val="none"/>
          <w:lang w:val="en-US" w:eastAsia="zh-CN"/>
        </w:rPr>
        <w:t>应当</w:t>
      </w:r>
      <w:r>
        <w:rPr>
          <w:rFonts w:hint="eastAsia" w:ascii="宋体" w:hAnsi="宋体" w:eastAsia="宋体" w:cs="宋体"/>
          <w:color w:val="auto"/>
          <w:sz w:val="24"/>
          <w:szCs w:val="24"/>
          <w:highlight w:val="none"/>
        </w:rPr>
        <w:t>要求</w:t>
      </w:r>
      <w:r>
        <w:rPr>
          <w:rFonts w:hint="eastAsia" w:ascii="宋体" w:hAnsi="宋体" w:eastAsia="宋体" w:cs="宋体"/>
          <w:color w:val="auto"/>
          <w:sz w:val="24"/>
          <w:szCs w:val="24"/>
          <w:highlight w:val="none"/>
          <w:lang w:val="en-US" w:eastAsia="zh-CN"/>
        </w:rPr>
        <w:t>该投标人</w:t>
      </w:r>
      <w:r>
        <w:rPr>
          <w:rFonts w:hint="eastAsia" w:ascii="宋体" w:hAnsi="宋体" w:eastAsia="宋体" w:cs="宋体"/>
          <w:color w:val="auto"/>
          <w:sz w:val="24"/>
          <w:szCs w:val="24"/>
          <w:highlight w:val="none"/>
        </w:rPr>
        <w:t>在合理的时间内提供说明，必要时提交相关证明材料；</w:t>
      </w:r>
      <w:r>
        <w:rPr>
          <w:rFonts w:hint="eastAsia" w:ascii="宋体" w:hAnsi="宋体" w:eastAsia="宋体" w:cs="宋体"/>
          <w:color w:val="auto"/>
          <w:sz w:val="24"/>
          <w:szCs w:val="24"/>
          <w:highlight w:val="none"/>
          <w:lang w:val="en-US" w:eastAsia="zh-CN"/>
        </w:rPr>
        <w:t>若</w:t>
      </w:r>
      <w:r>
        <w:rPr>
          <w:rFonts w:hint="eastAsia" w:ascii="宋体" w:hAnsi="宋体" w:eastAsia="宋体" w:cs="宋体"/>
          <w:color w:val="auto"/>
          <w:sz w:val="24"/>
          <w:szCs w:val="24"/>
          <w:highlight w:val="none"/>
        </w:rPr>
        <w:t>投标人不能证明其报价合理性的，评标委员</w:t>
      </w:r>
      <w:r>
        <w:rPr>
          <w:rFonts w:hint="eastAsia" w:ascii="宋体" w:hAnsi="宋体" w:eastAsia="宋体" w:cs="宋体"/>
          <w:color w:val="auto"/>
          <w:sz w:val="24"/>
          <w:szCs w:val="24"/>
          <w:highlight w:val="none"/>
          <w:lang w:val="en-US" w:eastAsia="zh-CN"/>
        </w:rPr>
        <w:t>会应当</w:t>
      </w:r>
      <w:r>
        <w:rPr>
          <w:rFonts w:hint="eastAsia" w:ascii="宋体" w:hAnsi="宋体" w:eastAsia="宋体" w:cs="宋体"/>
          <w:color w:val="auto"/>
          <w:sz w:val="24"/>
          <w:szCs w:val="24"/>
          <w:highlight w:val="none"/>
        </w:rPr>
        <w:t>将其作</w:t>
      </w:r>
      <w:r>
        <w:rPr>
          <w:rFonts w:hint="eastAsia" w:ascii="宋体" w:hAnsi="宋体" w:eastAsia="宋体" w:cs="宋体"/>
          <w:b/>
          <w:bCs/>
          <w:color w:val="auto"/>
          <w:sz w:val="24"/>
          <w:szCs w:val="24"/>
          <w:highlight w:val="none"/>
        </w:rPr>
        <w:t>无效投标</w:t>
      </w:r>
      <w:r>
        <w:rPr>
          <w:rFonts w:hint="eastAsia" w:ascii="宋体" w:hAnsi="宋体" w:eastAsia="宋体" w:cs="宋体"/>
          <w:color w:val="auto"/>
          <w:sz w:val="24"/>
          <w:szCs w:val="24"/>
          <w:highlight w:val="none"/>
        </w:rPr>
        <w:t>处理。</w:t>
      </w:r>
    </w:p>
    <w:p w14:paraId="5F279C25">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ascii="宋体" w:hAnsi="宋体" w:eastAsia="宋体" w:cs="宋体"/>
          <w:b/>
          <w:bCs/>
          <w:color w:val="auto"/>
          <w:sz w:val="24"/>
          <w:szCs w:val="24"/>
          <w:highlight w:val="none"/>
          <w:lang w:val="en-US" w:eastAsia="zh-CN"/>
        </w:rPr>
        <w:t>投标无效</w:t>
      </w:r>
      <w:r>
        <w:rPr>
          <w:rFonts w:hint="eastAsia" w:ascii="宋体" w:hAnsi="宋体" w:eastAsia="宋体" w:cs="宋体"/>
          <w:color w:val="auto"/>
          <w:sz w:val="24"/>
          <w:szCs w:val="24"/>
          <w:highlight w:val="none"/>
          <w:lang w:val="en-US" w:eastAsia="zh-CN"/>
        </w:rPr>
        <w:t>。</w:t>
      </w:r>
    </w:p>
    <w:p w14:paraId="21DD265C">
      <w:pPr>
        <w:pStyle w:val="36"/>
        <w:keepNext w:val="0"/>
        <w:keepLines w:val="0"/>
        <w:pageBreakBefore w:val="0"/>
        <w:widowControl w:val="0"/>
        <w:kinsoku/>
        <w:wordWrap w:val="0"/>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8.投标文件报价出现前后不一致的，除招标文件另有规定外，按照下列规定修正：</w:t>
      </w:r>
    </w:p>
    <w:p w14:paraId="2E0E5415">
      <w:pPr>
        <w:pStyle w:val="36"/>
        <w:keepNext w:val="0"/>
        <w:keepLines w:val="0"/>
        <w:pageBreakBefore w:val="0"/>
        <w:widowControl w:val="0"/>
        <w:kinsoku/>
        <w:wordWrap w:val="0"/>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8.1投标文件中开标一览表（报价表）内容与投标文件中相应内容不一致的，以开标一览表（报价表）为准；</w:t>
      </w:r>
    </w:p>
    <w:p w14:paraId="5929C58E">
      <w:pPr>
        <w:pStyle w:val="36"/>
        <w:keepNext w:val="0"/>
        <w:keepLines w:val="0"/>
        <w:pageBreakBefore w:val="0"/>
        <w:widowControl w:val="0"/>
        <w:kinsoku/>
        <w:wordWrap w:val="0"/>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8.2大写金额和小写金额不一致的，以大写金额为准；</w:t>
      </w:r>
    </w:p>
    <w:p w14:paraId="362FEB3E">
      <w:pPr>
        <w:pStyle w:val="36"/>
        <w:keepNext w:val="0"/>
        <w:keepLines w:val="0"/>
        <w:pageBreakBefore w:val="0"/>
        <w:widowControl w:val="0"/>
        <w:kinsoku/>
        <w:wordWrap w:val="0"/>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8.3单价金额小数点或者百分比有明显错位的，以开标一览表的总价为准，并修改单价；</w:t>
      </w:r>
    </w:p>
    <w:p w14:paraId="238B7DD9">
      <w:pPr>
        <w:pStyle w:val="36"/>
        <w:keepNext w:val="0"/>
        <w:keepLines w:val="0"/>
        <w:pageBreakBefore w:val="0"/>
        <w:widowControl w:val="0"/>
        <w:kinsoku/>
        <w:wordWrap w:val="0"/>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8.4总价金额与按单价汇总金额不一致的，以单价金额计算结果为准。</w:t>
      </w:r>
    </w:p>
    <w:p w14:paraId="616043EE">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同时出现两种以上不一致的，按照8.1—8.4的顺序修正。修正后的报价采用书面形式，并加盖公章，或者由法定代表人或其授权的代表签字，经投标人确认后产生约束力，投标人不确认的，其</w:t>
      </w:r>
      <w:r>
        <w:rPr>
          <w:rFonts w:hint="eastAsia" w:ascii="宋体" w:hAnsi="宋体" w:eastAsia="宋体" w:cs="宋体"/>
          <w:b/>
          <w:bCs/>
          <w:color w:val="auto"/>
          <w:sz w:val="24"/>
          <w:szCs w:val="24"/>
          <w:highlight w:val="none"/>
          <w:lang w:val="en-US" w:eastAsia="zh-CN"/>
        </w:rPr>
        <w:t>投标无效</w:t>
      </w:r>
      <w:r>
        <w:rPr>
          <w:rFonts w:hint="eastAsia" w:ascii="宋体" w:hAnsi="宋体" w:eastAsia="宋体" w:cs="宋体"/>
          <w:color w:val="auto"/>
          <w:sz w:val="24"/>
          <w:szCs w:val="24"/>
          <w:highlight w:val="none"/>
          <w:lang w:val="en-US" w:eastAsia="zh-CN"/>
        </w:rPr>
        <w:t>。</w:t>
      </w:r>
    </w:p>
    <w:p w14:paraId="63D490A0">
      <w:pPr>
        <w:pStyle w:val="4"/>
        <w:keepNext w:val="0"/>
        <w:keepLines w:val="0"/>
        <w:pageBreakBefore w:val="0"/>
        <w:widowControl w:val="0"/>
        <w:numPr>
          <w:ilvl w:val="0"/>
          <w:numId w:val="0"/>
        </w:numPr>
        <w:kinsoku/>
        <w:wordWrap/>
        <w:overflowPunct/>
        <w:topLinePunct w:val="0"/>
        <w:autoSpaceDE/>
        <w:autoSpaceDN/>
        <w:bidi w:val="0"/>
        <w:adjustRightInd/>
        <w:snapToGrid/>
        <w:spacing w:before="6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02" w:name="_Toc6260"/>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三</w:t>
      </w:r>
      <w:r>
        <w:rPr>
          <w:rFonts w:hint="eastAsia" w:ascii="宋体" w:hAnsi="宋体" w:eastAsia="宋体" w:cs="宋体"/>
          <w:b/>
          <w:bCs/>
          <w:color w:val="auto"/>
          <w:kern w:val="2"/>
          <w:sz w:val="24"/>
          <w:szCs w:val="24"/>
          <w:highlight w:val="none"/>
          <w:lang w:val="zh-CN" w:eastAsia="zh-CN" w:bidi="ar-SA"/>
        </w:rPr>
        <w:t>）比较与评价</w:t>
      </w:r>
      <w:bookmarkEnd w:id="402"/>
    </w:p>
    <w:p w14:paraId="6C09A8D2">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评标委员会应当按照招标文件中规定的评标方法和标准，对符合性审查合格的投标文件进行商务和技术评</w:t>
      </w:r>
      <w:r>
        <w:rPr>
          <w:rFonts w:hint="eastAsia" w:ascii="宋体" w:hAnsi="宋体" w:eastAsia="宋体" w:cs="宋体"/>
          <w:color w:val="auto"/>
          <w:highlight w:val="none"/>
          <w:lang w:val="en-US" w:eastAsia="zh-CN"/>
        </w:rPr>
        <w:t>估</w:t>
      </w:r>
      <w:r>
        <w:rPr>
          <w:rFonts w:hint="eastAsia" w:ascii="宋体" w:hAnsi="宋体" w:eastAsia="宋体" w:cs="宋体"/>
          <w:color w:val="auto"/>
          <w:highlight w:val="none"/>
        </w:rPr>
        <w:t>，综合比较与评价</w:t>
      </w:r>
      <w:r>
        <w:rPr>
          <w:rFonts w:hint="eastAsia" w:ascii="宋体" w:hAnsi="宋体" w:eastAsia="宋体" w:cs="宋体"/>
          <w:color w:val="auto"/>
          <w:highlight w:val="none"/>
          <w:lang w:val="en-US" w:eastAsia="zh-CN"/>
        </w:rPr>
        <w:t>；未通过符合性审查的投标文件不得进入比较与评价</w:t>
      </w:r>
      <w:r>
        <w:rPr>
          <w:rFonts w:hint="eastAsia" w:ascii="宋体" w:hAnsi="宋体" w:eastAsia="宋体" w:cs="宋体"/>
          <w:color w:val="auto"/>
          <w:highlight w:val="none"/>
        </w:rPr>
        <w:t>。评审因素及标准见本章</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四、</w:t>
      </w:r>
      <w:r>
        <w:rPr>
          <w:rFonts w:hint="eastAsia" w:ascii="宋体" w:hAnsi="宋体" w:eastAsia="宋体" w:cs="宋体"/>
          <w:color w:val="auto"/>
          <w:highlight w:val="none"/>
        </w:rPr>
        <w:t>评</w:t>
      </w:r>
      <w:r>
        <w:rPr>
          <w:rFonts w:hint="eastAsia" w:ascii="宋体" w:hAnsi="宋体" w:eastAsia="宋体" w:cs="宋体"/>
          <w:color w:val="auto"/>
          <w:highlight w:val="none"/>
          <w:lang w:val="en-US" w:eastAsia="zh-CN"/>
        </w:rPr>
        <w:t>标</w:t>
      </w:r>
      <w:r>
        <w:rPr>
          <w:rFonts w:hint="eastAsia" w:ascii="宋体" w:hAnsi="宋体" w:eastAsia="宋体" w:cs="宋体"/>
          <w:color w:val="auto"/>
          <w:highlight w:val="none"/>
        </w:rPr>
        <w:t>标准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p>
    <w:p w14:paraId="4F2EB696">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.有效投标</w:t>
      </w:r>
      <w:r>
        <w:rPr>
          <w:rFonts w:hint="eastAsia" w:ascii="宋体" w:hAnsi="宋体" w:eastAsia="宋体" w:cs="宋体"/>
          <w:color w:val="auto"/>
          <w:highlight w:val="none"/>
          <w:lang w:val="en-US" w:eastAsia="zh-CN"/>
        </w:rPr>
        <w:t>人</w:t>
      </w:r>
      <w:r>
        <w:rPr>
          <w:rFonts w:hint="eastAsia" w:ascii="宋体" w:hAnsi="宋体" w:eastAsia="宋体" w:cs="宋体"/>
          <w:color w:val="auto"/>
          <w:highlight w:val="none"/>
        </w:rPr>
        <w:t>不足3家的应按</w:t>
      </w:r>
      <w:r>
        <w:rPr>
          <w:rFonts w:hint="eastAsia" w:ascii="宋体" w:hAnsi="宋体" w:eastAsia="宋体" w:cs="宋体"/>
          <w:b/>
          <w:bCs/>
          <w:color w:val="auto"/>
          <w:highlight w:val="none"/>
        </w:rPr>
        <w:t>废标</w:t>
      </w:r>
      <w:r>
        <w:rPr>
          <w:rFonts w:hint="eastAsia" w:ascii="宋体" w:hAnsi="宋体" w:eastAsia="宋体" w:cs="宋体"/>
          <w:color w:val="auto"/>
          <w:highlight w:val="none"/>
        </w:rPr>
        <w:t>处理。</w:t>
      </w:r>
    </w:p>
    <w:p w14:paraId="5E73AFBF">
      <w:pPr>
        <w:pStyle w:val="4"/>
        <w:keepNext w:val="0"/>
        <w:keepLines w:val="0"/>
        <w:pageBreakBefore w:val="0"/>
        <w:widowControl w:val="0"/>
        <w:numPr>
          <w:ilvl w:val="0"/>
          <w:numId w:val="0"/>
        </w:numPr>
        <w:kinsoku/>
        <w:wordWrap/>
        <w:overflowPunct/>
        <w:topLinePunct w:val="0"/>
        <w:autoSpaceDE/>
        <w:autoSpaceDN/>
        <w:bidi w:val="0"/>
        <w:adjustRightInd/>
        <w:snapToGrid/>
        <w:spacing w:before="6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03" w:name="_Toc14610"/>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四</w:t>
      </w:r>
      <w:r>
        <w:rPr>
          <w:rFonts w:hint="eastAsia" w:ascii="宋体" w:hAnsi="宋体" w:eastAsia="宋体" w:cs="宋体"/>
          <w:b/>
          <w:bCs/>
          <w:color w:val="auto"/>
          <w:kern w:val="2"/>
          <w:sz w:val="24"/>
          <w:szCs w:val="24"/>
          <w:highlight w:val="none"/>
          <w:lang w:val="zh-CN" w:eastAsia="zh-CN" w:bidi="ar-SA"/>
        </w:rPr>
        <w:t>）报价评审</w:t>
      </w:r>
      <w:bookmarkEnd w:id="403"/>
    </w:p>
    <w:p w14:paraId="41855191">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11.除了算术修正和落实政府采购政策需进行的价格扣除外，不能对投标人的投标价格进行任何调整。</w:t>
      </w:r>
    </w:p>
    <w:p w14:paraId="57455384">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12.政府采购政策评审</w:t>
      </w:r>
    </w:p>
    <w:p w14:paraId="624135C9">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12.1非专门面向中小企业的采购项目或采购包，对符合规定的小微企业（含监狱企业、残疾人福利性单位、联合体各方均为小微企业的联合体、符合小微企业划分标准的个体工商户视同小微企业）报价按照本招标文件“投标人须知前附表”中的规定扣除。</w:t>
      </w:r>
    </w:p>
    <w:p w14:paraId="534DB417">
      <w:pPr>
        <w:pStyle w:val="36"/>
        <w:pageBreakBefore w:val="0"/>
        <w:widowControl w:val="0"/>
        <w:numPr>
          <w:ilvl w:val="0"/>
          <w:numId w:val="0"/>
        </w:numPr>
        <w:kinsoku/>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12.</w:t>
      </w:r>
      <w:r>
        <w:rPr>
          <w:rFonts w:hint="eastAsia" w:ascii="宋体" w:hAnsi="宋体" w:eastAsia="宋体" w:cs="宋体"/>
          <w:color w:val="auto"/>
          <w:highlight w:val="none"/>
          <w:lang w:val="zh-CN" w:eastAsia="zh-CN"/>
        </w:rPr>
        <w:t>2</w:t>
      </w:r>
      <w:r>
        <w:rPr>
          <w:rFonts w:hint="eastAsia" w:ascii="宋体" w:hAnsi="宋体" w:eastAsia="宋体" w:cs="宋体"/>
          <w:color w:val="auto"/>
          <w:highlight w:val="none"/>
          <w:lang w:val="en-US" w:eastAsia="zh-CN"/>
        </w:rPr>
        <w:t>参加政府采购活动的小微企业</w:t>
      </w:r>
      <w:r>
        <w:rPr>
          <w:rFonts w:hint="eastAsia" w:ascii="宋体" w:hAnsi="宋体" w:eastAsia="宋体" w:cs="宋体"/>
          <w:color w:val="auto"/>
          <w:highlight w:val="none"/>
        </w:rPr>
        <w:t>（含节能环保、创新产品企业）</w:t>
      </w:r>
      <w:r>
        <w:rPr>
          <w:rFonts w:hint="eastAsia" w:ascii="宋体" w:hAnsi="宋体" w:eastAsia="宋体" w:cs="宋体"/>
          <w:color w:val="auto"/>
          <w:highlight w:val="none"/>
          <w:lang w:val="en-US" w:eastAsia="zh-CN"/>
        </w:rPr>
        <w:t>未提供“中小企业声明函”的；监狱企业未提供“监狱企业证明文件”的；残疾人福利性单位未提供“残疾人福利性单位声明函”的；不得享受相应的价格扣除优惠。组成联合体或者接受分包的小微企业与联合体内其他企业、分包企业之间存在直接控股、管理关系的，不得享受价格扣除优惠。若供应商同时属于小型或微型企业、监狱企业、残疾人福利性单位 中的两种及以上，将不重复享受小微企业价格扣减的优惠政策。</w:t>
      </w:r>
    </w:p>
    <w:p w14:paraId="4128CCD4">
      <w:pPr>
        <w:pStyle w:val="36"/>
        <w:pageBreakBefore w:val="0"/>
        <w:widowControl w:val="0"/>
        <w:numPr>
          <w:ilvl w:val="0"/>
          <w:numId w:val="0"/>
        </w:numPr>
        <w:shd w:val="clear" w:color="auto" w:fill="FFFFFF" w:themeFill="background1"/>
        <w:kinsoku/>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组成联合体或者接受分包的小微企业与联合体内其他企业、分包企业之间存在直接控股、管理关系的，不享受价格扣除优惠政策。</w:t>
      </w:r>
    </w:p>
    <w:p w14:paraId="59F0FCFF">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lang w:val="en-US" w:eastAsia="zh-CN"/>
        </w:rPr>
      </w:pPr>
      <w:r>
        <w:rPr>
          <w:rFonts w:hint="eastAsia" w:ascii="宋体" w:hAnsi="宋体" w:eastAsia="宋体" w:cs="宋体"/>
          <w:color w:val="auto"/>
          <w:kern w:val="2"/>
          <w:sz w:val="24"/>
          <w:szCs w:val="22"/>
          <w:highlight w:val="none"/>
          <w:lang w:val="en-US" w:eastAsia="zh-CN" w:bidi="ar-SA"/>
        </w:rPr>
        <w:t>价格扣除比例对小型企业和微型企业同等对待，不作区分。</w:t>
      </w:r>
    </w:p>
    <w:p w14:paraId="7CCF12DC">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12.</w:t>
      </w:r>
      <w:r>
        <w:rPr>
          <w:rFonts w:hint="eastAsia" w:ascii="宋体" w:hAnsi="宋体" w:eastAsia="宋体" w:cs="宋体"/>
          <w:color w:val="auto"/>
          <w:highlight w:val="none"/>
          <w:lang w:val="zh-CN" w:eastAsia="zh-CN"/>
        </w:rPr>
        <w:t>3</w:t>
      </w:r>
      <w:r>
        <w:rPr>
          <w:rFonts w:hint="eastAsia" w:ascii="宋体" w:hAnsi="宋体" w:eastAsia="宋体" w:cs="宋体"/>
          <w:color w:val="auto"/>
          <w:highlight w:val="none"/>
          <w:lang w:val="en-US" w:eastAsia="zh-CN"/>
        </w:rPr>
        <w:t>专门面向中小企业、预留部分采购份额面向中小企业采购的项目或采购包，评审时不再进行价格扣除。</w:t>
      </w:r>
    </w:p>
    <w:p w14:paraId="26DE1DF8">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12.4对于未预留份额专门面向中小企业的政府采购项目，以及预留份额政府采购项目中的非预留部分标项，对小型和微型企业的投标报价给予10%-20%的扣除，用扣除后的价格参与评审。接受大中型企业与小微企业组成联合体或者允许大中型企业向一家或者多家小微企业分包的政府采购项目，对于联合体协议书或者分包意向协议书约定小微企业的合同份额占到合同总金额30%以上的，对联合体或者大中型企业的报价给予4%-6%的扣除，用扣除后的价格参加评审。组成联合体或者接受分包的小微企业与联合体内其他企业、分包企业之间存在直接控股、管理关系的，不享受价格扣除优惠政策。</w:t>
      </w:r>
    </w:p>
    <w:p w14:paraId="2B42C346">
      <w:pPr>
        <w:pStyle w:val="4"/>
        <w:keepNext w:val="0"/>
        <w:keepLines w:val="0"/>
        <w:pageBreakBefore w:val="0"/>
        <w:widowControl w:val="0"/>
        <w:numPr>
          <w:ilvl w:val="0"/>
          <w:numId w:val="0"/>
        </w:numPr>
        <w:kinsoku/>
        <w:wordWrap/>
        <w:overflowPunct/>
        <w:topLinePunct w:val="0"/>
        <w:autoSpaceDE/>
        <w:autoSpaceDN/>
        <w:bidi w:val="0"/>
        <w:adjustRightInd/>
        <w:snapToGrid/>
        <w:spacing w:before="6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04" w:name="_Toc25976"/>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五</w:t>
      </w:r>
      <w:r>
        <w:rPr>
          <w:rFonts w:hint="eastAsia" w:ascii="宋体" w:hAnsi="宋体" w:eastAsia="宋体" w:cs="宋体"/>
          <w:b/>
          <w:bCs/>
          <w:color w:val="auto"/>
          <w:kern w:val="2"/>
          <w:sz w:val="24"/>
          <w:szCs w:val="24"/>
          <w:highlight w:val="none"/>
          <w:lang w:val="zh-CN" w:eastAsia="zh-CN" w:bidi="ar-SA"/>
        </w:rPr>
        <w:t>）排序与推荐</w:t>
      </w:r>
      <w:bookmarkEnd w:id="404"/>
    </w:p>
    <w:p w14:paraId="1DA95AA2">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13.评标结果按投标报价（因落实政府采购政策进行价格扣除的，以扣除后的价格计算）由低到高顺序排列。投标报价相同的按技术指标优劣顺序排列。投标文件满足招标文件全部实质性要求且投标报价最低的投标人为排名第一的中标候选人。</w:t>
      </w:r>
    </w:p>
    <w:p w14:paraId="76525C60">
      <w:pPr>
        <w:pStyle w:val="36"/>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13.1除资格性检查认定错误、分值汇总计算错误、分项评分超出评分标准范围、客观分评分不一致、经评标委员会一致认定评分畸高、畸低的情形外，采购人或者采购代理机构不得以任何理由组织重新评审。采购人、采购代理机构发现评标委员会未按照招标文件规定的评审标准进行评审的，应当重新开展采购活动，并同时书面报告本级财政部门。</w:t>
      </w:r>
    </w:p>
    <w:p w14:paraId="1B03C32B">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13.2采购人或者采购代理机构不得通过对样品进行检测、对投标人进行考察等方式改变评审结果。</w:t>
      </w:r>
    </w:p>
    <w:p w14:paraId="3D6E89DC">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14.中标候选人推荐家数详见“投标人须知前附表”。</w:t>
      </w:r>
    </w:p>
    <w:p w14:paraId="63B6DEEF">
      <w:pPr>
        <w:pStyle w:val="4"/>
        <w:keepNext w:val="0"/>
        <w:keepLines w:val="0"/>
        <w:pageBreakBefore w:val="0"/>
        <w:widowControl w:val="0"/>
        <w:numPr>
          <w:ilvl w:val="0"/>
          <w:numId w:val="0"/>
        </w:numPr>
        <w:kinsoku/>
        <w:wordWrap/>
        <w:overflowPunct/>
        <w:topLinePunct w:val="0"/>
        <w:autoSpaceDE/>
        <w:autoSpaceDN/>
        <w:bidi w:val="0"/>
        <w:adjustRightInd/>
        <w:snapToGrid/>
        <w:spacing w:before="6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05" w:name="_Toc31736"/>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六</w:t>
      </w:r>
      <w:r>
        <w:rPr>
          <w:rFonts w:hint="eastAsia" w:ascii="宋体" w:hAnsi="宋体" w:eastAsia="宋体" w:cs="宋体"/>
          <w:b/>
          <w:bCs/>
          <w:color w:val="auto"/>
          <w:kern w:val="2"/>
          <w:sz w:val="24"/>
          <w:szCs w:val="24"/>
          <w:highlight w:val="none"/>
          <w:lang w:val="zh-CN" w:eastAsia="zh-CN" w:bidi="ar-SA"/>
        </w:rPr>
        <w:t>）编写评标报告</w:t>
      </w:r>
      <w:bookmarkEnd w:id="405"/>
    </w:p>
    <w:p w14:paraId="7DE77D85">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15.</w:t>
      </w:r>
      <w:r>
        <w:rPr>
          <w:rFonts w:hint="eastAsia" w:ascii="宋体" w:hAnsi="宋体" w:eastAsia="宋体" w:cs="宋体"/>
          <w:color w:val="auto"/>
          <w:highlight w:val="none"/>
        </w:rPr>
        <w:t>评标委员会根据全体评标成员签字的原始评标记录和评标结果编写评标报告。评标委员会应当在评标报告上签名，对自己的评审意见承担法律责任。评标委员会成员对需要共同认定的事项存在争议的，应当按照少数服从多数的原则作出结论。持不同意见的评标委员会成员应当在评标报告上签署不同意见，并说明理由，否则视为同意评标报告。</w:t>
      </w:r>
    </w:p>
    <w:p w14:paraId="4A998B75">
      <w:pPr>
        <w:pStyle w:val="4"/>
        <w:keepNext w:val="0"/>
        <w:keepLines w:val="0"/>
        <w:pageBreakBefore w:val="0"/>
        <w:widowControl w:val="0"/>
        <w:numPr>
          <w:ilvl w:val="0"/>
          <w:numId w:val="0"/>
        </w:numPr>
        <w:kinsoku/>
        <w:wordWrap/>
        <w:overflowPunct/>
        <w:topLinePunct w:val="0"/>
        <w:autoSpaceDE/>
        <w:autoSpaceDN/>
        <w:bidi w:val="0"/>
        <w:adjustRightInd/>
        <w:snapToGrid/>
        <w:spacing w:before="6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06" w:name="_Toc21007"/>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七</w:t>
      </w:r>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投标无效及</w:t>
      </w:r>
      <w:r>
        <w:rPr>
          <w:rFonts w:hint="eastAsia" w:ascii="宋体" w:hAnsi="宋体" w:eastAsia="宋体" w:cs="宋体"/>
          <w:b/>
          <w:bCs/>
          <w:color w:val="auto"/>
          <w:kern w:val="2"/>
          <w:sz w:val="24"/>
          <w:szCs w:val="24"/>
          <w:highlight w:val="none"/>
          <w:lang w:val="zh-CN" w:eastAsia="zh-CN" w:bidi="ar-SA"/>
        </w:rPr>
        <w:t>应予废标的情形</w:t>
      </w:r>
      <w:bookmarkEnd w:id="406"/>
    </w:p>
    <w:p w14:paraId="5B954507">
      <w:pPr>
        <w:pStyle w:val="36"/>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16.投标人存在下列情形之一的，</w:t>
      </w:r>
      <w:r>
        <w:rPr>
          <w:rFonts w:hint="eastAsia" w:ascii="宋体" w:hAnsi="宋体" w:eastAsia="宋体" w:cs="宋体"/>
          <w:b/>
          <w:bCs/>
          <w:color w:val="auto"/>
          <w:highlight w:val="none"/>
          <w:lang w:val="en-US" w:eastAsia="zh-CN"/>
        </w:rPr>
        <w:t>投标无效</w:t>
      </w:r>
      <w:r>
        <w:rPr>
          <w:rFonts w:hint="eastAsia" w:ascii="宋体" w:hAnsi="宋体" w:eastAsia="宋体" w:cs="宋体"/>
          <w:color w:val="auto"/>
          <w:highlight w:val="none"/>
          <w:lang w:val="en-US" w:eastAsia="zh-CN"/>
        </w:rPr>
        <w:t>：</w:t>
      </w:r>
    </w:p>
    <w:p w14:paraId="5998E9BE">
      <w:pPr>
        <w:pStyle w:val="36"/>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16.</w:t>
      </w:r>
      <w:r>
        <w:rPr>
          <w:rFonts w:hint="eastAsia" w:ascii="宋体" w:hAnsi="宋体" w:eastAsia="宋体" w:cs="宋体"/>
          <w:color w:val="auto"/>
          <w:highlight w:val="none"/>
          <w:lang w:val="zh-CN" w:eastAsia="zh-CN"/>
        </w:rPr>
        <w:t>1</w:t>
      </w:r>
      <w:r>
        <w:rPr>
          <w:rFonts w:hint="eastAsia" w:ascii="宋体" w:hAnsi="宋体" w:eastAsia="宋体" w:cs="宋体"/>
          <w:color w:val="auto"/>
          <w:highlight w:val="none"/>
          <w:lang w:val="en-US" w:eastAsia="zh-CN"/>
        </w:rPr>
        <w:t>投标人</w:t>
      </w:r>
      <w:r>
        <w:rPr>
          <w:rFonts w:hint="eastAsia" w:ascii="宋体" w:hAnsi="宋体" w:eastAsia="宋体" w:cs="宋体"/>
          <w:color w:val="auto"/>
          <w:highlight w:val="none"/>
          <w:lang w:val="zh-CN" w:eastAsia="zh-CN"/>
        </w:rPr>
        <w:t>不具备《中华人民共和国政府采购法》第二十二条规定条件</w:t>
      </w:r>
      <w:r>
        <w:rPr>
          <w:rFonts w:hint="eastAsia" w:ascii="宋体" w:hAnsi="宋体" w:eastAsia="宋体" w:cs="宋体"/>
          <w:color w:val="auto"/>
          <w:highlight w:val="none"/>
          <w:lang w:val="en-US" w:eastAsia="zh-CN"/>
        </w:rPr>
        <w:t>；</w:t>
      </w:r>
    </w:p>
    <w:p w14:paraId="4857692F">
      <w:pPr>
        <w:pStyle w:val="36"/>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16.</w:t>
      </w:r>
      <w:r>
        <w:rPr>
          <w:rFonts w:hint="eastAsia" w:ascii="宋体" w:hAnsi="宋体" w:eastAsia="宋体" w:cs="宋体"/>
          <w:color w:val="auto"/>
          <w:highlight w:val="none"/>
          <w:lang w:val="zh-CN" w:eastAsia="zh-CN"/>
        </w:rPr>
        <w:t>2</w:t>
      </w:r>
      <w:r>
        <w:rPr>
          <w:rFonts w:hint="eastAsia" w:ascii="宋体" w:hAnsi="宋体" w:eastAsia="宋体" w:cs="宋体"/>
          <w:color w:val="auto"/>
          <w:highlight w:val="none"/>
        </w:rPr>
        <w:t>投标文件未按招标文件要求签署、盖章的</w:t>
      </w:r>
      <w:r>
        <w:rPr>
          <w:rFonts w:hint="eastAsia" w:ascii="宋体" w:hAnsi="宋体" w:eastAsia="宋体" w:cs="宋体"/>
          <w:color w:val="auto"/>
          <w:highlight w:val="none"/>
          <w:lang w:val="en-US" w:eastAsia="zh-CN"/>
        </w:rPr>
        <w:t>；</w:t>
      </w:r>
    </w:p>
    <w:p w14:paraId="07962016">
      <w:pPr>
        <w:pStyle w:val="36"/>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16.</w:t>
      </w:r>
      <w:r>
        <w:rPr>
          <w:rFonts w:hint="eastAsia" w:ascii="宋体" w:hAnsi="宋体" w:eastAsia="宋体" w:cs="宋体"/>
          <w:color w:val="auto"/>
          <w:highlight w:val="none"/>
          <w:lang w:val="zh-CN" w:eastAsia="zh-CN"/>
        </w:rPr>
        <w:t>3</w:t>
      </w:r>
      <w:r>
        <w:rPr>
          <w:rFonts w:hint="eastAsia" w:ascii="宋体" w:hAnsi="宋体" w:eastAsia="宋体" w:cs="宋体"/>
          <w:color w:val="auto"/>
          <w:highlight w:val="none"/>
          <w:lang w:val="en-US" w:eastAsia="zh-CN"/>
        </w:rPr>
        <w:t>不具备招标文件中规定的资格要求的（投标人未提供有效资格文件的，视为投标人不具备招标文件中规定的资格要求）；</w:t>
      </w:r>
    </w:p>
    <w:p w14:paraId="17D7EE31">
      <w:pPr>
        <w:pStyle w:val="36"/>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16.</w:t>
      </w:r>
      <w:r>
        <w:rPr>
          <w:rFonts w:hint="eastAsia" w:ascii="宋体" w:hAnsi="宋体" w:eastAsia="宋体" w:cs="宋体"/>
          <w:color w:val="auto"/>
          <w:highlight w:val="none"/>
          <w:lang w:val="zh-CN" w:eastAsia="zh-CN"/>
        </w:rPr>
        <w:t>4</w:t>
      </w:r>
      <w:r>
        <w:rPr>
          <w:rFonts w:hint="eastAsia" w:ascii="宋体" w:hAnsi="宋体" w:eastAsia="宋体" w:cs="宋体"/>
          <w:color w:val="auto"/>
          <w:highlight w:val="none"/>
          <w:lang w:val="en-US" w:eastAsia="zh-CN"/>
        </w:rPr>
        <w:t>投标</w:t>
      </w:r>
      <w:r>
        <w:rPr>
          <w:rFonts w:hint="eastAsia" w:ascii="宋体" w:hAnsi="宋体" w:eastAsia="宋体" w:cs="宋体"/>
          <w:color w:val="auto"/>
          <w:highlight w:val="none"/>
          <w:lang w:val="zh-CN" w:eastAsia="zh-CN"/>
        </w:rPr>
        <w:t>文件提供虚假材料的</w:t>
      </w:r>
      <w:r>
        <w:rPr>
          <w:rFonts w:hint="eastAsia" w:ascii="宋体" w:hAnsi="宋体" w:eastAsia="宋体" w:cs="宋体"/>
          <w:color w:val="auto"/>
          <w:highlight w:val="none"/>
          <w:lang w:val="en-US" w:eastAsia="zh-CN"/>
        </w:rPr>
        <w:t>；</w:t>
      </w:r>
    </w:p>
    <w:p w14:paraId="25E98E6E">
      <w:pPr>
        <w:pStyle w:val="36"/>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16.</w:t>
      </w:r>
      <w:r>
        <w:rPr>
          <w:rFonts w:hint="eastAsia" w:ascii="宋体" w:hAnsi="宋体" w:eastAsia="宋体" w:cs="宋体"/>
          <w:color w:val="auto"/>
          <w:highlight w:val="none"/>
          <w:lang w:val="zh-CN" w:eastAsia="zh-CN"/>
        </w:rPr>
        <w:t>5</w:t>
      </w:r>
      <w:r>
        <w:rPr>
          <w:rFonts w:hint="eastAsia" w:ascii="宋体" w:hAnsi="宋体" w:eastAsia="宋体" w:cs="宋体"/>
          <w:color w:val="auto"/>
          <w:highlight w:val="none"/>
          <w:lang w:val="en-US" w:eastAsia="zh-CN"/>
        </w:rPr>
        <w:t>投标</w:t>
      </w:r>
      <w:r>
        <w:rPr>
          <w:rFonts w:hint="eastAsia" w:ascii="宋体" w:hAnsi="宋体" w:eastAsia="宋体" w:cs="宋体"/>
          <w:color w:val="auto"/>
          <w:highlight w:val="none"/>
          <w:lang w:val="zh-CN" w:eastAsia="zh-CN"/>
        </w:rPr>
        <w:t>文件不满足</w:t>
      </w:r>
      <w:r>
        <w:rPr>
          <w:rFonts w:hint="eastAsia" w:ascii="宋体" w:hAnsi="宋体" w:eastAsia="宋体" w:cs="宋体"/>
          <w:color w:val="auto"/>
          <w:highlight w:val="none"/>
          <w:lang w:val="en-US" w:eastAsia="zh-CN"/>
        </w:rPr>
        <w:t>招标</w:t>
      </w:r>
      <w:r>
        <w:rPr>
          <w:rFonts w:hint="eastAsia" w:ascii="宋体" w:hAnsi="宋体" w:eastAsia="宋体" w:cs="宋体"/>
          <w:color w:val="auto"/>
          <w:highlight w:val="none"/>
          <w:lang w:val="zh-CN" w:eastAsia="zh-CN"/>
        </w:rPr>
        <w:t>文件中标注“★”号的实质性条款（或指标）要求的</w:t>
      </w:r>
      <w:r>
        <w:rPr>
          <w:rFonts w:hint="eastAsia" w:ascii="宋体" w:hAnsi="宋体" w:eastAsia="宋体" w:cs="宋体"/>
          <w:color w:val="auto"/>
          <w:highlight w:val="none"/>
          <w:lang w:val="en-US" w:eastAsia="zh-CN"/>
        </w:rPr>
        <w:t>；</w:t>
      </w:r>
    </w:p>
    <w:p w14:paraId="60ED9AFA">
      <w:pPr>
        <w:pStyle w:val="36"/>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16.</w:t>
      </w:r>
      <w:r>
        <w:rPr>
          <w:rFonts w:hint="eastAsia" w:ascii="宋体" w:hAnsi="宋体" w:eastAsia="宋体" w:cs="宋体"/>
          <w:color w:val="auto"/>
          <w:highlight w:val="none"/>
          <w:lang w:val="zh-CN" w:eastAsia="zh-CN"/>
        </w:rPr>
        <w:t>6</w:t>
      </w:r>
      <w:r>
        <w:rPr>
          <w:rFonts w:hint="eastAsia" w:ascii="宋体" w:hAnsi="宋体" w:eastAsia="宋体" w:cs="宋体"/>
          <w:color w:val="auto"/>
          <w:highlight w:val="none"/>
          <w:lang w:val="en-US" w:eastAsia="zh-CN"/>
        </w:rPr>
        <w:t>投标人</w:t>
      </w:r>
      <w:r>
        <w:rPr>
          <w:rFonts w:hint="eastAsia" w:ascii="宋体" w:hAnsi="宋体" w:eastAsia="宋体" w:cs="宋体"/>
          <w:color w:val="auto"/>
          <w:highlight w:val="none"/>
          <w:lang w:val="zh-CN" w:eastAsia="zh-CN"/>
        </w:rPr>
        <w:t>报价超过招标文件中规定的最高限价或者预算金额的</w:t>
      </w:r>
      <w:r>
        <w:rPr>
          <w:rFonts w:hint="eastAsia" w:ascii="宋体" w:hAnsi="宋体" w:eastAsia="宋体" w:cs="宋体"/>
          <w:color w:val="auto"/>
          <w:highlight w:val="none"/>
          <w:lang w:val="en-US" w:eastAsia="zh-CN"/>
        </w:rPr>
        <w:t>；</w:t>
      </w:r>
    </w:p>
    <w:p w14:paraId="208962F8">
      <w:pPr>
        <w:pStyle w:val="36"/>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16.</w:t>
      </w:r>
      <w:r>
        <w:rPr>
          <w:rFonts w:hint="eastAsia" w:ascii="宋体" w:hAnsi="宋体" w:eastAsia="宋体" w:cs="宋体"/>
          <w:color w:val="auto"/>
          <w:highlight w:val="none"/>
          <w:lang w:val="zh-CN" w:eastAsia="zh-CN"/>
        </w:rPr>
        <w:t>7联合体的供应商未提交各方共同签署的</w:t>
      </w:r>
      <w:r>
        <w:rPr>
          <w:rFonts w:hint="eastAsia" w:ascii="宋体" w:hAnsi="宋体" w:eastAsia="宋体" w:cs="宋体"/>
          <w:color w:val="auto"/>
          <w:highlight w:val="none"/>
          <w:lang w:val="en-US" w:eastAsia="zh-CN"/>
        </w:rPr>
        <w:t>联合体</w:t>
      </w:r>
      <w:r>
        <w:rPr>
          <w:rFonts w:hint="eastAsia" w:ascii="宋体" w:hAnsi="宋体" w:eastAsia="宋体" w:cs="宋体"/>
          <w:color w:val="auto"/>
          <w:highlight w:val="none"/>
          <w:lang w:val="zh-CN" w:eastAsia="zh-CN"/>
        </w:rPr>
        <w:t>协议</w:t>
      </w:r>
      <w:r>
        <w:rPr>
          <w:rFonts w:hint="eastAsia" w:ascii="宋体" w:hAnsi="宋体" w:eastAsia="宋体" w:cs="宋体"/>
          <w:color w:val="auto"/>
          <w:highlight w:val="none"/>
          <w:lang w:val="en-US" w:eastAsia="zh-CN"/>
        </w:rPr>
        <w:t>的；</w:t>
      </w:r>
    </w:p>
    <w:p w14:paraId="488CE5A5">
      <w:pPr>
        <w:pStyle w:val="36"/>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16.</w:t>
      </w:r>
      <w:r>
        <w:rPr>
          <w:rFonts w:hint="eastAsia" w:ascii="宋体" w:hAnsi="宋体" w:eastAsia="宋体" w:cs="宋体"/>
          <w:color w:val="auto"/>
          <w:highlight w:val="none"/>
          <w:lang w:val="zh-CN" w:eastAsia="zh-CN"/>
        </w:rPr>
        <w:t>8</w:t>
      </w:r>
      <w:r>
        <w:rPr>
          <w:rFonts w:hint="eastAsia" w:ascii="宋体" w:hAnsi="宋体" w:eastAsia="宋体" w:cs="宋体"/>
          <w:color w:val="auto"/>
          <w:highlight w:val="none"/>
          <w:lang w:val="en-US" w:eastAsia="zh-CN"/>
        </w:rPr>
        <w:t>投标人</w:t>
      </w:r>
      <w:r>
        <w:rPr>
          <w:rFonts w:hint="eastAsia" w:ascii="宋体" w:hAnsi="宋体" w:eastAsia="宋体" w:cs="宋体"/>
          <w:color w:val="auto"/>
          <w:highlight w:val="none"/>
          <w:lang w:val="zh-CN" w:eastAsia="zh-CN"/>
        </w:rPr>
        <w:t>未按</w:t>
      </w:r>
      <w:r>
        <w:rPr>
          <w:rFonts w:hint="eastAsia" w:ascii="宋体" w:hAnsi="宋体" w:eastAsia="宋体" w:cs="宋体"/>
          <w:color w:val="auto"/>
          <w:highlight w:val="none"/>
          <w:lang w:val="en-US" w:eastAsia="zh-CN"/>
        </w:rPr>
        <w:t>招标</w:t>
      </w:r>
      <w:r>
        <w:rPr>
          <w:rFonts w:hint="eastAsia" w:ascii="宋体" w:hAnsi="宋体" w:eastAsia="宋体" w:cs="宋体"/>
          <w:color w:val="auto"/>
          <w:highlight w:val="none"/>
          <w:lang w:val="zh-CN" w:eastAsia="zh-CN"/>
        </w:rPr>
        <w:t>文件</w:t>
      </w:r>
      <w:r>
        <w:rPr>
          <w:rFonts w:hint="eastAsia" w:ascii="宋体" w:hAnsi="宋体" w:eastAsia="宋体" w:cs="宋体"/>
          <w:color w:val="auto"/>
          <w:highlight w:val="none"/>
          <w:lang w:val="en-US" w:eastAsia="zh-CN"/>
        </w:rPr>
        <w:t>的规定</w:t>
      </w:r>
      <w:r>
        <w:rPr>
          <w:rFonts w:hint="eastAsia" w:ascii="宋体" w:hAnsi="宋体" w:eastAsia="宋体" w:cs="宋体"/>
          <w:color w:val="auto"/>
          <w:highlight w:val="none"/>
          <w:lang w:val="zh-CN" w:eastAsia="zh-CN"/>
        </w:rPr>
        <w:t>交纳投标保证金</w:t>
      </w:r>
      <w:r>
        <w:rPr>
          <w:rFonts w:hint="eastAsia" w:ascii="宋体" w:hAnsi="宋体" w:eastAsia="宋体" w:cs="宋体"/>
          <w:color w:val="auto"/>
          <w:highlight w:val="none"/>
          <w:lang w:val="en-US" w:eastAsia="zh-CN"/>
        </w:rPr>
        <w:t>的；</w:t>
      </w:r>
    </w:p>
    <w:p w14:paraId="1CD1EF40">
      <w:pPr>
        <w:pStyle w:val="36"/>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16.</w:t>
      </w:r>
      <w:r>
        <w:rPr>
          <w:rFonts w:hint="eastAsia" w:ascii="宋体" w:hAnsi="宋体" w:eastAsia="宋体" w:cs="宋体"/>
          <w:color w:val="auto"/>
          <w:highlight w:val="none"/>
          <w:lang w:val="zh-CN" w:eastAsia="zh-CN"/>
        </w:rPr>
        <w:t>9评审期间,</w:t>
      </w:r>
      <w:r>
        <w:rPr>
          <w:rFonts w:hint="eastAsia" w:ascii="宋体" w:hAnsi="宋体" w:eastAsia="宋体" w:cs="宋体"/>
          <w:color w:val="auto"/>
          <w:highlight w:val="none"/>
          <w:lang w:val="en-US" w:eastAsia="zh-CN"/>
        </w:rPr>
        <w:t>投标人</w:t>
      </w:r>
      <w:r>
        <w:rPr>
          <w:rFonts w:hint="eastAsia" w:ascii="宋体" w:hAnsi="宋体" w:eastAsia="宋体" w:cs="宋体"/>
          <w:color w:val="auto"/>
          <w:highlight w:val="none"/>
          <w:lang w:val="zh-CN" w:eastAsia="zh-CN"/>
        </w:rPr>
        <w:t>没有按评标委员会的要求提交经授权代表签字的澄清、说明、补正或改变了</w:t>
      </w:r>
      <w:r>
        <w:rPr>
          <w:rFonts w:hint="eastAsia" w:ascii="宋体" w:hAnsi="宋体" w:eastAsia="宋体" w:cs="宋体"/>
          <w:color w:val="auto"/>
          <w:highlight w:val="none"/>
          <w:lang w:val="en-US" w:eastAsia="zh-CN"/>
        </w:rPr>
        <w:t>投标</w:t>
      </w:r>
      <w:r>
        <w:rPr>
          <w:rFonts w:hint="eastAsia" w:ascii="宋体" w:hAnsi="宋体" w:eastAsia="宋体" w:cs="宋体"/>
          <w:color w:val="auto"/>
          <w:highlight w:val="none"/>
          <w:lang w:val="zh-CN" w:eastAsia="zh-CN"/>
        </w:rPr>
        <w:t>文件的实质性内容</w:t>
      </w:r>
      <w:r>
        <w:rPr>
          <w:rFonts w:hint="eastAsia" w:ascii="宋体" w:hAnsi="宋体" w:eastAsia="宋体" w:cs="宋体"/>
          <w:color w:val="auto"/>
          <w:highlight w:val="none"/>
          <w:lang w:val="en-US" w:eastAsia="zh-CN"/>
        </w:rPr>
        <w:t>的；</w:t>
      </w:r>
    </w:p>
    <w:p w14:paraId="54485614">
      <w:pPr>
        <w:pStyle w:val="36"/>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16.</w:t>
      </w:r>
      <w:r>
        <w:rPr>
          <w:rFonts w:hint="eastAsia" w:ascii="宋体" w:hAnsi="宋体" w:eastAsia="宋体" w:cs="宋体"/>
          <w:color w:val="auto"/>
          <w:highlight w:val="none"/>
          <w:lang w:val="zh-CN" w:eastAsia="zh-CN"/>
        </w:rPr>
        <w:t>10</w:t>
      </w:r>
      <w:r>
        <w:rPr>
          <w:rFonts w:hint="eastAsia" w:ascii="宋体" w:hAnsi="宋体" w:eastAsia="宋体" w:cs="宋体"/>
          <w:color w:val="auto"/>
          <w:highlight w:val="none"/>
          <w:lang w:val="en-US" w:eastAsia="zh-CN"/>
        </w:rPr>
        <w:t>投标人</w:t>
      </w:r>
      <w:r>
        <w:rPr>
          <w:rFonts w:hint="eastAsia" w:ascii="宋体" w:hAnsi="宋体" w:eastAsia="宋体" w:cs="宋体"/>
          <w:color w:val="auto"/>
          <w:highlight w:val="none"/>
          <w:lang w:val="zh-CN" w:eastAsia="zh-CN"/>
        </w:rPr>
        <w:t>对采购人、采购代理机构、评标委员会及其工作人员施加影响,有碍公平、公正</w:t>
      </w:r>
      <w:r>
        <w:rPr>
          <w:rFonts w:hint="eastAsia" w:ascii="宋体" w:hAnsi="宋体" w:eastAsia="宋体" w:cs="宋体"/>
          <w:color w:val="auto"/>
          <w:highlight w:val="none"/>
          <w:lang w:val="en-US" w:eastAsia="zh-CN"/>
        </w:rPr>
        <w:t>的；</w:t>
      </w:r>
    </w:p>
    <w:p w14:paraId="76E142FA">
      <w:pPr>
        <w:pStyle w:val="36"/>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16.11投标文件含有采购人不能接受的附加条件的；</w:t>
      </w:r>
    </w:p>
    <w:p w14:paraId="1E730C10">
      <w:pPr>
        <w:pStyle w:val="36"/>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16.</w:t>
      </w:r>
      <w:r>
        <w:rPr>
          <w:rFonts w:hint="eastAsia" w:ascii="宋体" w:hAnsi="宋体" w:eastAsia="宋体" w:cs="宋体"/>
          <w:color w:val="auto"/>
          <w:highlight w:val="none"/>
          <w:lang w:val="zh-CN" w:eastAsia="zh-CN"/>
        </w:rPr>
        <w:t>1</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val="zh-CN" w:eastAsia="zh-CN"/>
        </w:rPr>
        <w:t>法律、法规、规章规定属于</w:t>
      </w:r>
      <w:r>
        <w:rPr>
          <w:rFonts w:hint="eastAsia" w:ascii="宋体" w:hAnsi="宋体" w:eastAsia="宋体" w:cs="宋体"/>
          <w:color w:val="auto"/>
          <w:highlight w:val="none"/>
          <w:lang w:val="en-US" w:eastAsia="zh-CN"/>
        </w:rPr>
        <w:t>投标</w:t>
      </w:r>
      <w:r>
        <w:rPr>
          <w:rFonts w:hint="eastAsia" w:ascii="宋体" w:hAnsi="宋体" w:eastAsia="宋体" w:cs="宋体"/>
          <w:color w:val="auto"/>
          <w:highlight w:val="none"/>
          <w:lang w:val="zh-CN" w:eastAsia="zh-CN"/>
        </w:rPr>
        <w:t>无效的其他情形。</w:t>
      </w:r>
    </w:p>
    <w:p w14:paraId="7220DF7A">
      <w:pPr>
        <w:pStyle w:val="36"/>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17.有下列情形之一的，视为投标人串通投标，其</w:t>
      </w:r>
      <w:r>
        <w:rPr>
          <w:rFonts w:hint="eastAsia" w:ascii="宋体" w:hAnsi="宋体" w:eastAsia="宋体" w:cs="宋体"/>
          <w:b/>
          <w:bCs/>
          <w:color w:val="auto"/>
          <w:highlight w:val="none"/>
          <w:lang w:val="en-US" w:eastAsia="zh-CN"/>
        </w:rPr>
        <w:t>投标无效</w:t>
      </w:r>
      <w:r>
        <w:rPr>
          <w:rFonts w:hint="eastAsia" w:ascii="宋体" w:hAnsi="宋体" w:eastAsia="宋体" w:cs="宋体"/>
          <w:color w:val="auto"/>
          <w:highlight w:val="none"/>
          <w:lang w:val="en-US" w:eastAsia="zh-CN"/>
        </w:rPr>
        <w:t>：</w:t>
      </w:r>
    </w:p>
    <w:p w14:paraId="48BDA8BB">
      <w:pPr>
        <w:pStyle w:val="36"/>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17.1不同投标人的投标文件由同一单位或者个人编制；</w:t>
      </w:r>
    </w:p>
    <w:p w14:paraId="43A88299">
      <w:pPr>
        <w:pStyle w:val="36"/>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17.2不同投标人委托同一单位或者个人办理投标事宜；</w:t>
      </w:r>
    </w:p>
    <w:p w14:paraId="4DA8B12E">
      <w:pPr>
        <w:pStyle w:val="36"/>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17.3不同投标人的投标文件载明的项目管理成员或者联系人员为同一人；</w:t>
      </w:r>
    </w:p>
    <w:p w14:paraId="5FC35CDB">
      <w:pPr>
        <w:pStyle w:val="36"/>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17.4不同投标人的投标文件异常一致或者投标报价呈规律性差异；</w:t>
      </w:r>
    </w:p>
    <w:p w14:paraId="50845EB0">
      <w:pPr>
        <w:pStyle w:val="36"/>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17.5不同投标人的投标文件相互混装；</w:t>
      </w:r>
    </w:p>
    <w:p w14:paraId="6C0F57CD">
      <w:pPr>
        <w:pStyle w:val="36"/>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17.6不同投标人的投标保证金从同一单位或者个人的账户转出；</w:t>
      </w:r>
    </w:p>
    <w:p w14:paraId="5695EDB1">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17.7</w:t>
      </w:r>
      <w:r>
        <w:rPr>
          <w:rFonts w:hint="eastAsia" w:ascii="宋体" w:hAnsi="宋体" w:eastAsia="宋体" w:cs="宋体"/>
          <w:color w:val="auto"/>
          <w:highlight w:val="none"/>
          <w:lang w:val="zh-CN" w:eastAsia="zh-CN"/>
        </w:rPr>
        <w:t>不同投标人使用同一电脑（机器特征值一致：如MAC地址等）或使用同一电子密钥，编制或上传电子投标文件</w:t>
      </w:r>
      <w:r>
        <w:rPr>
          <w:rFonts w:hint="eastAsia" w:ascii="宋体" w:hAnsi="宋体" w:eastAsia="宋体" w:cs="宋体"/>
          <w:color w:val="auto"/>
          <w:highlight w:val="none"/>
          <w:lang w:val="en-US" w:eastAsia="zh-CN"/>
        </w:rPr>
        <w:t>；</w:t>
      </w:r>
    </w:p>
    <w:p w14:paraId="7751FBE1">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17.8法律、法规、规章规定属于投标人串通投标的其他情形</w:t>
      </w:r>
      <w:r>
        <w:rPr>
          <w:rFonts w:hint="eastAsia" w:ascii="宋体" w:hAnsi="宋体" w:eastAsia="宋体" w:cs="宋体"/>
          <w:color w:val="auto"/>
          <w:highlight w:val="none"/>
          <w:lang w:val="zh-CN" w:eastAsia="zh-CN"/>
        </w:rPr>
        <w:t>。</w:t>
      </w:r>
    </w:p>
    <w:p w14:paraId="17E3E541">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18</w:t>
      </w:r>
      <w:r>
        <w:rPr>
          <w:rFonts w:hint="eastAsia" w:ascii="宋体" w:hAnsi="宋体" w:eastAsia="宋体" w:cs="宋体"/>
          <w:color w:val="auto"/>
          <w:highlight w:val="none"/>
        </w:rPr>
        <w:t>.根据《中华人民共和国政府采购法》第三十六条之规定，在招标采购过程中，出现下列情形之一的，应予</w:t>
      </w:r>
      <w:r>
        <w:rPr>
          <w:rFonts w:hint="eastAsia" w:ascii="宋体" w:hAnsi="宋体" w:eastAsia="宋体" w:cs="宋体"/>
          <w:b/>
          <w:bCs/>
          <w:color w:val="auto"/>
          <w:highlight w:val="none"/>
        </w:rPr>
        <w:t>废标</w:t>
      </w:r>
      <w:r>
        <w:rPr>
          <w:rFonts w:hint="eastAsia" w:ascii="宋体" w:hAnsi="宋体" w:eastAsia="宋体" w:cs="宋体"/>
          <w:color w:val="auto"/>
          <w:highlight w:val="none"/>
        </w:rPr>
        <w:t>：</w:t>
      </w:r>
    </w:p>
    <w:p w14:paraId="2AB13EC8">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18</w:t>
      </w:r>
      <w:r>
        <w:rPr>
          <w:rFonts w:hint="eastAsia" w:ascii="宋体" w:hAnsi="宋体" w:eastAsia="宋体" w:cs="宋体"/>
          <w:color w:val="auto"/>
          <w:highlight w:val="none"/>
        </w:rPr>
        <w:t>.1</w:t>
      </w:r>
      <w:r>
        <w:rPr>
          <w:rFonts w:hint="eastAsia" w:ascii="宋体" w:hAnsi="宋体" w:eastAsia="宋体" w:cs="宋体"/>
          <w:iCs/>
          <w:color w:val="auto"/>
          <w:spacing w:val="-6"/>
          <w:sz w:val="24"/>
          <w:highlight w:val="none"/>
          <w:lang w:val="en-US" w:eastAsia="zh-CN"/>
        </w:rPr>
        <w:t>符合专业条件的供应商或者对招标文件作实质响应的供应商不足3家的；</w:t>
      </w:r>
    </w:p>
    <w:p w14:paraId="6D00BBBB">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18</w:t>
      </w:r>
      <w:r>
        <w:rPr>
          <w:rFonts w:hint="eastAsia" w:ascii="宋体" w:hAnsi="宋体" w:eastAsia="宋体" w:cs="宋体"/>
          <w:color w:val="auto"/>
          <w:highlight w:val="none"/>
        </w:rPr>
        <w:t>.2出现影响采购公正的违法、违规行为的；</w:t>
      </w:r>
    </w:p>
    <w:p w14:paraId="282187D9">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18</w:t>
      </w:r>
      <w:r>
        <w:rPr>
          <w:rFonts w:hint="eastAsia" w:ascii="宋体" w:hAnsi="宋体" w:eastAsia="宋体" w:cs="宋体"/>
          <w:color w:val="auto"/>
          <w:highlight w:val="none"/>
        </w:rPr>
        <w:t>.3投标人的报价均超过了采购预算，采购人不能支付的；</w:t>
      </w:r>
    </w:p>
    <w:p w14:paraId="6650A40E">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18</w:t>
      </w:r>
      <w:r>
        <w:rPr>
          <w:rFonts w:hint="eastAsia" w:ascii="宋体" w:hAnsi="宋体" w:eastAsia="宋体" w:cs="宋体"/>
          <w:color w:val="auto"/>
          <w:highlight w:val="none"/>
        </w:rPr>
        <w:t>.4因重大变故，采购任务取消的</w:t>
      </w:r>
      <w:r>
        <w:rPr>
          <w:rFonts w:hint="eastAsia" w:ascii="宋体" w:hAnsi="宋体" w:eastAsia="宋体" w:cs="宋体"/>
          <w:color w:val="auto"/>
          <w:highlight w:val="none"/>
          <w:lang w:val="en-US" w:eastAsia="zh-CN"/>
        </w:rPr>
        <w:t>；</w:t>
      </w:r>
    </w:p>
    <w:p w14:paraId="3DC041F0">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18.5</w:t>
      </w:r>
      <w:r>
        <w:rPr>
          <w:rFonts w:hint="eastAsia" w:ascii="宋体" w:hAnsi="宋体" w:eastAsia="宋体" w:cs="宋体"/>
          <w:color w:val="auto"/>
          <w:highlight w:val="none"/>
        </w:rPr>
        <w:t>法律、法规、规章规定属于</w:t>
      </w:r>
      <w:r>
        <w:rPr>
          <w:rFonts w:hint="eastAsia" w:ascii="宋体" w:hAnsi="宋体" w:eastAsia="宋体" w:cs="宋体"/>
          <w:color w:val="auto"/>
          <w:highlight w:val="none"/>
          <w:lang w:val="en-US" w:eastAsia="zh-CN"/>
        </w:rPr>
        <w:t>废标</w:t>
      </w:r>
      <w:r>
        <w:rPr>
          <w:rFonts w:hint="eastAsia" w:ascii="宋体" w:hAnsi="宋体" w:eastAsia="宋体" w:cs="宋体"/>
          <w:color w:val="auto"/>
          <w:highlight w:val="none"/>
        </w:rPr>
        <w:t>的其他情形。</w:t>
      </w:r>
    </w:p>
    <w:p w14:paraId="779B448C">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19.</w:t>
      </w:r>
      <w:r>
        <w:rPr>
          <w:rFonts w:hint="eastAsia" w:ascii="宋体" w:hAnsi="宋体" w:eastAsia="宋体" w:cs="宋体"/>
          <w:color w:val="auto"/>
          <w:highlight w:val="none"/>
        </w:rPr>
        <w:t>废标后，采购人应当将废标理由通知所有投标人。</w:t>
      </w:r>
    </w:p>
    <w:p w14:paraId="3E0072E3">
      <w:pPr>
        <w:pStyle w:val="4"/>
        <w:keepNext w:val="0"/>
        <w:keepLines w:val="0"/>
        <w:pageBreakBefore w:val="0"/>
        <w:widowControl w:val="0"/>
        <w:numPr>
          <w:ilvl w:val="0"/>
          <w:numId w:val="0"/>
        </w:numPr>
        <w:kinsoku/>
        <w:wordWrap/>
        <w:overflowPunct/>
        <w:topLinePunct w:val="0"/>
        <w:autoSpaceDE/>
        <w:autoSpaceDN/>
        <w:bidi w:val="0"/>
        <w:adjustRightInd/>
        <w:snapToGrid/>
        <w:spacing w:before="6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07" w:name="_Toc31993"/>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八</w:t>
      </w:r>
      <w:r>
        <w:rPr>
          <w:rFonts w:hint="eastAsia" w:ascii="宋体" w:hAnsi="宋体" w:eastAsia="宋体" w:cs="宋体"/>
          <w:b/>
          <w:bCs/>
          <w:color w:val="auto"/>
          <w:kern w:val="2"/>
          <w:sz w:val="24"/>
          <w:szCs w:val="24"/>
          <w:highlight w:val="none"/>
          <w:lang w:val="zh-CN" w:eastAsia="zh-CN" w:bidi="ar-SA"/>
        </w:rPr>
        <w:t>）停止评标的情形</w:t>
      </w:r>
      <w:bookmarkEnd w:id="407"/>
    </w:p>
    <w:p w14:paraId="3E23262C">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20</w:t>
      </w:r>
      <w:r>
        <w:rPr>
          <w:rFonts w:hint="eastAsia" w:ascii="宋体" w:hAnsi="宋体" w:eastAsia="宋体" w:cs="宋体"/>
          <w:color w:val="auto"/>
          <w:highlight w:val="none"/>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0B248DD4">
      <w:pPr>
        <w:pStyle w:val="4"/>
        <w:keepNext w:val="0"/>
        <w:keepLines w:val="0"/>
        <w:pageBreakBefore w:val="0"/>
        <w:widowControl w:val="0"/>
        <w:numPr>
          <w:ilvl w:val="0"/>
          <w:numId w:val="0"/>
        </w:numPr>
        <w:kinsoku/>
        <w:wordWrap/>
        <w:overflowPunct/>
        <w:topLinePunct w:val="0"/>
        <w:autoSpaceDE/>
        <w:autoSpaceDN/>
        <w:bidi w:val="0"/>
        <w:adjustRightInd/>
        <w:snapToGrid/>
        <w:spacing w:before="6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08" w:name="_Toc18143"/>
      <w:r>
        <w:rPr>
          <w:rFonts w:hint="eastAsia" w:ascii="宋体" w:hAnsi="宋体" w:eastAsia="宋体" w:cs="宋体"/>
          <w:b/>
          <w:bCs/>
          <w:color w:val="auto"/>
          <w:kern w:val="2"/>
          <w:sz w:val="24"/>
          <w:szCs w:val="24"/>
          <w:highlight w:val="none"/>
          <w:lang w:val="zh-CN" w:eastAsia="zh-CN" w:bidi="ar-SA"/>
        </w:rPr>
        <w:t>（</w:t>
      </w:r>
      <w:r>
        <w:rPr>
          <w:rFonts w:hint="eastAsia" w:ascii="宋体" w:hAnsi="宋体" w:eastAsia="宋体" w:cs="宋体"/>
          <w:b/>
          <w:bCs/>
          <w:color w:val="auto"/>
          <w:kern w:val="2"/>
          <w:sz w:val="24"/>
          <w:szCs w:val="24"/>
          <w:highlight w:val="none"/>
          <w:lang w:val="en-US" w:eastAsia="zh-CN" w:bidi="ar-SA"/>
        </w:rPr>
        <w:t>九</w:t>
      </w:r>
      <w:r>
        <w:rPr>
          <w:rFonts w:hint="eastAsia" w:ascii="宋体" w:hAnsi="宋体" w:eastAsia="宋体" w:cs="宋体"/>
          <w:b/>
          <w:bCs/>
          <w:color w:val="auto"/>
          <w:kern w:val="2"/>
          <w:sz w:val="24"/>
          <w:szCs w:val="24"/>
          <w:highlight w:val="none"/>
          <w:lang w:val="zh-CN" w:eastAsia="zh-CN" w:bidi="ar-SA"/>
        </w:rPr>
        <w:t>）重新开展采购</w:t>
      </w:r>
      <w:bookmarkEnd w:id="408"/>
    </w:p>
    <w:p w14:paraId="1321E726">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21.有</w:t>
      </w:r>
      <w:r>
        <w:rPr>
          <w:rFonts w:hint="eastAsia" w:ascii="宋体" w:hAnsi="宋体" w:eastAsia="宋体" w:cs="宋体"/>
          <w:color w:val="auto"/>
          <w:highlight w:val="none"/>
        </w:rPr>
        <w:t>《中华人民共和国政府采购法》</w:t>
      </w:r>
      <w:r>
        <w:rPr>
          <w:rFonts w:hint="eastAsia" w:ascii="宋体" w:hAnsi="宋体" w:eastAsia="宋体" w:cs="宋体"/>
          <w:color w:val="auto"/>
          <w:highlight w:val="none"/>
          <w:lang w:val="en-US" w:eastAsia="zh-CN"/>
        </w:rPr>
        <w:t>第七十一条、第七十二条规定的违法行为之一，影响或者可能影响中标结果的，依照下列规定处理：</w:t>
      </w:r>
    </w:p>
    <w:p w14:paraId="63F7A437">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21.1</w:t>
      </w:r>
      <w:r>
        <w:rPr>
          <w:rFonts w:hint="eastAsia" w:ascii="宋体" w:hAnsi="宋体" w:eastAsia="宋体" w:cs="宋体"/>
          <w:iCs/>
          <w:color w:val="auto"/>
          <w:spacing w:val="-6"/>
          <w:sz w:val="24"/>
          <w:highlight w:val="none"/>
          <w:lang w:val="en-US" w:eastAsia="zh-CN"/>
        </w:rPr>
        <w:t>未确定中标供应商的，终止本次政府采购活动，重新开展政府采购活动。</w:t>
      </w:r>
    </w:p>
    <w:p w14:paraId="0F235F12">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21.2已确定中标供应商但尚未签订政府采购合同的，中标结果无效，从合格的中标候选人中另行确定中标供应商；没有合格的中标候选人的，重新开展政府采购活动。</w:t>
      </w:r>
    </w:p>
    <w:p w14:paraId="647F7B74">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21.3政府采购合同已签订但尚未履行的，撤销合同，从合格的中标候选人中另行确定中标供应商；没有合格的中标候选人的，重新开展政府采购活动。</w:t>
      </w:r>
    </w:p>
    <w:p w14:paraId="69B3ABE4">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21.4政府采购合同已经履行，给采购人、供应商造成损失的，由责任人承担赔偿责任。</w:t>
      </w:r>
    </w:p>
    <w:p w14:paraId="7C4C74FD">
      <w:pPr>
        <w:pStyle w:val="36"/>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21.5政府采购当事人有其他违反</w:t>
      </w:r>
      <w:r>
        <w:rPr>
          <w:rFonts w:hint="eastAsia" w:ascii="宋体" w:hAnsi="宋体" w:eastAsia="宋体" w:cs="宋体"/>
          <w:color w:val="auto"/>
          <w:highlight w:val="none"/>
        </w:rPr>
        <w:t>《中华人民共和国政府采购法》</w:t>
      </w:r>
      <w:r>
        <w:rPr>
          <w:rFonts w:hint="eastAsia" w:ascii="宋体" w:hAnsi="宋体" w:eastAsia="宋体" w:cs="宋体"/>
          <w:color w:val="auto"/>
          <w:highlight w:val="none"/>
          <w:lang w:val="en-US" w:eastAsia="zh-CN"/>
        </w:rPr>
        <w:t>或者</w:t>
      </w:r>
      <w:r>
        <w:rPr>
          <w:rFonts w:hint="eastAsia" w:ascii="宋体" w:hAnsi="宋体" w:eastAsia="宋体" w:cs="宋体"/>
          <w:color w:val="auto"/>
          <w:highlight w:val="none"/>
        </w:rPr>
        <w:t>《中华人民共和国政府采购法</w:t>
      </w:r>
      <w:r>
        <w:rPr>
          <w:rFonts w:hint="eastAsia" w:ascii="宋体" w:hAnsi="宋体" w:eastAsia="宋体" w:cs="宋体"/>
          <w:color w:val="auto"/>
          <w:highlight w:val="none"/>
          <w:lang w:val="en-US" w:eastAsia="zh-CN"/>
        </w:rPr>
        <w:t>实施条例</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等法律法规规定的行为，经改正后仍然影响或者可能影响中标结果或者依法被认定为中标无效的，</w:t>
      </w:r>
      <w:r>
        <w:rPr>
          <w:rFonts w:hint="eastAsia" w:ascii="宋体" w:hAnsi="宋体" w:eastAsia="宋体" w:cs="宋体"/>
          <w:iCs/>
          <w:color w:val="auto"/>
          <w:spacing w:val="-6"/>
          <w:sz w:val="24"/>
          <w:highlight w:val="none"/>
          <w:lang w:val="en-US" w:eastAsia="zh-CN"/>
        </w:rPr>
        <w:t>依照21.1—21.4规定处理</w:t>
      </w:r>
      <w:r>
        <w:rPr>
          <w:rFonts w:hint="eastAsia" w:ascii="宋体" w:hAnsi="宋体" w:eastAsia="宋体" w:cs="宋体"/>
          <w:color w:val="auto"/>
          <w:highlight w:val="none"/>
          <w:lang w:val="en-US" w:eastAsia="zh-CN"/>
        </w:rPr>
        <w:t>。</w:t>
      </w:r>
    </w:p>
    <w:p w14:paraId="2928C5AE">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440" w:lineRule="exact"/>
        <w:ind w:left="420" w:leftChars="0" w:hanging="420" w:firstLineChars="0"/>
        <w:textAlignment w:val="auto"/>
        <w:rPr>
          <w:rFonts w:hint="eastAsia" w:ascii="宋体" w:hAnsi="宋体" w:eastAsia="宋体" w:cs="宋体"/>
          <w:b/>
          <w:bCs/>
          <w:color w:val="auto"/>
          <w:kern w:val="2"/>
          <w:sz w:val="28"/>
          <w:szCs w:val="28"/>
          <w:highlight w:val="none"/>
          <w:lang w:val="en-US" w:eastAsia="zh-CN" w:bidi="ar-SA"/>
        </w:rPr>
      </w:pPr>
      <w:bookmarkStart w:id="409" w:name="_Toc16747"/>
      <w:bookmarkStart w:id="410" w:name="_Toc21169"/>
      <w:r>
        <w:rPr>
          <w:rFonts w:hint="eastAsia" w:ascii="宋体" w:hAnsi="宋体" w:eastAsia="宋体" w:cs="宋体"/>
          <w:b/>
          <w:bCs/>
          <w:color w:val="auto"/>
          <w:kern w:val="2"/>
          <w:sz w:val="28"/>
          <w:szCs w:val="28"/>
          <w:highlight w:val="none"/>
          <w:lang w:val="zh-CN" w:eastAsia="zh-CN" w:bidi="ar-SA"/>
        </w:rPr>
        <w:t>三、评标</w:t>
      </w:r>
      <w:r>
        <w:rPr>
          <w:rFonts w:hint="eastAsia" w:ascii="宋体" w:hAnsi="宋体" w:eastAsia="宋体" w:cs="宋体"/>
          <w:b/>
          <w:bCs/>
          <w:color w:val="auto"/>
          <w:kern w:val="2"/>
          <w:sz w:val="28"/>
          <w:szCs w:val="28"/>
          <w:highlight w:val="none"/>
          <w:lang w:val="en-US" w:eastAsia="zh-CN" w:bidi="ar-SA"/>
        </w:rPr>
        <w:t>其他要求</w:t>
      </w:r>
      <w:bookmarkEnd w:id="409"/>
      <w:bookmarkEnd w:id="410"/>
    </w:p>
    <w:p w14:paraId="3C2A8619">
      <w:pPr>
        <w:pStyle w:val="36"/>
        <w:pageBreakBefore w:val="0"/>
        <w:widowControl w:val="0"/>
        <w:kinsoku/>
        <w:overflowPunct/>
        <w:topLinePunct w:val="0"/>
        <w:autoSpaceDE/>
        <w:autoSpaceDN/>
        <w:bidi w:val="0"/>
        <w:adjustRightInd/>
        <w:snapToGrid/>
        <w:spacing w:line="440" w:lineRule="exac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可根据项目的情况增加上述内容中未包含的要求</w:t>
      </w:r>
      <w:r>
        <w:rPr>
          <w:rFonts w:hint="eastAsia" w:ascii="宋体" w:hAnsi="宋体" w:eastAsia="宋体" w:cs="宋体"/>
          <w:color w:val="auto"/>
          <w:highlight w:val="none"/>
          <w:lang w:eastAsia="zh-CN"/>
        </w:rPr>
        <w:t>】</w:t>
      </w:r>
    </w:p>
    <w:p w14:paraId="4191E13A">
      <w:pPr>
        <w:pStyle w:val="3"/>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440" w:lineRule="exact"/>
        <w:ind w:left="420" w:leftChars="0" w:hanging="420" w:firstLineChars="0"/>
        <w:textAlignment w:val="auto"/>
        <w:rPr>
          <w:rFonts w:hint="eastAsia" w:ascii="宋体" w:hAnsi="宋体" w:eastAsia="宋体" w:cs="宋体"/>
          <w:b/>
          <w:bCs/>
          <w:color w:val="auto"/>
          <w:kern w:val="2"/>
          <w:sz w:val="28"/>
          <w:szCs w:val="28"/>
          <w:highlight w:val="none"/>
          <w:lang w:val="zh-CN" w:eastAsia="zh-CN" w:bidi="ar-SA"/>
        </w:rPr>
      </w:pPr>
      <w:bookmarkStart w:id="411" w:name="_Toc23638"/>
      <w:bookmarkStart w:id="412" w:name="_Toc22107"/>
      <w:r>
        <w:rPr>
          <w:rFonts w:hint="eastAsia" w:ascii="宋体" w:hAnsi="宋体" w:eastAsia="宋体" w:cs="宋体"/>
          <w:b/>
          <w:bCs/>
          <w:color w:val="auto"/>
          <w:kern w:val="2"/>
          <w:sz w:val="28"/>
          <w:szCs w:val="28"/>
          <w:highlight w:val="none"/>
          <w:lang w:val="en-US" w:eastAsia="zh-CN" w:bidi="ar-SA"/>
        </w:rPr>
        <w:t>四</w:t>
      </w:r>
      <w:r>
        <w:rPr>
          <w:rFonts w:hint="eastAsia" w:ascii="宋体" w:hAnsi="宋体" w:eastAsia="宋体" w:cs="宋体"/>
          <w:b/>
          <w:bCs/>
          <w:color w:val="auto"/>
          <w:kern w:val="2"/>
          <w:sz w:val="28"/>
          <w:szCs w:val="28"/>
          <w:highlight w:val="none"/>
          <w:lang w:val="zh-CN" w:eastAsia="zh-CN" w:bidi="ar-SA"/>
        </w:rPr>
        <w:t>、评标标准</w:t>
      </w:r>
      <w:bookmarkEnd w:id="411"/>
      <w:bookmarkEnd w:id="412"/>
    </w:p>
    <w:p w14:paraId="379ACBCB">
      <w:pPr>
        <w:pStyle w:val="4"/>
        <w:keepNext w:val="0"/>
        <w:keepLines w:val="0"/>
        <w:pageBreakBefore w:val="0"/>
        <w:widowControl w:val="0"/>
        <w:numPr>
          <w:ilvl w:val="0"/>
          <w:numId w:val="0"/>
        </w:numPr>
        <w:kinsoku/>
        <w:wordWrap/>
        <w:overflowPunct/>
        <w:topLinePunct w:val="0"/>
        <w:autoSpaceDE/>
        <w:autoSpaceDN/>
        <w:bidi w:val="0"/>
        <w:adjustRightInd/>
        <w:snapToGrid/>
        <w:spacing w:before="60" w:after="60" w:line="44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13" w:name="_Toc27370"/>
      <w:r>
        <w:rPr>
          <w:rFonts w:hint="eastAsia" w:ascii="宋体" w:hAnsi="宋体" w:eastAsia="宋体" w:cs="宋体"/>
          <w:b/>
          <w:bCs/>
          <w:color w:val="auto"/>
          <w:kern w:val="2"/>
          <w:sz w:val="24"/>
          <w:szCs w:val="24"/>
          <w:highlight w:val="none"/>
          <w:lang w:val="zh-CN" w:eastAsia="zh-CN" w:bidi="ar-SA"/>
        </w:rPr>
        <w:t>（一）符合性审查表</w:t>
      </w:r>
      <w:bookmarkEnd w:id="413"/>
    </w:p>
    <w:tbl>
      <w:tblPr>
        <w:tblStyle w:val="29"/>
        <w:tblW w:w="5424" w:type="pct"/>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3"/>
        <w:gridCol w:w="1303"/>
        <w:gridCol w:w="5480"/>
        <w:gridCol w:w="866"/>
        <w:gridCol w:w="1088"/>
      </w:tblGrid>
      <w:tr w14:paraId="5E8BE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277" w:type="pct"/>
            <w:vMerge w:val="restart"/>
            <w:shd w:val="clear" w:color="auto" w:fill="D8D8D8" w:themeFill="background1" w:themeFillShade="D9"/>
            <w:vAlign w:val="center"/>
          </w:tcPr>
          <w:p w14:paraId="54CC227C">
            <w:pPr>
              <w:pStyle w:val="48"/>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序号</w:t>
            </w:r>
          </w:p>
        </w:tc>
        <w:tc>
          <w:tcPr>
            <w:tcW w:w="704" w:type="pct"/>
            <w:vMerge w:val="restart"/>
            <w:shd w:val="clear" w:color="auto" w:fill="D8D8D8" w:themeFill="background1" w:themeFillShade="D9"/>
            <w:vAlign w:val="center"/>
          </w:tcPr>
          <w:p w14:paraId="75D702FD">
            <w:pPr>
              <w:pStyle w:val="48"/>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审查项名称</w:t>
            </w:r>
          </w:p>
        </w:tc>
        <w:tc>
          <w:tcPr>
            <w:tcW w:w="2961" w:type="pct"/>
            <w:vMerge w:val="restart"/>
            <w:shd w:val="clear" w:color="auto" w:fill="D8D8D8" w:themeFill="background1" w:themeFillShade="D9"/>
            <w:vAlign w:val="center"/>
          </w:tcPr>
          <w:p w14:paraId="1A27FB0D">
            <w:pPr>
              <w:pStyle w:val="48"/>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审查内容</w:t>
            </w:r>
          </w:p>
        </w:tc>
        <w:tc>
          <w:tcPr>
            <w:tcW w:w="1056" w:type="pct"/>
            <w:gridSpan w:val="2"/>
            <w:shd w:val="clear" w:color="auto" w:fill="D8D8D8" w:themeFill="background1" w:themeFillShade="D9"/>
            <w:vAlign w:val="center"/>
          </w:tcPr>
          <w:p w14:paraId="7D1A1CF8">
            <w:pPr>
              <w:pStyle w:val="48"/>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审查结果</w:t>
            </w:r>
          </w:p>
        </w:tc>
      </w:tr>
      <w:tr w14:paraId="2ECA7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277" w:type="pct"/>
            <w:vMerge w:val="continue"/>
            <w:shd w:val="clear" w:color="auto" w:fill="D8D8D8" w:themeFill="background1" w:themeFillShade="D9"/>
            <w:vAlign w:val="center"/>
          </w:tcPr>
          <w:p w14:paraId="7B306EE6">
            <w:pPr>
              <w:pStyle w:val="48"/>
              <w:jc w:val="center"/>
              <w:rPr>
                <w:rFonts w:hint="eastAsia" w:ascii="宋体" w:hAnsi="宋体" w:eastAsia="宋体" w:cs="宋体"/>
                <w:b/>
                <w:bCs/>
                <w:color w:val="auto"/>
                <w:sz w:val="21"/>
                <w:szCs w:val="21"/>
                <w:highlight w:val="none"/>
                <w:lang w:val="zh-CN"/>
              </w:rPr>
            </w:pPr>
          </w:p>
        </w:tc>
        <w:tc>
          <w:tcPr>
            <w:tcW w:w="704" w:type="pct"/>
            <w:vMerge w:val="continue"/>
            <w:shd w:val="clear" w:color="auto" w:fill="D8D8D8" w:themeFill="background1" w:themeFillShade="D9"/>
            <w:vAlign w:val="center"/>
          </w:tcPr>
          <w:p w14:paraId="131018DB">
            <w:pPr>
              <w:pStyle w:val="48"/>
              <w:jc w:val="center"/>
              <w:rPr>
                <w:rFonts w:hint="eastAsia" w:ascii="宋体" w:hAnsi="宋体" w:eastAsia="宋体" w:cs="宋体"/>
                <w:b/>
                <w:bCs/>
                <w:color w:val="auto"/>
                <w:sz w:val="21"/>
                <w:szCs w:val="21"/>
                <w:highlight w:val="none"/>
                <w:lang w:val="zh-CN"/>
              </w:rPr>
            </w:pPr>
          </w:p>
        </w:tc>
        <w:tc>
          <w:tcPr>
            <w:tcW w:w="2961" w:type="pct"/>
            <w:vMerge w:val="continue"/>
            <w:shd w:val="clear" w:color="auto" w:fill="D8D8D8" w:themeFill="background1" w:themeFillShade="D9"/>
            <w:vAlign w:val="center"/>
          </w:tcPr>
          <w:p w14:paraId="17261D18">
            <w:pPr>
              <w:pStyle w:val="48"/>
              <w:jc w:val="center"/>
              <w:rPr>
                <w:rFonts w:hint="eastAsia" w:ascii="宋体" w:hAnsi="宋体" w:eastAsia="宋体" w:cs="宋体"/>
                <w:b/>
                <w:bCs/>
                <w:color w:val="auto"/>
                <w:sz w:val="21"/>
                <w:szCs w:val="21"/>
                <w:highlight w:val="none"/>
                <w:lang w:val="zh-CN"/>
              </w:rPr>
            </w:pPr>
          </w:p>
        </w:tc>
        <w:tc>
          <w:tcPr>
            <w:tcW w:w="468" w:type="pct"/>
            <w:shd w:val="clear" w:color="auto" w:fill="D8D8D8" w:themeFill="background1" w:themeFillShade="D9"/>
            <w:vAlign w:val="center"/>
          </w:tcPr>
          <w:p w14:paraId="4665038B">
            <w:pPr>
              <w:pStyle w:val="48"/>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符合</w:t>
            </w:r>
          </w:p>
        </w:tc>
        <w:tc>
          <w:tcPr>
            <w:tcW w:w="588" w:type="pct"/>
            <w:shd w:val="clear" w:color="auto" w:fill="D8D8D8" w:themeFill="background1" w:themeFillShade="D9"/>
            <w:vAlign w:val="center"/>
          </w:tcPr>
          <w:p w14:paraId="22F80C6C">
            <w:pPr>
              <w:pStyle w:val="48"/>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不符合</w:t>
            </w:r>
          </w:p>
        </w:tc>
      </w:tr>
      <w:tr w14:paraId="0694A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277" w:type="pct"/>
            <w:shd w:val="clear" w:color="auto" w:fill="auto"/>
            <w:vAlign w:val="center"/>
          </w:tcPr>
          <w:p w14:paraId="52989803">
            <w:pPr>
              <w:pStyle w:val="48"/>
              <w:numPr>
                <w:ilvl w:val="0"/>
                <w:numId w:val="0"/>
              </w:numPr>
              <w:ind w:left="420" w:leftChars="0" w:hanging="420" w:firstLineChars="0"/>
              <w:jc w:val="center"/>
              <w:rPr>
                <w:rFonts w:hint="eastAsia" w:ascii="宋体" w:hAnsi="宋体" w:eastAsia="宋体" w:cs="宋体"/>
                <w:color w:val="auto"/>
                <w:sz w:val="21"/>
                <w:szCs w:val="21"/>
                <w:highlight w:val="none"/>
                <w:lang w:val="zh-CN"/>
              </w:rPr>
            </w:pPr>
            <w:r>
              <w:rPr>
                <w:rFonts w:hint="eastAsia" w:ascii="宋体" w:hAnsi="宋体" w:eastAsia="宋体" w:cs="宋体"/>
                <w:color w:val="auto"/>
                <w:kern w:val="2"/>
                <w:sz w:val="21"/>
                <w:szCs w:val="21"/>
                <w:highlight w:val="none"/>
                <w:lang w:val="zh-CN" w:eastAsia="zh-CN" w:bidi="ar-SA"/>
              </w:rPr>
              <w:t>1</w:t>
            </w:r>
          </w:p>
        </w:tc>
        <w:tc>
          <w:tcPr>
            <w:tcW w:w="704" w:type="pct"/>
            <w:vAlign w:val="center"/>
          </w:tcPr>
          <w:p w14:paraId="4AD77A4C">
            <w:pPr>
              <w:pStyle w:val="48"/>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投标文件</w:t>
            </w:r>
            <w:r>
              <w:rPr>
                <w:rFonts w:hint="eastAsia" w:ascii="宋体" w:hAnsi="宋体" w:eastAsia="宋体" w:cs="宋体"/>
                <w:color w:val="auto"/>
                <w:sz w:val="21"/>
                <w:szCs w:val="21"/>
                <w:highlight w:val="none"/>
              </w:rPr>
              <w:t>签署</w:t>
            </w:r>
          </w:p>
        </w:tc>
        <w:tc>
          <w:tcPr>
            <w:tcW w:w="2961" w:type="pct"/>
            <w:shd w:val="clear" w:color="auto" w:fill="auto"/>
            <w:vAlign w:val="center"/>
          </w:tcPr>
          <w:p w14:paraId="181637DA">
            <w:pPr>
              <w:pStyle w:val="48"/>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投标文件按招标文件要求签署、盖章的</w:t>
            </w:r>
          </w:p>
        </w:tc>
        <w:tc>
          <w:tcPr>
            <w:tcW w:w="468" w:type="pct"/>
            <w:shd w:val="clear" w:color="auto" w:fill="auto"/>
            <w:vAlign w:val="center"/>
          </w:tcPr>
          <w:p w14:paraId="4B4D3215">
            <w:pPr>
              <w:pStyle w:val="48"/>
              <w:rPr>
                <w:rFonts w:hint="eastAsia" w:ascii="宋体" w:hAnsi="宋体" w:eastAsia="宋体" w:cs="宋体"/>
                <w:color w:val="auto"/>
                <w:sz w:val="21"/>
                <w:szCs w:val="21"/>
                <w:highlight w:val="none"/>
                <w:lang w:val="zh-CN"/>
              </w:rPr>
            </w:pPr>
          </w:p>
        </w:tc>
        <w:tc>
          <w:tcPr>
            <w:tcW w:w="588" w:type="pct"/>
            <w:shd w:val="clear" w:color="auto" w:fill="auto"/>
            <w:vAlign w:val="center"/>
          </w:tcPr>
          <w:p w14:paraId="5C477D22">
            <w:pPr>
              <w:pStyle w:val="48"/>
              <w:rPr>
                <w:rFonts w:hint="eastAsia" w:ascii="宋体" w:hAnsi="宋体" w:eastAsia="宋体" w:cs="宋体"/>
                <w:color w:val="auto"/>
                <w:sz w:val="21"/>
                <w:szCs w:val="21"/>
                <w:highlight w:val="none"/>
                <w:lang w:val="zh-CN"/>
              </w:rPr>
            </w:pPr>
          </w:p>
        </w:tc>
      </w:tr>
      <w:tr w14:paraId="479E4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277" w:type="pct"/>
            <w:shd w:val="clear" w:color="auto" w:fill="auto"/>
            <w:vAlign w:val="center"/>
          </w:tcPr>
          <w:p w14:paraId="2368B2F5">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2</w:t>
            </w:r>
          </w:p>
        </w:tc>
        <w:tc>
          <w:tcPr>
            <w:tcW w:w="704" w:type="pct"/>
            <w:shd w:val="clear" w:color="auto" w:fill="auto"/>
            <w:vAlign w:val="center"/>
          </w:tcPr>
          <w:p w14:paraId="315D0ACB">
            <w:pPr>
              <w:pStyle w:val="48"/>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rPr>
              <w:t>实质性要求</w:t>
            </w:r>
          </w:p>
        </w:tc>
        <w:tc>
          <w:tcPr>
            <w:tcW w:w="2961" w:type="pct"/>
            <w:shd w:val="clear" w:color="auto" w:fill="auto"/>
            <w:vAlign w:val="center"/>
          </w:tcPr>
          <w:p w14:paraId="419CA315">
            <w:pPr>
              <w:pStyle w:val="48"/>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lang w:val="zh-CN" w:eastAsia="zh-CN"/>
              </w:rPr>
              <w:t>文件满足</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lang w:val="zh-CN" w:eastAsia="zh-CN"/>
              </w:rPr>
              <w:t>文件中标注“★”号的实质性条款（或指标）要求的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具体详见</w:t>
            </w:r>
            <w:r>
              <w:rPr>
                <w:rFonts w:hint="eastAsia" w:ascii="宋体" w:hAnsi="宋体" w:eastAsia="宋体" w:cs="宋体"/>
                <w:color w:val="auto"/>
                <w:sz w:val="21"/>
                <w:szCs w:val="21"/>
                <w:highlight w:val="none"/>
                <w:lang w:val="zh-CN"/>
              </w:rPr>
              <w:t>“实质性响应一览表”</w:t>
            </w:r>
          </w:p>
        </w:tc>
        <w:tc>
          <w:tcPr>
            <w:tcW w:w="468" w:type="pct"/>
            <w:shd w:val="clear" w:color="auto" w:fill="auto"/>
            <w:vAlign w:val="center"/>
          </w:tcPr>
          <w:p w14:paraId="0A932E3D">
            <w:pPr>
              <w:pStyle w:val="48"/>
              <w:rPr>
                <w:rFonts w:hint="eastAsia" w:ascii="宋体" w:hAnsi="宋体" w:eastAsia="宋体" w:cs="宋体"/>
                <w:color w:val="auto"/>
                <w:sz w:val="21"/>
                <w:szCs w:val="21"/>
                <w:highlight w:val="none"/>
                <w:lang w:val="zh-CN"/>
              </w:rPr>
            </w:pPr>
          </w:p>
        </w:tc>
        <w:tc>
          <w:tcPr>
            <w:tcW w:w="588" w:type="pct"/>
            <w:shd w:val="clear" w:color="auto" w:fill="auto"/>
            <w:vAlign w:val="center"/>
          </w:tcPr>
          <w:p w14:paraId="0E5E153D">
            <w:pPr>
              <w:pStyle w:val="48"/>
              <w:rPr>
                <w:rFonts w:hint="eastAsia" w:ascii="宋体" w:hAnsi="宋体" w:eastAsia="宋体" w:cs="宋体"/>
                <w:color w:val="auto"/>
                <w:sz w:val="21"/>
                <w:szCs w:val="21"/>
                <w:highlight w:val="none"/>
                <w:lang w:val="zh-CN"/>
              </w:rPr>
            </w:pPr>
          </w:p>
        </w:tc>
      </w:tr>
      <w:tr w14:paraId="45767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277" w:type="pct"/>
            <w:shd w:val="clear" w:color="auto" w:fill="auto"/>
            <w:vAlign w:val="center"/>
          </w:tcPr>
          <w:p w14:paraId="58558D93">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3</w:t>
            </w:r>
          </w:p>
        </w:tc>
        <w:tc>
          <w:tcPr>
            <w:tcW w:w="704" w:type="pct"/>
            <w:vAlign w:val="center"/>
          </w:tcPr>
          <w:p w14:paraId="718A722E">
            <w:pPr>
              <w:pStyle w:val="48"/>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投标报价</w:t>
            </w:r>
          </w:p>
        </w:tc>
        <w:tc>
          <w:tcPr>
            <w:tcW w:w="2961" w:type="pct"/>
            <w:shd w:val="clear" w:color="auto" w:fill="auto"/>
            <w:vAlign w:val="center"/>
          </w:tcPr>
          <w:p w14:paraId="51328A49">
            <w:pPr>
              <w:pStyle w:val="48"/>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投标人报价未超过招标文件中规定的最高限价或者预算金额的</w:t>
            </w:r>
          </w:p>
        </w:tc>
        <w:tc>
          <w:tcPr>
            <w:tcW w:w="468" w:type="pct"/>
            <w:shd w:val="clear" w:color="auto" w:fill="auto"/>
            <w:vAlign w:val="center"/>
          </w:tcPr>
          <w:p w14:paraId="29AC0EE5">
            <w:pPr>
              <w:pStyle w:val="48"/>
              <w:rPr>
                <w:rFonts w:hint="eastAsia" w:ascii="宋体" w:hAnsi="宋体" w:eastAsia="宋体" w:cs="宋体"/>
                <w:color w:val="auto"/>
                <w:sz w:val="21"/>
                <w:szCs w:val="21"/>
                <w:highlight w:val="none"/>
                <w:lang w:val="zh-CN"/>
              </w:rPr>
            </w:pPr>
          </w:p>
        </w:tc>
        <w:tc>
          <w:tcPr>
            <w:tcW w:w="588" w:type="pct"/>
            <w:shd w:val="clear" w:color="auto" w:fill="auto"/>
            <w:vAlign w:val="center"/>
          </w:tcPr>
          <w:p w14:paraId="68FB34EB">
            <w:pPr>
              <w:pStyle w:val="48"/>
              <w:rPr>
                <w:rFonts w:hint="eastAsia" w:ascii="宋体" w:hAnsi="宋体" w:eastAsia="宋体" w:cs="宋体"/>
                <w:color w:val="auto"/>
                <w:sz w:val="21"/>
                <w:szCs w:val="21"/>
                <w:highlight w:val="none"/>
                <w:lang w:val="zh-CN"/>
              </w:rPr>
            </w:pPr>
          </w:p>
        </w:tc>
      </w:tr>
      <w:tr w14:paraId="3B567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277" w:type="pct"/>
            <w:shd w:val="clear" w:color="auto" w:fill="auto"/>
            <w:vAlign w:val="center"/>
          </w:tcPr>
          <w:p w14:paraId="6933CA72">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4</w:t>
            </w:r>
          </w:p>
        </w:tc>
        <w:tc>
          <w:tcPr>
            <w:tcW w:w="704" w:type="pct"/>
            <w:vAlign w:val="center"/>
          </w:tcPr>
          <w:p w14:paraId="0B236E71">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虚假材料</w:t>
            </w:r>
          </w:p>
        </w:tc>
        <w:tc>
          <w:tcPr>
            <w:tcW w:w="2961" w:type="pct"/>
            <w:shd w:val="clear" w:color="auto" w:fill="auto"/>
            <w:vAlign w:val="center"/>
          </w:tcPr>
          <w:p w14:paraId="7F2F77D6">
            <w:pPr>
              <w:pStyle w:val="48"/>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lang w:val="zh-CN" w:eastAsia="zh-CN"/>
              </w:rPr>
              <w:t>文件</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val="zh-CN" w:eastAsia="zh-CN"/>
              </w:rPr>
              <w:t>提供虚假材料的</w:t>
            </w:r>
          </w:p>
        </w:tc>
        <w:tc>
          <w:tcPr>
            <w:tcW w:w="468" w:type="pct"/>
            <w:shd w:val="clear" w:color="auto" w:fill="auto"/>
            <w:vAlign w:val="center"/>
          </w:tcPr>
          <w:p w14:paraId="2D75423A">
            <w:pPr>
              <w:pStyle w:val="48"/>
              <w:rPr>
                <w:rFonts w:hint="eastAsia" w:ascii="宋体" w:hAnsi="宋体" w:eastAsia="宋体" w:cs="宋体"/>
                <w:color w:val="auto"/>
                <w:sz w:val="21"/>
                <w:szCs w:val="21"/>
                <w:highlight w:val="none"/>
                <w:lang w:val="zh-CN"/>
              </w:rPr>
            </w:pPr>
          </w:p>
        </w:tc>
        <w:tc>
          <w:tcPr>
            <w:tcW w:w="588" w:type="pct"/>
            <w:shd w:val="clear" w:color="auto" w:fill="auto"/>
            <w:vAlign w:val="center"/>
          </w:tcPr>
          <w:p w14:paraId="2B6DE270">
            <w:pPr>
              <w:pStyle w:val="48"/>
              <w:rPr>
                <w:rFonts w:hint="eastAsia" w:ascii="宋体" w:hAnsi="宋体" w:eastAsia="宋体" w:cs="宋体"/>
                <w:color w:val="auto"/>
                <w:sz w:val="21"/>
                <w:szCs w:val="21"/>
                <w:highlight w:val="none"/>
                <w:lang w:val="zh-CN"/>
              </w:rPr>
            </w:pPr>
          </w:p>
        </w:tc>
      </w:tr>
      <w:tr w14:paraId="7DF43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2" w:hRule="atLeast"/>
        </w:trPr>
        <w:tc>
          <w:tcPr>
            <w:tcW w:w="277" w:type="pct"/>
            <w:shd w:val="clear" w:color="auto" w:fill="auto"/>
            <w:vAlign w:val="center"/>
          </w:tcPr>
          <w:p w14:paraId="44F2A7DD">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5</w:t>
            </w:r>
          </w:p>
        </w:tc>
        <w:tc>
          <w:tcPr>
            <w:tcW w:w="704" w:type="pct"/>
            <w:vAlign w:val="center"/>
          </w:tcPr>
          <w:p w14:paraId="2C6140A8">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联合体</w:t>
            </w:r>
          </w:p>
        </w:tc>
        <w:tc>
          <w:tcPr>
            <w:tcW w:w="2961" w:type="pct"/>
            <w:shd w:val="clear" w:color="auto" w:fill="auto"/>
            <w:vAlign w:val="center"/>
          </w:tcPr>
          <w:p w14:paraId="4C2A4A62">
            <w:pPr>
              <w:pStyle w:val="48"/>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zh-CN" w:eastAsia="zh-CN"/>
              </w:rPr>
              <w:t>联合体的供应商提交</w:t>
            </w:r>
            <w:r>
              <w:rPr>
                <w:rFonts w:hint="eastAsia" w:ascii="宋体" w:hAnsi="宋体" w:eastAsia="宋体" w:cs="宋体"/>
                <w:color w:val="auto"/>
                <w:sz w:val="21"/>
                <w:szCs w:val="21"/>
                <w:highlight w:val="none"/>
                <w:lang w:val="en-US" w:eastAsia="zh-CN"/>
              </w:rPr>
              <w:t>了</w:t>
            </w:r>
            <w:r>
              <w:rPr>
                <w:rFonts w:hint="eastAsia" w:ascii="宋体" w:hAnsi="宋体" w:eastAsia="宋体" w:cs="宋体"/>
                <w:color w:val="auto"/>
                <w:sz w:val="21"/>
                <w:szCs w:val="21"/>
                <w:highlight w:val="none"/>
                <w:lang w:val="zh-CN" w:eastAsia="zh-CN"/>
              </w:rPr>
              <w:t>各方共同签署的联合体协议的【</w:t>
            </w:r>
            <w:r>
              <w:rPr>
                <w:rFonts w:hint="eastAsia" w:ascii="宋体" w:hAnsi="宋体" w:eastAsia="宋体" w:cs="宋体"/>
                <w:color w:val="auto"/>
                <w:sz w:val="21"/>
                <w:szCs w:val="21"/>
                <w:highlight w:val="none"/>
                <w:lang w:val="en-US" w:eastAsia="zh-CN"/>
              </w:rPr>
              <w:t>如允许联合体投标的</w:t>
            </w:r>
            <w:r>
              <w:rPr>
                <w:rFonts w:hint="eastAsia" w:ascii="宋体" w:hAnsi="宋体" w:eastAsia="宋体" w:cs="宋体"/>
                <w:color w:val="auto"/>
                <w:sz w:val="21"/>
                <w:szCs w:val="21"/>
                <w:highlight w:val="none"/>
                <w:lang w:val="zh-CN" w:eastAsia="zh-CN"/>
              </w:rPr>
              <w:t>】</w:t>
            </w:r>
          </w:p>
        </w:tc>
        <w:tc>
          <w:tcPr>
            <w:tcW w:w="468" w:type="pct"/>
            <w:shd w:val="clear" w:color="auto" w:fill="auto"/>
            <w:vAlign w:val="center"/>
          </w:tcPr>
          <w:p w14:paraId="7759CB7C">
            <w:pPr>
              <w:pStyle w:val="48"/>
              <w:rPr>
                <w:rFonts w:hint="eastAsia" w:ascii="宋体" w:hAnsi="宋体" w:eastAsia="宋体" w:cs="宋体"/>
                <w:color w:val="auto"/>
                <w:sz w:val="21"/>
                <w:szCs w:val="21"/>
                <w:highlight w:val="none"/>
                <w:lang w:val="zh-CN"/>
              </w:rPr>
            </w:pPr>
          </w:p>
        </w:tc>
        <w:tc>
          <w:tcPr>
            <w:tcW w:w="588" w:type="pct"/>
            <w:shd w:val="clear" w:color="auto" w:fill="auto"/>
            <w:vAlign w:val="center"/>
          </w:tcPr>
          <w:p w14:paraId="1F9D4B43">
            <w:pPr>
              <w:pStyle w:val="48"/>
              <w:rPr>
                <w:rFonts w:hint="eastAsia" w:ascii="宋体" w:hAnsi="宋体" w:eastAsia="宋体" w:cs="宋体"/>
                <w:color w:val="auto"/>
                <w:sz w:val="21"/>
                <w:szCs w:val="21"/>
                <w:highlight w:val="none"/>
                <w:lang w:val="zh-CN"/>
              </w:rPr>
            </w:pPr>
          </w:p>
        </w:tc>
      </w:tr>
      <w:tr w14:paraId="28B06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277" w:type="pct"/>
            <w:shd w:val="clear" w:color="auto" w:fill="auto"/>
            <w:vAlign w:val="center"/>
          </w:tcPr>
          <w:p w14:paraId="6B7EBD31">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6</w:t>
            </w:r>
          </w:p>
        </w:tc>
        <w:tc>
          <w:tcPr>
            <w:tcW w:w="704" w:type="pct"/>
            <w:vAlign w:val="center"/>
          </w:tcPr>
          <w:p w14:paraId="4733E890">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投标保证金</w:t>
            </w:r>
          </w:p>
        </w:tc>
        <w:tc>
          <w:tcPr>
            <w:tcW w:w="2961" w:type="pct"/>
            <w:shd w:val="clear" w:color="auto" w:fill="auto"/>
            <w:vAlign w:val="center"/>
          </w:tcPr>
          <w:p w14:paraId="0A8ECDD1">
            <w:pPr>
              <w:pStyle w:val="48"/>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投标人按招标文件的规定交纳投标保证金的</w:t>
            </w:r>
          </w:p>
        </w:tc>
        <w:tc>
          <w:tcPr>
            <w:tcW w:w="468" w:type="pct"/>
            <w:shd w:val="clear" w:color="auto" w:fill="auto"/>
            <w:vAlign w:val="center"/>
          </w:tcPr>
          <w:p w14:paraId="07053632">
            <w:pPr>
              <w:pStyle w:val="48"/>
              <w:rPr>
                <w:rFonts w:hint="eastAsia" w:ascii="宋体" w:hAnsi="宋体" w:eastAsia="宋体" w:cs="宋体"/>
                <w:color w:val="auto"/>
                <w:sz w:val="21"/>
                <w:szCs w:val="21"/>
                <w:highlight w:val="none"/>
                <w:lang w:val="zh-CN"/>
              </w:rPr>
            </w:pPr>
          </w:p>
        </w:tc>
        <w:tc>
          <w:tcPr>
            <w:tcW w:w="588" w:type="pct"/>
            <w:shd w:val="clear" w:color="auto" w:fill="auto"/>
            <w:vAlign w:val="center"/>
          </w:tcPr>
          <w:p w14:paraId="6FEE1421">
            <w:pPr>
              <w:pStyle w:val="48"/>
              <w:rPr>
                <w:rFonts w:hint="eastAsia" w:ascii="宋体" w:hAnsi="宋体" w:eastAsia="宋体" w:cs="宋体"/>
                <w:color w:val="auto"/>
                <w:sz w:val="21"/>
                <w:szCs w:val="21"/>
                <w:highlight w:val="none"/>
                <w:lang w:val="zh-CN"/>
              </w:rPr>
            </w:pPr>
          </w:p>
        </w:tc>
      </w:tr>
      <w:tr w14:paraId="7B41CA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277" w:type="pct"/>
            <w:shd w:val="clear" w:color="auto" w:fill="auto"/>
            <w:vAlign w:val="center"/>
          </w:tcPr>
          <w:p w14:paraId="6CE1ECFA">
            <w:pPr>
              <w:pStyle w:val="48"/>
              <w:numPr>
                <w:ilvl w:val="0"/>
                <w:numId w:val="0"/>
              </w:numPr>
              <w:ind w:left="0" w:leftChars="0" w:firstLine="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7</w:t>
            </w:r>
          </w:p>
        </w:tc>
        <w:tc>
          <w:tcPr>
            <w:tcW w:w="704" w:type="pct"/>
            <w:vAlign w:val="center"/>
          </w:tcPr>
          <w:p w14:paraId="72FAE8CA">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投标文件的澄清、说明、补正</w:t>
            </w:r>
          </w:p>
        </w:tc>
        <w:tc>
          <w:tcPr>
            <w:tcW w:w="2961" w:type="pct"/>
            <w:shd w:val="clear" w:color="auto" w:fill="auto"/>
            <w:vAlign w:val="center"/>
          </w:tcPr>
          <w:p w14:paraId="10BF99A8">
            <w:pPr>
              <w:pStyle w:val="48"/>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eastAsia="zh-CN"/>
              </w:rPr>
              <w:t>评审期间,</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lang w:val="zh-CN" w:eastAsia="zh-CN"/>
              </w:rPr>
              <w:t>按评标委员会的要求提交经授权代表签字的澄清、说明、补正或</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val="zh-CN" w:eastAsia="zh-CN"/>
              </w:rPr>
              <w:t>改变</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lang w:val="zh-CN" w:eastAsia="zh-CN"/>
              </w:rPr>
              <w:t>文件的实质性内容</w:t>
            </w:r>
          </w:p>
        </w:tc>
        <w:tc>
          <w:tcPr>
            <w:tcW w:w="468" w:type="pct"/>
            <w:shd w:val="clear" w:color="auto" w:fill="auto"/>
            <w:vAlign w:val="center"/>
          </w:tcPr>
          <w:p w14:paraId="05873931">
            <w:pPr>
              <w:pStyle w:val="48"/>
              <w:rPr>
                <w:rFonts w:hint="eastAsia" w:ascii="宋体" w:hAnsi="宋体" w:eastAsia="宋体" w:cs="宋体"/>
                <w:color w:val="auto"/>
                <w:sz w:val="21"/>
                <w:szCs w:val="21"/>
                <w:highlight w:val="none"/>
                <w:lang w:val="zh-CN"/>
              </w:rPr>
            </w:pPr>
          </w:p>
        </w:tc>
        <w:tc>
          <w:tcPr>
            <w:tcW w:w="588" w:type="pct"/>
            <w:shd w:val="clear" w:color="auto" w:fill="auto"/>
            <w:vAlign w:val="center"/>
          </w:tcPr>
          <w:p w14:paraId="39F980CC">
            <w:pPr>
              <w:pStyle w:val="48"/>
              <w:rPr>
                <w:rFonts w:hint="eastAsia" w:ascii="宋体" w:hAnsi="宋体" w:eastAsia="宋体" w:cs="宋体"/>
                <w:color w:val="auto"/>
                <w:sz w:val="21"/>
                <w:szCs w:val="21"/>
                <w:highlight w:val="none"/>
                <w:lang w:val="zh-CN"/>
              </w:rPr>
            </w:pPr>
          </w:p>
        </w:tc>
      </w:tr>
      <w:tr w14:paraId="3C8D3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277" w:type="pct"/>
            <w:shd w:val="clear" w:color="auto" w:fill="auto"/>
            <w:vAlign w:val="center"/>
          </w:tcPr>
          <w:p w14:paraId="2012FDE8">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en-US" w:eastAsia="zh-CN" w:bidi="ar-SA"/>
              </w:rPr>
              <w:t>8</w:t>
            </w:r>
          </w:p>
        </w:tc>
        <w:tc>
          <w:tcPr>
            <w:tcW w:w="704" w:type="pct"/>
            <w:vAlign w:val="center"/>
          </w:tcPr>
          <w:p w14:paraId="1CC6C561">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投标人影响评标</w:t>
            </w:r>
          </w:p>
        </w:tc>
        <w:tc>
          <w:tcPr>
            <w:tcW w:w="2961" w:type="pct"/>
            <w:shd w:val="clear" w:color="auto" w:fill="auto"/>
            <w:vAlign w:val="center"/>
          </w:tcPr>
          <w:p w14:paraId="3C76FE40">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lang w:val="zh-CN" w:eastAsia="zh-CN"/>
              </w:rPr>
              <w:t>对采购人、采购代理机构、评标委员会及其工作人员</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val="zh-CN" w:eastAsia="zh-CN"/>
              </w:rPr>
              <w:t>施加影响,</w:t>
            </w:r>
            <w:r>
              <w:rPr>
                <w:rFonts w:hint="eastAsia" w:ascii="宋体" w:hAnsi="宋体" w:eastAsia="宋体" w:cs="宋体"/>
                <w:color w:val="auto"/>
                <w:sz w:val="21"/>
                <w:szCs w:val="21"/>
                <w:highlight w:val="none"/>
                <w:lang w:val="en-US" w:eastAsia="zh-CN"/>
              </w:rPr>
              <w:t>无</w:t>
            </w:r>
            <w:r>
              <w:rPr>
                <w:rFonts w:hint="eastAsia" w:ascii="宋体" w:hAnsi="宋体" w:eastAsia="宋体" w:cs="宋体"/>
                <w:color w:val="auto"/>
                <w:sz w:val="21"/>
                <w:szCs w:val="21"/>
                <w:highlight w:val="none"/>
                <w:lang w:val="zh-CN" w:eastAsia="zh-CN"/>
              </w:rPr>
              <w:t>有碍公平、公正</w:t>
            </w:r>
            <w:r>
              <w:rPr>
                <w:rFonts w:hint="eastAsia" w:ascii="宋体" w:hAnsi="宋体" w:eastAsia="宋体" w:cs="宋体"/>
                <w:color w:val="auto"/>
                <w:sz w:val="21"/>
                <w:szCs w:val="21"/>
                <w:highlight w:val="none"/>
                <w:lang w:val="en-US" w:eastAsia="zh-CN"/>
              </w:rPr>
              <w:t>的</w:t>
            </w:r>
          </w:p>
        </w:tc>
        <w:tc>
          <w:tcPr>
            <w:tcW w:w="468" w:type="pct"/>
            <w:shd w:val="clear" w:color="auto" w:fill="auto"/>
            <w:vAlign w:val="center"/>
          </w:tcPr>
          <w:p w14:paraId="20345C1B">
            <w:pPr>
              <w:pStyle w:val="48"/>
              <w:rPr>
                <w:rFonts w:hint="eastAsia" w:ascii="宋体" w:hAnsi="宋体" w:eastAsia="宋体" w:cs="宋体"/>
                <w:color w:val="auto"/>
                <w:sz w:val="21"/>
                <w:szCs w:val="21"/>
                <w:highlight w:val="none"/>
                <w:lang w:val="zh-CN"/>
              </w:rPr>
            </w:pPr>
          </w:p>
        </w:tc>
        <w:tc>
          <w:tcPr>
            <w:tcW w:w="588" w:type="pct"/>
            <w:shd w:val="clear" w:color="auto" w:fill="auto"/>
            <w:vAlign w:val="center"/>
          </w:tcPr>
          <w:p w14:paraId="3D97A824">
            <w:pPr>
              <w:pStyle w:val="48"/>
              <w:rPr>
                <w:rFonts w:hint="eastAsia" w:ascii="宋体" w:hAnsi="宋体" w:eastAsia="宋体" w:cs="宋体"/>
                <w:color w:val="auto"/>
                <w:sz w:val="21"/>
                <w:szCs w:val="21"/>
                <w:highlight w:val="none"/>
                <w:lang w:val="zh-CN"/>
              </w:rPr>
            </w:pPr>
          </w:p>
        </w:tc>
      </w:tr>
      <w:tr w14:paraId="4413A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277" w:type="pct"/>
            <w:shd w:val="clear" w:color="auto" w:fill="auto"/>
            <w:vAlign w:val="center"/>
          </w:tcPr>
          <w:p w14:paraId="73A18868">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w:t>
            </w:r>
          </w:p>
        </w:tc>
        <w:tc>
          <w:tcPr>
            <w:tcW w:w="704" w:type="pct"/>
            <w:vAlign w:val="center"/>
          </w:tcPr>
          <w:p w14:paraId="4CFDF2BA">
            <w:pPr>
              <w:pStyle w:val="48"/>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围标串标情形</w:t>
            </w:r>
          </w:p>
        </w:tc>
        <w:tc>
          <w:tcPr>
            <w:tcW w:w="2961" w:type="pct"/>
            <w:shd w:val="clear" w:color="auto" w:fill="auto"/>
            <w:vAlign w:val="center"/>
          </w:tcPr>
          <w:p w14:paraId="7CC20F95">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没有</w:t>
            </w:r>
            <w:r>
              <w:rPr>
                <w:rFonts w:hint="eastAsia" w:ascii="宋体" w:hAnsi="宋体" w:eastAsia="宋体" w:cs="宋体"/>
                <w:color w:val="auto"/>
                <w:sz w:val="21"/>
                <w:szCs w:val="21"/>
                <w:highlight w:val="none"/>
                <w:lang w:val="zh-CN" w:eastAsia="zh-CN"/>
              </w:rPr>
              <w:t>“第五章 评标方法及标准”</w:t>
            </w:r>
            <w:r>
              <w:rPr>
                <w:rFonts w:hint="eastAsia" w:ascii="宋体" w:hAnsi="宋体" w:eastAsia="宋体" w:cs="宋体"/>
                <w:color w:val="auto"/>
                <w:sz w:val="21"/>
                <w:szCs w:val="21"/>
                <w:highlight w:val="none"/>
                <w:lang w:val="en-US" w:eastAsia="zh-CN"/>
              </w:rPr>
              <w:t>第17条情形之一的</w:t>
            </w:r>
          </w:p>
        </w:tc>
        <w:tc>
          <w:tcPr>
            <w:tcW w:w="468" w:type="pct"/>
            <w:shd w:val="clear" w:color="auto" w:fill="auto"/>
            <w:vAlign w:val="center"/>
          </w:tcPr>
          <w:p w14:paraId="458828AD">
            <w:pPr>
              <w:pStyle w:val="48"/>
              <w:rPr>
                <w:rFonts w:hint="eastAsia" w:ascii="宋体" w:hAnsi="宋体" w:eastAsia="宋体" w:cs="宋体"/>
                <w:color w:val="auto"/>
                <w:sz w:val="21"/>
                <w:szCs w:val="21"/>
                <w:highlight w:val="none"/>
                <w:lang w:val="zh-CN"/>
              </w:rPr>
            </w:pPr>
          </w:p>
        </w:tc>
        <w:tc>
          <w:tcPr>
            <w:tcW w:w="588" w:type="pct"/>
            <w:shd w:val="clear" w:color="auto" w:fill="auto"/>
            <w:vAlign w:val="center"/>
          </w:tcPr>
          <w:p w14:paraId="49B3200C">
            <w:pPr>
              <w:pStyle w:val="48"/>
              <w:rPr>
                <w:rFonts w:hint="eastAsia" w:ascii="宋体" w:hAnsi="宋体" w:eastAsia="宋体" w:cs="宋体"/>
                <w:color w:val="auto"/>
                <w:sz w:val="21"/>
                <w:szCs w:val="21"/>
                <w:highlight w:val="none"/>
                <w:lang w:val="zh-CN"/>
              </w:rPr>
            </w:pPr>
          </w:p>
        </w:tc>
      </w:tr>
      <w:tr w14:paraId="45B1E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trPr>
        <w:tc>
          <w:tcPr>
            <w:tcW w:w="277" w:type="pct"/>
            <w:shd w:val="clear" w:color="auto" w:fill="auto"/>
            <w:vAlign w:val="center"/>
          </w:tcPr>
          <w:p w14:paraId="6F77678A">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w:t>
            </w:r>
          </w:p>
        </w:tc>
        <w:tc>
          <w:tcPr>
            <w:tcW w:w="704" w:type="pct"/>
            <w:vAlign w:val="center"/>
          </w:tcPr>
          <w:p w14:paraId="3E70CB05">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附加条件</w:t>
            </w:r>
          </w:p>
        </w:tc>
        <w:tc>
          <w:tcPr>
            <w:tcW w:w="2961" w:type="pct"/>
            <w:shd w:val="clear" w:color="auto" w:fill="auto"/>
            <w:vAlign w:val="center"/>
          </w:tcPr>
          <w:p w14:paraId="00E8C437">
            <w:pPr>
              <w:pStyle w:val="48"/>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投标文件没有采购人不能接受的附加条件的</w:t>
            </w:r>
          </w:p>
        </w:tc>
        <w:tc>
          <w:tcPr>
            <w:tcW w:w="468" w:type="pct"/>
            <w:shd w:val="clear" w:color="auto" w:fill="auto"/>
            <w:vAlign w:val="center"/>
          </w:tcPr>
          <w:p w14:paraId="4E85B60D">
            <w:pPr>
              <w:pStyle w:val="48"/>
              <w:rPr>
                <w:rFonts w:hint="eastAsia" w:ascii="宋体" w:hAnsi="宋体" w:eastAsia="宋体" w:cs="宋体"/>
                <w:color w:val="auto"/>
                <w:sz w:val="21"/>
                <w:szCs w:val="21"/>
                <w:highlight w:val="none"/>
                <w:lang w:val="zh-CN"/>
              </w:rPr>
            </w:pPr>
          </w:p>
        </w:tc>
        <w:tc>
          <w:tcPr>
            <w:tcW w:w="588" w:type="pct"/>
            <w:shd w:val="clear" w:color="auto" w:fill="auto"/>
            <w:vAlign w:val="center"/>
          </w:tcPr>
          <w:p w14:paraId="64867211">
            <w:pPr>
              <w:pStyle w:val="48"/>
              <w:rPr>
                <w:rFonts w:hint="eastAsia" w:ascii="宋体" w:hAnsi="宋体" w:eastAsia="宋体" w:cs="宋体"/>
                <w:color w:val="auto"/>
                <w:sz w:val="21"/>
                <w:szCs w:val="21"/>
                <w:highlight w:val="none"/>
                <w:lang w:val="zh-CN"/>
              </w:rPr>
            </w:pPr>
          </w:p>
        </w:tc>
      </w:tr>
      <w:tr w14:paraId="17F6F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277" w:type="pct"/>
            <w:shd w:val="clear" w:color="auto" w:fill="auto"/>
            <w:vAlign w:val="center"/>
          </w:tcPr>
          <w:p w14:paraId="154EAFBE">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w:t>
            </w:r>
          </w:p>
        </w:tc>
        <w:tc>
          <w:tcPr>
            <w:tcW w:w="704" w:type="pct"/>
            <w:vAlign w:val="center"/>
          </w:tcPr>
          <w:p w14:paraId="75B53696">
            <w:pPr>
              <w:pStyle w:val="48"/>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其他无效情形</w:t>
            </w:r>
          </w:p>
        </w:tc>
        <w:tc>
          <w:tcPr>
            <w:tcW w:w="2961" w:type="pct"/>
            <w:shd w:val="clear" w:color="auto" w:fill="auto"/>
            <w:vAlign w:val="center"/>
          </w:tcPr>
          <w:p w14:paraId="73B7A24C">
            <w:pPr>
              <w:pStyle w:val="48"/>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没有</w:t>
            </w:r>
            <w:r>
              <w:rPr>
                <w:rFonts w:hint="eastAsia" w:ascii="宋体" w:hAnsi="宋体" w:eastAsia="宋体" w:cs="宋体"/>
                <w:color w:val="auto"/>
                <w:sz w:val="21"/>
                <w:szCs w:val="21"/>
                <w:highlight w:val="none"/>
                <w:lang w:val="zh-CN" w:eastAsia="zh-CN"/>
              </w:rPr>
              <w:t>法律、法规、规章规定属于</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lang w:val="zh-CN" w:eastAsia="zh-CN"/>
              </w:rPr>
              <w:t>无效的其他情形。</w:t>
            </w:r>
          </w:p>
        </w:tc>
        <w:tc>
          <w:tcPr>
            <w:tcW w:w="468" w:type="pct"/>
            <w:shd w:val="clear" w:color="auto" w:fill="auto"/>
            <w:vAlign w:val="center"/>
          </w:tcPr>
          <w:p w14:paraId="091FA974">
            <w:pPr>
              <w:pStyle w:val="48"/>
              <w:rPr>
                <w:rFonts w:hint="eastAsia" w:ascii="宋体" w:hAnsi="宋体" w:eastAsia="宋体" w:cs="宋体"/>
                <w:color w:val="auto"/>
                <w:sz w:val="21"/>
                <w:szCs w:val="21"/>
                <w:highlight w:val="none"/>
                <w:lang w:val="zh-CN"/>
              </w:rPr>
            </w:pPr>
          </w:p>
        </w:tc>
        <w:tc>
          <w:tcPr>
            <w:tcW w:w="588" w:type="pct"/>
            <w:shd w:val="clear" w:color="auto" w:fill="auto"/>
            <w:vAlign w:val="center"/>
          </w:tcPr>
          <w:p w14:paraId="39067C97">
            <w:pPr>
              <w:pStyle w:val="48"/>
              <w:rPr>
                <w:rFonts w:hint="eastAsia" w:ascii="宋体" w:hAnsi="宋体" w:eastAsia="宋体" w:cs="宋体"/>
                <w:color w:val="auto"/>
                <w:sz w:val="21"/>
                <w:szCs w:val="21"/>
                <w:highlight w:val="none"/>
                <w:lang w:val="zh-CN"/>
              </w:rPr>
            </w:pPr>
          </w:p>
        </w:tc>
      </w:tr>
      <w:tr w14:paraId="6E4F1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277" w:type="pct"/>
            <w:shd w:val="clear" w:color="auto" w:fill="auto"/>
            <w:vAlign w:val="center"/>
          </w:tcPr>
          <w:p w14:paraId="6B67A31B">
            <w:pPr>
              <w:pStyle w:val="48"/>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p>
        </w:tc>
        <w:tc>
          <w:tcPr>
            <w:tcW w:w="704" w:type="pct"/>
            <w:vAlign w:val="center"/>
          </w:tcPr>
          <w:p w14:paraId="50547303">
            <w:pPr>
              <w:pStyle w:val="48"/>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p>
        </w:tc>
        <w:tc>
          <w:tcPr>
            <w:tcW w:w="2961" w:type="pct"/>
            <w:shd w:val="clear" w:color="auto" w:fill="auto"/>
            <w:vAlign w:val="center"/>
          </w:tcPr>
          <w:p w14:paraId="3B81A6A2">
            <w:pPr>
              <w:pStyle w:val="48"/>
              <w:rPr>
                <w:rFonts w:hint="eastAsia" w:ascii="宋体" w:hAnsi="宋体" w:eastAsia="宋体" w:cs="宋体"/>
                <w:color w:val="auto"/>
                <w:sz w:val="21"/>
                <w:szCs w:val="21"/>
                <w:highlight w:val="none"/>
                <w:lang w:val="zh-CN" w:eastAsia="zh-CN"/>
              </w:rPr>
            </w:pPr>
          </w:p>
        </w:tc>
        <w:tc>
          <w:tcPr>
            <w:tcW w:w="468" w:type="pct"/>
            <w:shd w:val="clear" w:color="auto" w:fill="auto"/>
            <w:vAlign w:val="center"/>
          </w:tcPr>
          <w:p w14:paraId="363E289C">
            <w:pPr>
              <w:pStyle w:val="48"/>
              <w:rPr>
                <w:rFonts w:hint="eastAsia" w:ascii="宋体" w:hAnsi="宋体" w:eastAsia="宋体" w:cs="宋体"/>
                <w:color w:val="auto"/>
                <w:sz w:val="21"/>
                <w:szCs w:val="21"/>
                <w:highlight w:val="none"/>
                <w:lang w:val="zh-CN"/>
              </w:rPr>
            </w:pPr>
          </w:p>
        </w:tc>
        <w:tc>
          <w:tcPr>
            <w:tcW w:w="588" w:type="pct"/>
            <w:shd w:val="clear" w:color="auto" w:fill="auto"/>
            <w:vAlign w:val="center"/>
          </w:tcPr>
          <w:p w14:paraId="2503DB0B">
            <w:pPr>
              <w:pStyle w:val="48"/>
              <w:rPr>
                <w:rFonts w:hint="eastAsia" w:ascii="宋体" w:hAnsi="宋体" w:eastAsia="宋体" w:cs="宋体"/>
                <w:color w:val="auto"/>
                <w:sz w:val="21"/>
                <w:szCs w:val="21"/>
                <w:highlight w:val="none"/>
                <w:lang w:val="zh-CN"/>
              </w:rPr>
            </w:pPr>
          </w:p>
        </w:tc>
      </w:tr>
    </w:tbl>
    <w:p w14:paraId="27E8055A">
      <w:pPr>
        <w:rPr>
          <w:rFonts w:hint="eastAsia" w:ascii="宋体" w:hAnsi="宋体" w:eastAsia="宋体" w:cstheme="minorBidi"/>
          <w:b/>
          <w:bCs/>
          <w:color w:val="auto"/>
          <w:kern w:val="2"/>
          <w:sz w:val="30"/>
          <w:szCs w:val="32"/>
          <w:highlight w:val="none"/>
          <w:lang w:val="zh-CN" w:eastAsia="zh-CN" w:bidi="ar-SA"/>
        </w:rPr>
      </w:pPr>
      <w:r>
        <w:rPr>
          <w:rFonts w:hint="eastAsia" w:ascii="宋体" w:hAnsi="宋体" w:eastAsia="宋体" w:cstheme="minorBidi"/>
          <w:b/>
          <w:bCs/>
          <w:color w:val="auto"/>
          <w:kern w:val="2"/>
          <w:sz w:val="30"/>
          <w:szCs w:val="32"/>
          <w:highlight w:val="none"/>
          <w:lang w:val="zh-CN" w:eastAsia="zh-CN" w:bidi="ar-SA"/>
        </w:rPr>
        <w:br w:type="page"/>
      </w:r>
    </w:p>
    <w:p w14:paraId="01931AFF">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24596567">
      <w:pPr>
        <w:shd w:val="clear" w:color="auto" w:fill="FFFFFF"/>
        <w:tabs>
          <w:tab w:val="left" w:pos="3045"/>
        </w:tabs>
        <w:autoSpaceDE w:val="0"/>
        <w:autoSpaceDN w:val="0"/>
        <w:adjustRightInd w:val="0"/>
        <w:snapToGrid w:val="0"/>
        <w:spacing w:line="360" w:lineRule="exact"/>
        <w:rPr>
          <w:rFonts w:hint="eastAsia"/>
          <w:color w:val="auto"/>
          <w:highlight w:val="none"/>
        </w:rPr>
      </w:pPr>
      <w:r>
        <w:rPr>
          <w:rFonts w:hint="eastAsia" w:ascii="宋体" w:hAnsi="宋体" w:cs="宋体"/>
          <w:b/>
          <w:color w:val="auto"/>
          <w:sz w:val="24"/>
          <w:highlight w:val="none"/>
        </w:rPr>
        <w:t>符合</w:t>
      </w:r>
      <w:r>
        <w:rPr>
          <w:rFonts w:hint="eastAsia" w:ascii="宋体" w:hAnsi="宋体" w:cs="宋体"/>
          <w:b/>
          <w:color w:val="auto"/>
          <w:sz w:val="24"/>
          <w:highlight w:val="none"/>
          <w:lang w:eastAsia="zh-CN"/>
        </w:rPr>
        <w:t>性</w:t>
      </w:r>
      <w:r>
        <w:rPr>
          <w:rFonts w:hint="eastAsia" w:cs="宋体"/>
          <w:b/>
          <w:color w:val="auto"/>
          <w:sz w:val="24"/>
          <w:highlight w:val="none"/>
          <w:lang w:val="en-US" w:eastAsia="zh-CN"/>
        </w:rPr>
        <w:t>审查表-</w:t>
      </w:r>
      <w:r>
        <w:rPr>
          <w:rFonts w:hint="eastAsia" w:ascii="宋体" w:hAnsi="宋体" w:cs="宋体"/>
          <w:b/>
          <w:color w:val="auto"/>
          <w:sz w:val="24"/>
          <w:highlight w:val="none"/>
        </w:rPr>
        <w:t>附表</w:t>
      </w:r>
    </w:p>
    <w:p w14:paraId="67B6740A">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jc w:val="center"/>
        <w:textAlignment w:val="auto"/>
        <w:rPr>
          <w:rFonts w:hint="eastAsia" w:ascii="宋体" w:hAnsi="宋体" w:eastAsia="宋体" w:cstheme="minorBidi"/>
          <w:b/>
          <w:bCs/>
          <w:color w:val="auto"/>
          <w:kern w:val="2"/>
          <w:sz w:val="28"/>
          <w:szCs w:val="28"/>
          <w:highlight w:val="none"/>
          <w:lang w:val="zh-CN" w:eastAsia="zh-CN" w:bidi="ar-SA"/>
        </w:rPr>
      </w:pPr>
      <w:bookmarkStart w:id="414" w:name="_Toc20418"/>
      <w:r>
        <w:rPr>
          <w:rFonts w:hint="eastAsia" w:ascii="宋体" w:hAnsi="宋体" w:eastAsia="宋体" w:cstheme="minorBidi"/>
          <w:b/>
          <w:bCs/>
          <w:color w:val="auto"/>
          <w:kern w:val="2"/>
          <w:sz w:val="28"/>
          <w:szCs w:val="28"/>
          <w:highlight w:val="none"/>
          <w:lang w:val="zh-CN" w:eastAsia="zh-CN" w:bidi="ar-SA"/>
        </w:rPr>
        <w:t>实质性响应一览表</w:t>
      </w:r>
      <w:bookmarkEnd w:id="414"/>
    </w:p>
    <w:p w14:paraId="0EB6BB20">
      <w:pPr>
        <w:shd w:val="clear" w:color="auto" w:fill="FFFFFF"/>
        <w:tabs>
          <w:tab w:val="left" w:pos="3045"/>
        </w:tabs>
        <w:autoSpaceDE w:val="0"/>
        <w:autoSpaceDN w:val="0"/>
        <w:adjustRightInd w:val="0"/>
        <w:snapToGrid w:val="0"/>
        <w:spacing w:line="360" w:lineRule="exact"/>
        <w:jc w:val="center"/>
        <w:rPr>
          <w:rFonts w:hint="eastAsia" w:ascii="宋体" w:hAnsi="宋体" w:cs="宋体"/>
          <w:b w:val="0"/>
          <w:bCs/>
          <w:color w:val="auto"/>
          <w:sz w:val="24"/>
          <w:highlight w:val="none"/>
        </w:rPr>
      </w:pPr>
      <w:r>
        <w:rPr>
          <w:rFonts w:hint="eastAsia" w:ascii="宋体" w:hAnsi="宋体" w:cs="宋体"/>
          <w:b w:val="0"/>
          <w:bCs/>
          <w:color w:val="auto"/>
          <w:sz w:val="24"/>
          <w:highlight w:val="none"/>
        </w:rPr>
        <w:t>（</w:t>
      </w:r>
      <w:r>
        <w:rPr>
          <w:rFonts w:hint="eastAsia" w:cs="宋体"/>
          <w:b w:val="0"/>
          <w:bCs/>
          <w:color w:val="auto"/>
          <w:sz w:val="24"/>
          <w:highlight w:val="none"/>
          <w:lang w:val="en-US" w:eastAsia="zh-CN"/>
        </w:rPr>
        <w:t>投标人</w:t>
      </w:r>
      <w:r>
        <w:rPr>
          <w:rFonts w:hint="eastAsia" w:ascii="宋体" w:hAnsi="宋体" w:cs="宋体"/>
          <w:b w:val="0"/>
          <w:bCs/>
          <w:color w:val="auto"/>
          <w:sz w:val="24"/>
          <w:highlight w:val="none"/>
        </w:rPr>
        <w:t>须对本附表所有内容逐条响应且无负偏离，否则</w:t>
      </w:r>
      <w:r>
        <w:rPr>
          <w:rFonts w:hint="eastAsia" w:cs="宋体"/>
          <w:b w:val="0"/>
          <w:bCs/>
          <w:color w:val="auto"/>
          <w:sz w:val="24"/>
          <w:highlight w:val="none"/>
          <w:lang w:val="en-US" w:eastAsia="zh-CN"/>
        </w:rPr>
        <w:t>其</w:t>
      </w:r>
      <w:r>
        <w:rPr>
          <w:rFonts w:hint="eastAsia" w:ascii="宋体" w:hAnsi="宋体" w:cs="宋体"/>
          <w:b/>
          <w:bCs w:val="0"/>
          <w:color w:val="auto"/>
          <w:sz w:val="24"/>
          <w:highlight w:val="none"/>
        </w:rPr>
        <w:t>投标无效</w:t>
      </w:r>
      <w:r>
        <w:rPr>
          <w:rFonts w:hint="eastAsia" w:ascii="宋体" w:hAnsi="宋体" w:cs="宋体"/>
          <w:b w:val="0"/>
          <w:bCs/>
          <w:color w:val="auto"/>
          <w:sz w:val="24"/>
          <w:highlight w:val="none"/>
        </w:rPr>
        <w:t>）</w:t>
      </w:r>
    </w:p>
    <w:p w14:paraId="312B3079">
      <w:pPr>
        <w:pStyle w:val="23"/>
        <w:rPr>
          <w:rFonts w:hint="eastAsia" w:ascii="宋体" w:hAnsi="宋体" w:cs="宋体"/>
          <w:color w:val="auto"/>
          <w:highlight w:val="none"/>
        </w:rPr>
      </w:pPr>
    </w:p>
    <w:tbl>
      <w:tblPr>
        <w:tblStyle w:val="29"/>
        <w:tblW w:w="5435" w:type="pct"/>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8"/>
        <w:gridCol w:w="1993"/>
        <w:gridCol w:w="4261"/>
        <w:gridCol w:w="1874"/>
        <w:gridCol w:w="732"/>
      </w:tblGrid>
      <w:tr w14:paraId="6F3BE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220" w:type="pct"/>
            <w:vMerge w:val="restart"/>
            <w:noWrap w:val="0"/>
            <w:vAlign w:val="center"/>
          </w:tcPr>
          <w:p w14:paraId="10CE596E">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6251" w:type="dxa"/>
            <w:gridSpan w:val="2"/>
            <w:noWrap w:val="0"/>
            <w:vAlign w:val="center"/>
          </w:tcPr>
          <w:p w14:paraId="4D960388">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招标文件要求的实质性响应内容</w:t>
            </w:r>
          </w:p>
        </w:tc>
        <w:tc>
          <w:tcPr>
            <w:tcW w:w="1010" w:type="pct"/>
            <w:vMerge w:val="restart"/>
            <w:noWrap w:val="0"/>
            <w:vAlign w:val="center"/>
          </w:tcPr>
          <w:p w14:paraId="51F5114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投标文件响应</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具体内容</w:t>
            </w:r>
          </w:p>
        </w:tc>
        <w:tc>
          <w:tcPr>
            <w:tcW w:w="395" w:type="pct"/>
            <w:vMerge w:val="restart"/>
            <w:noWrap w:val="0"/>
            <w:vAlign w:val="center"/>
          </w:tcPr>
          <w:p w14:paraId="191CC5A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017D4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220" w:type="pct"/>
            <w:vMerge w:val="continue"/>
            <w:noWrap w:val="0"/>
            <w:vAlign w:val="center"/>
          </w:tcPr>
          <w:p w14:paraId="6100F67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1992" w:type="dxa"/>
            <w:noWrap w:val="0"/>
            <w:vAlign w:val="center"/>
          </w:tcPr>
          <w:p w14:paraId="1247F4B0">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实质性要求</w:t>
            </w:r>
          </w:p>
        </w:tc>
        <w:tc>
          <w:tcPr>
            <w:tcW w:w="4259" w:type="dxa"/>
            <w:noWrap w:val="0"/>
            <w:vAlign w:val="center"/>
          </w:tcPr>
          <w:p w14:paraId="294AB9BD">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招标文件中的规定</w:t>
            </w:r>
          </w:p>
        </w:tc>
        <w:tc>
          <w:tcPr>
            <w:tcW w:w="1010" w:type="pct"/>
            <w:vMerge w:val="continue"/>
            <w:noWrap w:val="0"/>
            <w:vAlign w:val="center"/>
          </w:tcPr>
          <w:p w14:paraId="2A7EE8D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p>
        </w:tc>
        <w:tc>
          <w:tcPr>
            <w:tcW w:w="395" w:type="pct"/>
            <w:vMerge w:val="continue"/>
            <w:noWrap w:val="0"/>
            <w:vAlign w:val="center"/>
          </w:tcPr>
          <w:p w14:paraId="6F2D40B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p>
        </w:tc>
      </w:tr>
      <w:tr w14:paraId="6B57E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trPr>
        <w:tc>
          <w:tcPr>
            <w:tcW w:w="220" w:type="pct"/>
            <w:noWrap w:val="0"/>
            <w:vAlign w:val="center"/>
          </w:tcPr>
          <w:p w14:paraId="7D89ABEE">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075" w:type="pct"/>
            <w:shd w:val="clear" w:color="auto" w:fill="auto"/>
            <w:noWrap w:val="0"/>
            <w:vAlign w:val="center"/>
          </w:tcPr>
          <w:p w14:paraId="26D77DDC">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投标有效期</w:t>
            </w:r>
          </w:p>
        </w:tc>
        <w:tc>
          <w:tcPr>
            <w:tcW w:w="2298" w:type="pct"/>
            <w:shd w:val="clear" w:color="auto" w:fill="auto"/>
            <w:noWrap w:val="0"/>
            <w:vAlign w:val="center"/>
          </w:tcPr>
          <w:p w14:paraId="7C737DAE">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招标文件“第二章投标须知”关于投标有效期的规定</w:t>
            </w:r>
          </w:p>
        </w:tc>
        <w:tc>
          <w:tcPr>
            <w:tcW w:w="1010" w:type="pct"/>
            <w:noWrap w:val="0"/>
            <w:vAlign w:val="center"/>
          </w:tcPr>
          <w:p w14:paraId="50F01CE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投标人在</w:t>
            </w:r>
            <w:r>
              <w:rPr>
                <w:rFonts w:hint="eastAsia" w:ascii="宋体" w:hAnsi="宋体" w:eastAsia="宋体" w:cs="宋体"/>
                <w:color w:val="auto"/>
                <w:sz w:val="21"/>
                <w:szCs w:val="21"/>
                <w:highlight w:val="none"/>
              </w:rPr>
              <w:t>此处填写</w:t>
            </w:r>
            <w:r>
              <w:rPr>
                <w:rFonts w:hint="eastAsia" w:ascii="宋体" w:hAnsi="宋体" w:eastAsia="宋体" w:cs="宋体"/>
                <w:color w:val="auto"/>
                <w:sz w:val="21"/>
                <w:szCs w:val="21"/>
                <w:highlight w:val="none"/>
                <w:lang w:eastAsia="zh-CN"/>
              </w:rPr>
              <w:t>投标</w:t>
            </w:r>
            <w:r>
              <w:rPr>
                <w:rFonts w:hint="eastAsia" w:ascii="宋体" w:hAnsi="宋体" w:eastAsia="宋体" w:cs="宋体"/>
                <w:color w:val="auto"/>
                <w:sz w:val="21"/>
                <w:szCs w:val="21"/>
                <w:highlight w:val="none"/>
                <w:lang w:val="en-US" w:eastAsia="zh-CN"/>
              </w:rPr>
              <w:t>文件的相关内容</w:t>
            </w:r>
            <w:r>
              <w:rPr>
                <w:rFonts w:hint="eastAsia" w:ascii="宋体" w:hAnsi="宋体" w:eastAsia="宋体" w:cs="宋体"/>
                <w:color w:val="auto"/>
                <w:sz w:val="21"/>
                <w:szCs w:val="21"/>
                <w:highlight w:val="none"/>
                <w:lang w:eastAsia="zh-CN"/>
              </w:rPr>
              <w:t>】</w:t>
            </w:r>
          </w:p>
        </w:tc>
        <w:tc>
          <w:tcPr>
            <w:tcW w:w="395" w:type="pct"/>
            <w:noWrap w:val="0"/>
            <w:vAlign w:val="center"/>
          </w:tcPr>
          <w:p w14:paraId="224255CA">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17B45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trPr>
        <w:tc>
          <w:tcPr>
            <w:tcW w:w="220" w:type="pct"/>
            <w:noWrap w:val="0"/>
            <w:vAlign w:val="center"/>
          </w:tcPr>
          <w:p w14:paraId="4F8376B4">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075" w:type="pct"/>
            <w:shd w:val="clear" w:color="auto" w:fill="auto"/>
            <w:noWrap w:val="0"/>
            <w:vAlign w:val="center"/>
          </w:tcPr>
          <w:p w14:paraId="03DBC1A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【根据项目需要自行填列及编制】</w:t>
            </w:r>
          </w:p>
        </w:tc>
        <w:tc>
          <w:tcPr>
            <w:tcW w:w="2298" w:type="pct"/>
            <w:shd w:val="clear" w:color="auto" w:fill="auto"/>
            <w:noWrap w:val="0"/>
            <w:vAlign w:val="center"/>
          </w:tcPr>
          <w:p w14:paraId="00E41769">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p>
        </w:tc>
        <w:tc>
          <w:tcPr>
            <w:tcW w:w="1010" w:type="pct"/>
            <w:noWrap w:val="0"/>
            <w:vAlign w:val="center"/>
          </w:tcPr>
          <w:p w14:paraId="109D286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24B6CB7C">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681BF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trPr>
        <w:tc>
          <w:tcPr>
            <w:tcW w:w="220" w:type="pct"/>
            <w:shd w:val="clear" w:color="auto" w:fill="auto"/>
            <w:noWrap w:val="0"/>
            <w:vAlign w:val="center"/>
          </w:tcPr>
          <w:p w14:paraId="179023B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3</w:t>
            </w:r>
          </w:p>
        </w:tc>
        <w:tc>
          <w:tcPr>
            <w:tcW w:w="1075" w:type="pct"/>
            <w:shd w:val="clear" w:color="auto" w:fill="auto"/>
            <w:noWrap w:val="0"/>
            <w:vAlign w:val="center"/>
          </w:tcPr>
          <w:p w14:paraId="5CB6D9CC">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zh-CN"/>
              </w:rPr>
              <w:t>……</w:t>
            </w:r>
          </w:p>
        </w:tc>
        <w:tc>
          <w:tcPr>
            <w:tcW w:w="2298" w:type="pct"/>
            <w:shd w:val="clear" w:color="auto" w:fill="auto"/>
            <w:noWrap w:val="0"/>
            <w:vAlign w:val="center"/>
          </w:tcPr>
          <w:p w14:paraId="627D5BE5">
            <w:pPr>
              <w:pStyle w:val="48"/>
              <w:rPr>
                <w:rFonts w:hint="eastAsia" w:ascii="宋体" w:hAnsi="宋体" w:eastAsia="宋体" w:cs="宋体"/>
                <w:color w:val="auto"/>
                <w:kern w:val="2"/>
                <w:sz w:val="21"/>
                <w:szCs w:val="21"/>
                <w:highlight w:val="none"/>
                <w:lang w:val="en-US" w:eastAsia="zh-CN" w:bidi="ar-SA"/>
              </w:rPr>
            </w:pPr>
          </w:p>
        </w:tc>
        <w:tc>
          <w:tcPr>
            <w:tcW w:w="1010" w:type="pct"/>
            <w:noWrap w:val="0"/>
            <w:vAlign w:val="center"/>
          </w:tcPr>
          <w:p w14:paraId="5B18DAF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4DB03449">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4D674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220" w:type="pct"/>
            <w:shd w:val="clear" w:color="auto" w:fill="auto"/>
            <w:noWrap w:val="0"/>
            <w:vAlign w:val="center"/>
          </w:tcPr>
          <w:p w14:paraId="6DD33224">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4</w:t>
            </w:r>
          </w:p>
        </w:tc>
        <w:tc>
          <w:tcPr>
            <w:tcW w:w="1075" w:type="pct"/>
            <w:shd w:val="clear" w:color="auto" w:fill="auto"/>
            <w:noWrap w:val="0"/>
            <w:vAlign w:val="center"/>
          </w:tcPr>
          <w:p w14:paraId="7512877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zh-CN"/>
              </w:rPr>
              <w:t>……</w:t>
            </w:r>
          </w:p>
        </w:tc>
        <w:tc>
          <w:tcPr>
            <w:tcW w:w="2298" w:type="pct"/>
            <w:shd w:val="clear" w:color="auto" w:fill="auto"/>
            <w:noWrap w:val="0"/>
            <w:vAlign w:val="center"/>
          </w:tcPr>
          <w:p w14:paraId="6F3D7A74">
            <w:pPr>
              <w:pStyle w:val="48"/>
              <w:rPr>
                <w:rFonts w:hint="eastAsia" w:ascii="宋体" w:hAnsi="宋体" w:eastAsia="宋体" w:cs="宋体"/>
                <w:color w:val="auto"/>
                <w:kern w:val="2"/>
                <w:sz w:val="21"/>
                <w:szCs w:val="21"/>
                <w:highlight w:val="none"/>
                <w:lang w:val="en-US" w:eastAsia="zh-CN" w:bidi="ar-SA"/>
              </w:rPr>
            </w:pPr>
          </w:p>
        </w:tc>
        <w:tc>
          <w:tcPr>
            <w:tcW w:w="1010" w:type="pct"/>
            <w:noWrap w:val="0"/>
            <w:vAlign w:val="center"/>
          </w:tcPr>
          <w:p w14:paraId="65622D2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5A70D99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52E5E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220" w:type="pct"/>
            <w:shd w:val="clear" w:color="auto" w:fill="auto"/>
            <w:noWrap w:val="0"/>
            <w:vAlign w:val="center"/>
          </w:tcPr>
          <w:p w14:paraId="66EE59AF">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5</w:t>
            </w:r>
          </w:p>
        </w:tc>
        <w:tc>
          <w:tcPr>
            <w:tcW w:w="1075" w:type="pct"/>
            <w:shd w:val="clear" w:color="auto" w:fill="auto"/>
            <w:noWrap w:val="0"/>
            <w:vAlign w:val="center"/>
          </w:tcPr>
          <w:p w14:paraId="5FB80ED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zh-CN"/>
              </w:rPr>
              <w:t>……</w:t>
            </w:r>
          </w:p>
        </w:tc>
        <w:tc>
          <w:tcPr>
            <w:tcW w:w="2298" w:type="pct"/>
            <w:noWrap w:val="0"/>
            <w:vAlign w:val="center"/>
          </w:tcPr>
          <w:p w14:paraId="745F26C3">
            <w:pPr>
              <w:pStyle w:val="72"/>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color w:val="auto"/>
                <w:kern w:val="0"/>
                <w:sz w:val="21"/>
                <w:szCs w:val="21"/>
                <w:highlight w:val="none"/>
                <w:lang w:val="en-US" w:eastAsia="zh-CN" w:bidi="ar-SA"/>
              </w:rPr>
            </w:pPr>
          </w:p>
        </w:tc>
        <w:tc>
          <w:tcPr>
            <w:tcW w:w="1010" w:type="pct"/>
            <w:noWrap w:val="0"/>
            <w:vAlign w:val="center"/>
          </w:tcPr>
          <w:p w14:paraId="4B40ECE9">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326A7D1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12EEB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trPr>
        <w:tc>
          <w:tcPr>
            <w:tcW w:w="220" w:type="pct"/>
            <w:shd w:val="clear" w:color="auto" w:fill="auto"/>
            <w:noWrap w:val="0"/>
            <w:vAlign w:val="center"/>
          </w:tcPr>
          <w:p w14:paraId="013B488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6</w:t>
            </w:r>
          </w:p>
        </w:tc>
        <w:tc>
          <w:tcPr>
            <w:tcW w:w="1075" w:type="pct"/>
            <w:noWrap w:val="0"/>
            <w:vAlign w:val="center"/>
          </w:tcPr>
          <w:p w14:paraId="0D51DA5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lang w:val="en-US" w:eastAsia="zh-CN"/>
              </w:rPr>
            </w:pPr>
          </w:p>
        </w:tc>
        <w:tc>
          <w:tcPr>
            <w:tcW w:w="2298" w:type="pct"/>
            <w:noWrap w:val="0"/>
            <w:vAlign w:val="center"/>
          </w:tcPr>
          <w:p w14:paraId="26AB786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1"/>
                <w:szCs w:val="21"/>
                <w:highlight w:val="none"/>
                <w:lang w:val="en-US" w:eastAsia="zh-CN" w:bidi="ar-SA"/>
              </w:rPr>
            </w:pPr>
          </w:p>
        </w:tc>
        <w:tc>
          <w:tcPr>
            <w:tcW w:w="1010" w:type="pct"/>
            <w:noWrap w:val="0"/>
            <w:vAlign w:val="center"/>
          </w:tcPr>
          <w:p w14:paraId="29B72B6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2F3498B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2D2D3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trPr>
        <w:tc>
          <w:tcPr>
            <w:tcW w:w="220" w:type="pct"/>
            <w:shd w:val="clear" w:color="auto" w:fill="auto"/>
            <w:noWrap w:val="0"/>
            <w:vAlign w:val="center"/>
          </w:tcPr>
          <w:p w14:paraId="1E0D6CB8">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7</w:t>
            </w:r>
          </w:p>
        </w:tc>
        <w:tc>
          <w:tcPr>
            <w:tcW w:w="1075" w:type="pct"/>
            <w:noWrap w:val="0"/>
            <w:vAlign w:val="center"/>
          </w:tcPr>
          <w:p w14:paraId="6787F25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lang w:val="en-US" w:eastAsia="zh-CN"/>
              </w:rPr>
            </w:pPr>
          </w:p>
        </w:tc>
        <w:tc>
          <w:tcPr>
            <w:tcW w:w="2298" w:type="pct"/>
            <w:noWrap w:val="0"/>
            <w:vAlign w:val="center"/>
          </w:tcPr>
          <w:p w14:paraId="2931EA98">
            <w:pPr>
              <w:keepNext w:val="0"/>
              <w:keepLines w:val="0"/>
              <w:pageBreakBefore w:val="0"/>
              <w:widowControl w:val="0"/>
              <w:shd w:val="clear" w:color="auto" w:fill="FFFFFF"/>
              <w:kinsoku/>
              <w:wordWrap/>
              <w:overflowPunct/>
              <w:topLinePunct w:val="0"/>
              <w:autoSpaceDE/>
              <w:autoSpaceDN/>
              <w:bidi w:val="0"/>
              <w:adjustRightInd/>
              <w:snapToGrid/>
              <w:spacing w:line="400" w:lineRule="atLeast"/>
              <w:textAlignment w:val="auto"/>
              <w:rPr>
                <w:rFonts w:hint="eastAsia" w:ascii="宋体" w:hAnsi="宋体" w:eastAsia="宋体" w:cs="宋体"/>
                <w:color w:val="auto"/>
                <w:sz w:val="21"/>
                <w:szCs w:val="21"/>
                <w:highlight w:val="none"/>
                <w:lang w:val="en-US" w:eastAsia="zh-CN"/>
              </w:rPr>
            </w:pPr>
          </w:p>
        </w:tc>
        <w:tc>
          <w:tcPr>
            <w:tcW w:w="1010" w:type="pct"/>
            <w:noWrap w:val="0"/>
            <w:vAlign w:val="center"/>
          </w:tcPr>
          <w:p w14:paraId="6D1913F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4AE101CF">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r w14:paraId="24B3A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220" w:type="pct"/>
            <w:noWrap w:val="0"/>
            <w:vAlign w:val="center"/>
          </w:tcPr>
          <w:p w14:paraId="66D64CE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1"/>
                <w:szCs w:val="21"/>
                <w:highlight w:val="none"/>
                <w:lang w:val="en-US" w:eastAsia="zh-CN"/>
              </w:rPr>
            </w:pPr>
          </w:p>
        </w:tc>
        <w:tc>
          <w:tcPr>
            <w:tcW w:w="1075" w:type="pct"/>
            <w:shd w:val="clear" w:color="auto" w:fill="auto"/>
            <w:noWrap w:val="0"/>
            <w:vAlign w:val="center"/>
          </w:tcPr>
          <w:p w14:paraId="6AFA948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lang w:val="zh-CN" w:eastAsia="zh-CN"/>
              </w:rPr>
            </w:pPr>
          </w:p>
        </w:tc>
        <w:tc>
          <w:tcPr>
            <w:tcW w:w="2298" w:type="pct"/>
            <w:noWrap w:val="0"/>
            <w:vAlign w:val="center"/>
          </w:tcPr>
          <w:p w14:paraId="3D82AFF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lang w:eastAsia="zh-CN"/>
              </w:rPr>
            </w:pPr>
          </w:p>
        </w:tc>
        <w:tc>
          <w:tcPr>
            <w:tcW w:w="1010" w:type="pct"/>
            <w:noWrap w:val="0"/>
            <w:vAlign w:val="center"/>
          </w:tcPr>
          <w:p w14:paraId="4D1408B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c>
          <w:tcPr>
            <w:tcW w:w="395" w:type="pct"/>
            <w:noWrap w:val="0"/>
            <w:vAlign w:val="center"/>
          </w:tcPr>
          <w:p w14:paraId="01C342F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1"/>
                <w:szCs w:val="21"/>
                <w:highlight w:val="none"/>
              </w:rPr>
            </w:pPr>
          </w:p>
        </w:tc>
      </w:tr>
    </w:tbl>
    <w:p w14:paraId="7577AB4E">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1"/>
          <w:szCs w:val="21"/>
          <w:highlight w:val="none"/>
          <w:lang w:val="en-US" w:eastAsia="zh-CN" w:bidi="ar-SA"/>
        </w:rPr>
      </w:pPr>
      <w:bookmarkStart w:id="415" w:name="_Toc30237"/>
      <w:r>
        <w:rPr>
          <w:rFonts w:hint="eastAsia" w:ascii="宋体" w:hAnsi="宋体" w:eastAsia="宋体" w:cstheme="minorBidi"/>
          <w:b/>
          <w:bCs/>
          <w:color w:val="auto"/>
          <w:kern w:val="2"/>
          <w:sz w:val="21"/>
          <w:szCs w:val="21"/>
          <w:highlight w:val="none"/>
          <w:lang w:val="en-US" w:eastAsia="zh-CN" w:bidi="ar-SA"/>
        </w:rPr>
        <w:t>注：“实质性响应一览表”中的内容为参考，可根据项目情况自行设置。</w:t>
      </w:r>
      <w:bookmarkEnd w:id="415"/>
    </w:p>
    <w:p w14:paraId="521CBCA2">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theme="minorBidi"/>
          <w:b/>
          <w:bCs/>
          <w:color w:val="auto"/>
          <w:kern w:val="2"/>
          <w:sz w:val="24"/>
          <w:szCs w:val="22"/>
          <w:highlight w:val="none"/>
          <w:lang w:val="zh-CN" w:eastAsia="zh-CN" w:bidi="ar-SA"/>
        </w:rPr>
        <w:br w:type="page"/>
      </w:r>
      <w:bookmarkStart w:id="416" w:name="_Toc3861"/>
      <w:r>
        <w:rPr>
          <w:rFonts w:hint="eastAsia" w:ascii="宋体" w:hAnsi="宋体" w:eastAsia="宋体" w:cs="宋体"/>
          <w:b/>
          <w:bCs/>
          <w:color w:val="auto"/>
          <w:kern w:val="2"/>
          <w:sz w:val="24"/>
          <w:szCs w:val="24"/>
          <w:highlight w:val="none"/>
          <w:lang w:val="zh-CN" w:eastAsia="zh-CN" w:bidi="ar-SA"/>
        </w:rPr>
        <w:t>（二）商务技术评审</w:t>
      </w:r>
      <w:bookmarkEnd w:id="416"/>
    </w:p>
    <w:p w14:paraId="5F83D2EC">
      <w:pPr>
        <w:pStyle w:val="4"/>
        <w:keepNext/>
        <w:keepLines/>
        <w:pageBreakBefore w:val="0"/>
        <w:widowControl w:val="0"/>
        <w:numPr>
          <w:ilvl w:val="0"/>
          <w:numId w:val="0"/>
        </w:numPr>
        <w:kinsoku/>
        <w:wordWrap/>
        <w:overflowPunct/>
        <w:topLinePunct w:val="0"/>
        <w:autoSpaceDE/>
        <w:autoSpaceDN/>
        <w:bidi w:val="0"/>
        <w:adjustRightInd/>
        <w:snapToGrid/>
        <w:spacing w:before="0" w:after="0" w:line="460" w:lineRule="exact"/>
        <w:ind w:firstLine="480" w:firstLineChars="200"/>
        <w:jc w:val="both"/>
        <w:textAlignment w:val="auto"/>
        <w:rPr>
          <w:rFonts w:hint="eastAsia"/>
          <w:b w:val="0"/>
          <w:bCs w:val="0"/>
          <w:color w:val="auto"/>
          <w:sz w:val="24"/>
          <w:szCs w:val="24"/>
          <w:highlight w:val="none"/>
        </w:rPr>
      </w:pPr>
      <w:bookmarkStart w:id="417" w:name="_Toc16392"/>
      <w:r>
        <w:rPr>
          <w:rFonts w:hint="eastAsia"/>
          <w:b w:val="0"/>
          <w:bCs w:val="0"/>
          <w:color w:val="auto"/>
          <w:sz w:val="24"/>
          <w:szCs w:val="24"/>
          <w:highlight w:val="none"/>
        </w:rPr>
        <w:t>评标委员会应当对照</w:t>
      </w:r>
      <w:r>
        <w:rPr>
          <w:rFonts w:hint="eastAsia"/>
          <w:b w:val="0"/>
          <w:bCs w:val="0"/>
          <w:color w:val="auto"/>
          <w:sz w:val="24"/>
          <w:szCs w:val="24"/>
          <w:highlight w:val="none"/>
          <w:lang w:eastAsia="zh-CN"/>
        </w:rPr>
        <w:t>“</w:t>
      </w:r>
      <w:r>
        <w:rPr>
          <w:rFonts w:hint="eastAsia"/>
          <w:b w:val="0"/>
          <w:bCs w:val="0"/>
          <w:color w:val="auto"/>
          <w:sz w:val="24"/>
          <w:szCs w:val="24"/>
          <w:highlight w:val="none"/>
        </w:rPr>
        <w:t>商务响应偏离表</w:t>
      </w:r>
      <w:r>
        <w:rPr>
          <w:rFonts w:hint="eastAsia"/>
          <w:b w:val="0"/>
          <w:bCs w:val="0"/>
          <w:color w:val="auto"/>
          <w:sz w:val="24"/>
          <w:szCs w:val="24"/>
          <w:highlight w:val="none"/>
          <w:lang w:eastAsia="zh-CN"/>
        </w:rPr>
        <w:t>”</w:t>
      </w:r>
      <w:r>
        <w:rPr>
          <w:rFonts w:hint="eastAsia"/>
          <w:b w:val="0"/>
          <w:bCs w:val="0"/>
          <w:color w:val="auto"/>
          <w:sz w:val="24"/>
          <w:szCs w:val="24"/>
          <w:highlight w:val="none"/>
        </w:rPr>
        <w:t>、</w:t>
      </w:r>
      <w:r>
        <w:rPr>
          <w:rFonts w:hint="eastAsia"/>
          <w:b w:val="0"/>
          <w:bCs w:val="0"/>
          <w:color w:val="auto"/>
          <w:sz w:val="24"/>
          <w:szCs w:val="24"/>
          <w:highlight w:val="none"/>
          <w:lang w:eastAsia="zh-CN"/>
        </w:rPr>
        <w:t>“</w:t>
      </w:r>
      <w:r>
        <w:rPr>
          <w:rFonts w:hint="eastAsia"/>
          <w:b w:val="0"/>
          <w:bCs w:val="0"/>
          <w:color w:val="auto"/>
          <w:sz w:val="24"/>
          <w:szCs w:val="24"/>
          <w:highlight w:val="none"/>
        </w:rPr>
        <w:t>技术响应偏离表</w:t>
      </w:r>
      <w:r>
        <w:rPr>
          <w:rFonts w:hint="eastAsia"/>
          <w:b w:val="0"/>
          <w:bCs w:val="0"/>
          <w:color w:val="auto"/>
          <w:sz w:val="24"/>
          <w:szCs w:val="24"/>
          <w:highlight w:val="none"/>
          <w:lang w:eastAsia="zh-CN"/>
        </w:rPr>
        <w:t>”</w:t>
      </w:r>
      <w:r>
        <w:rPr>
          <w:rFonts w:hint="eastAsia"/>
          <w:b w:val="0"/>
          <w:bCs w:val="0"/>
          <w:color w:val="auto"/>
          <w:sz w:val="24"/>
          <w:szCs w:val="24"/>
          <w:highlight w:val="none"/>
        </w:rPr>
        <w:t>，并按招标文件要求对符合性审查合格的投标文件商务和技术进行综合评价。</w:t>
      </w:r>
      <w:bookmarkEnd w:id="417"/>
    </w:p>
    <w:p w14:paraId="629141F2">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jc w:val="center"/>
        <w:textAlignment w:val="auto"/>
        <w:rPr>
          <w:rFonts w:hint="default" w:ascii="宋体" w:hAnsi="宋体" w:eastAsia="宋体" w:cstheme="minorBidi"/>
          <w:b/>
          <w:bCs/>
          <w:color w:val="auto"/>
          <w:kern w:val="2"/>
          <w:sz w:val="28"/>
          <w:szCs w:val="28"/>
          <w:highlight w:val="none"/>
          <w:lang w:val="en-US" w:eastAsia="zh-CN" w:bidi="ar-SA"/>
        </w:rPr>
      </w:pPr>
      <w:bookmarkStart w:id="418" w:name="_Toc6607"/>
      <w:r>
        <w:rPr>
          <w:rFonts w:hint="eastAsia" w:ascii="宋体" w:hAnsi="宋体" w:eastAsia="宋体" w:cstheme="minorBidi"/>
          <w:b/>
          <w:bCs/>
          <w:color w:val="auto"/>
          <w:kern w:val="2"/>
          <w:sz w:val="28"/>
          <w:szCs w:val="28"/>
          <w:highlight w:val="none"/>
          <w:lang w:val="zh-CN" w:eastAsia="zh-CN" w:bidi="ar-SA"/>
        </w:rPr>
        <w:t>商务技术评审</w:t>
      </w:r>
      <w:r>
        <w:rPr>
          <w:rFonts w:hint="eastAsia" w:ascii="宋体" w:hAnsi="宋体" w:eastAsia="宋体" w:cstheme="minorBidi"/>
          <w:b/>
          <w:bCs/>
          <w:color w:val="auto"/>
          <w:kern w:val="2"/>
          <w:sz w:val="28"/>
          <w:szCs w:val="28"/>
          <w:highlight w:val="none"/>
          <w:lang w:val="en-US" w:eastAsia="zh-CN" w:bidi="ar-SA"/>
        </w:rPr>
        <w:t>表</w:t>
      </w:r>
      <w:bookmarkEnd w:id="418"/>
    </w:p>
    <w:p w14:paraId="4EE43FD8">
      <w:pPr>
        <w:ind w:firstLine="420" w:firstLineChars="200"/>
        <w:rPr>
          <w:rFonts w:hint="eastAsia"/>
          <w:color w:val="auto"/>
          <w:sz w:val="21"/>
          <w:szCs w:val="21"/>
          <w:highlight w:val="none"/>
          <w:lang w:val="zh-CN" w:eastAsia="zh-CN"/>
        </w:rPr>
      </w:pPr>
      <w:r>
        <w:rPr>
          <w:rFonts w:hint="eastAsia"/>
          <w:color w:val="auto"/>
          <w:sz w:val="21"/>
          <w:szCs w:val="21"/>
          <w:highlight w:val="none"/>
          <w:lang w:val="en-US" w:eastAsia="zh-CN"/>
        </w:rPr>
        <w:t>注：以下“评审分项”根据项目实际情况可自行设置。</w:t>
      </w:r>
    </w:p>
    <w:tbl>
      <w:tblPr>
        <w:tblStyle w:val="29"/>
        <w:tblW w:w="49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2054"/>
        <w:gridCol w:w="3901"/>
        <w:gridCol w:w="1628"/>
      </w:tblGrid>
      <w:tr w14:paraId="1B02F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79" w:type="dxa"/>
            <w:vAlign w:val="center"/>
          </w:tcPr>
          <w:p w14:paraId="126F096A">
            <w:pPr>
              <w:pStyle w:val="48"/>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评</w:t>
            </w:r>
            <w:r>
              <w:rPr>
                <w:rFonts w:hint="eastAsia" w:ascii="宋体" w:hAnsi="宋体" w:eastAsia="宋体" w:cs="宋体"/>
                <w:b/>
                <w:bCs/>
                <w:color w:val="auto"/>
                <w:sz w:val="21"/>
                <w:szCs w:val="21"/>
                <w:highlight w:val="none"/>
                <w:lang w:val="en-US" w:eastAsia="zh-CN"/>
              </w:rPr>
              <w:t>审</w:t>
            </w:r>
            <w:r>
              <w:rPr>
                <w:rFonts w:hint="eastAsia" w:ascii="宋体" w:hAnsi="宋体" w:eastAsia="宋体" w:cs="宋体"/>
                <w:b/>
                <w:bCs/>
                <w:color w:val="auto"/>
                <w:sz w:val="21"/>
                <w:szCs w:val="21"/>
                <w:highlight w:val="none"/>
              </w:rPr>
              <w:t>项目</w:t>
            </w:r>
          </w:p>
        </w:tc>
        <w:tc>
          <w:tcPr>
            <w:tcW w:w="2054" w:type="dxa"/>
            <w:tcBorders>
              <w:top w:val="single" w:color="auto" w:sz="4" w:space="0"/>
            </w:tcBorders>
            <w:vAlign w:val="center"/>
          </w:tcPr>
          <w:p w14:paraId="32E49986">
            <w:pPr>
              <w:pStyle w:val="48"/>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评</w:t>
            </w:r>
            <w:r>
              <w:rPr>
                <w:rFonts w:hint="eastAsia" w:ascii="宋体" w:hAnsi="宋体" w:eastAsia="宋体" w:cs="宋体"/>
                <w:b/>
                <w:bCs/>
                <w:color w:val="auto"/>
                <w:sz w:val="21"/>
                <w:szCs w:val="21"/>
                <w:highlight w:val="none"/>
                <w:lang w:val="en-US" w:eastAsia="zh-CN"/>
              </w:rPr>
              <w:t>审</w:t>
            </w:r>
            <w:r>
              <w:rPr>
                <w:rFonts w:hint="eastAsia" w:ascii="宋体" w:hAnsi="宋体" w:eastAsia="宋体" w:cs="宋体"/>
                <w:b/>
                <w:bCs/>
                <w:color w:val="auto"/>
                <w:sz w:val="21"/>
                <w:szCs w:val="21"/>
                <w:highlight w:val="none"/>
              </w:rPr>
              <w:t>分项</w:t>
            </w:r>
          </w:p>
        </w:tc>
        <w:tc>
          <w:tcPr>
            <w:tcW w:w="3901" w:type="dxa"/>
            <w:vAlign w:val="center"/>
          </w:tcPr>
          <w:p w14:paraId="013B2FBE">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子项目</w:t>
            </w:r>
          </w:p>
        </w:tc>
        <w:tc>
          <w:tcPr>
            <w:tcW w:w="1628" w:type="dxa"/>
            <w:vAlign w:val="center"/>
          </w:tcPr>
          <w:p w14:paraId="4929433D">
            <w:pPr>
              <w:pStyle w:val="48"/>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是否响应招标文件要求</w:t>
            </w:r>
          </w:p>
        </w:tc>
      </w:tr>
      <w:tr w14:paraId="61373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79" w:type="dxa"/>
            <w:vMerge w:val="restart"/>
            <w:vAlign w:val="center"/>
          </w:tcPr>
          <w:p w14:paraId="03C99AB2">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商务部分</w:t>
            </w:r>
          </w:p>
          <w:p w14:paraId="063FA0A8">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w:t>
            </w:r>
          </w:p>
        </w:tc>
        <w:tc>
          <w:tcPr>
            <w:tcW w:w="2054" w:type="dxa"/>
            <w:tcBorders>
              <w:top w:val="single" w:color="auto" w:sz="4" w:space="0"/>
            </w:tcBorders>
            <w:vAlign w:val="center"/>
          </w:tcPr>
          <w:p w14:paraId="1978D900">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服务能力与承诺</w:t>
            </w:r>
          </w:p>
        </w:tc>
        <w:tc>
          <w:tcPr>
            <w:tcW w:w="3901" w:type="dxa"/>
            <w:vAlign w:val="center"/>
          </w:tcPr>
          <w:p w14:paraId="2D532A94">
            <w:pPr>
              <w:pStyle w:val="48"/>
              <w:numPr>
                <w:ilvl w:val="0"/>
                <w:numId w:val="0"/>
              </w:numPr>
              <w:rPr>
                <w:rFonts w:hint="eastAsia" w:ascii="宋体" w:hAnsi="宋体" w:eastAsia="宋体" w:cs="宋体"/>
                <w:color w:val="auto"/>
                <w:sz w:val="21"/>
                <w:szCs w:val="21"/>
                <w:highlight w:val="none"/>
                <w:lang w:val="en-US" w:eastAsia="zh-CN"/>
              </w:rPr>
            </w:pPr>
          </w:p>
        </w:tc>
        <w:tc>
          <w:tcPr>
            <w:tcW w:w="1628" w:type="dxa"/>
            <w:vAlign w:val="center"/>
          </w:tcPr>
          <w:p w14:paraId="3BFD0DA8">
            <w:pPr>
              <w:pStyle w:val="48"/>
              <w:numPr>
                <w:ilvl w:val="0"/>
                <w:numId w:val="0"/>
              </w:numPr>
              <w:rPr>
                <w:rFonts w:hint="eastAsia" w:ascii="宋体" w:hAnsi="宋体" w:eastAsia="宋体" w:cs="宋体"/>
                <w:color w:val="auto"/>
                <w:sz w:val="21"/>
                <w:szCs w:val="21"/>
                <w:highlight w:val="none"/>
                <w:lang w:val="en-US" w:eastAsia="zh-CN"/>
              </w:rPr>
            </w:pPr>
          </w:p>
        </w:tc>
      </w:tr>
      <w:tr w14:paraId="165E5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79" w:type="dxa"/>
            <w:vMerge w:val="continue"/>
            <w:vAlign w:val="center"/>
          </w:tcPr>
          <w:p w14:paraId="19AF82E8">
            <w:pPr>
              <w:pStyle w:val="48"/>
              <w:jc w:val="center"/>
              <w:rPr>
                <w:rFonts w:hint="eastAsia" w:ascii="宋体" w:hAnsi="宋体" w:eastAsia="宋体" w:cs="宋体"/>
                <w:color w:val="auto"/>
                <w:sz w:val="21"/>
                <w:szCs w:val="21"/>
                <w:highlight w:val="none"/>
              </w:rPr>
            </w:pPr>
          </w:p>
        </w:tc>
        <w:tc>
          <w:tcPr>
            <w:tcW w:w="2054" w:type="dxa"/>
            <w:tcBorders>
              <w:top w:val="single" w:color="auto" w:sz="4" w:space="0"/>
            </w:tcBorders>
            <w:vAlign w:val="center"/>
          </w:tcPr>
          <w:p w14:paraId="0F9C2E46">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tc>
        <w:tc>
          <w:tcPr>
            <w:tcW w:w="3901" w:type="dxa"/>
            <w:vAlign w:val="center"/>
          </w:tcPr>
          <w:p w14:paraId="76441E63">
            <w:pPr>
              <w:pStyle w:val="48"/>
              <w:ind w:firstLine="420" w:firstLineChars="200"/>
              <w:rPr>
                <w:rFonts w:hint="eastAsia" w:ascii="宋体" w:hAnsi="宋体" w:eastAsia="宋体" w:cs="宋体"/>
                <w:color w:val="auto"/>
                <w:sz w:val="21"/>
                <w:szCs w:val="21"/>
                <w:highlight w:val="none"/>
              </w:rPr>
            </w:pPr>
          </w:p>
        </w:tc>
        <w:tc>
          <w:tcPr>
            <w:tcW w:w="1628" w:type="dxa"/>
            <w:vAlign w:val="center"/>
          </w:tcPr>
          <w:p w14:paraId="1971E506">
            <w:pPr>
              <w:pStyle w:val="48"/>
              <w:rPr>
                <w:rFonts w:hint="eastAsia" w:ascii="宋体" w:hAnsi="宋体" w:eastAsia="宋体" w:cs="宋体"/>
                <w:color w:val="auto"/>
                <w:sz w:val="21"/>
                <w:szCs w:val="21"/>
                <w:highlight w:val="none"/>
              </w:rPr>
            </w:pPr>
          </w:p>
        </w:tc>
      </w:tr>
      <w:tr w14:paraId="15ECC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79" w:type="dxa"/>
            <w:vMerge w:val="continue"/>
            <w:vAlign w:val="center"/>
          </w:tcPr>
          <w:p w14:paraId="1DEBB2A9">
            <w:pPr>
              <w:pStyle w:val="48"/>
              <w:jc w:val="center"/>
              <w:rPr>
                <w:rFonts w:hint="eastAsia" w:ascii="宋体" w:hAnsi="宋体" w:eastAsia="宋体" w:cs="宋体"/>
                <w:color w:val="auto"/>
                <w:sz w:val="21"/>
                <w:szCs w:val="21"/>
                <w:highlight w:val="none"/>
              </w:rPr>
            </w:pPr>
          </w:p>
        </w:tc>
        <w:tc>
          <w:tcPr>
            <w:tcW w:w="2054" w:type="dxa"/>
            <w:tcBorders>
              <w:top w:val="single" w:color="auto" w:sz="4" w:space="0"/>
            </w:tcBorders>
            <w:vAlign w:val="center"/>
          </w:tcPr>
          <w:p w14:paraId="1D712C80">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项目参与人员</w:t>
            </w:r>
          </w:p>
        </w:tc>
        <w:tc>
          <w:tcPr>
            <w:tcW w:w="3901" w:type="dxa"/>
            <w:vAlign w:val="center"/>
          </w:tcPr>
          <w:p w14:paraId="0E7CBAB7">
            <w:pPr>
              <w:pStyle w:val="48"/>
              <w:rPr>
                <w:rFonts w:hint="eastAsia" w:ascii="宋体" w:hAnsi="宋体" w:eastAsia="宋体" w:cs="宋体"/>
                <w:color w:val="auto"/>
                <w:sz w:val="21"/>
                <w:szCs w:val="21"/>
                <w:highlight w:val="none"/>
              </w:rPr>
            </w:pPr>
          </w:p>
        </w:tc>
        <w:tc>
          <w:tcPr>
            <w:tcW w:w="1628" w:type="dxa"/>
            <w:vAlign w:val="center"/>
          </w:tcPr>
          <w:p w14:paraId="120DD74A">
            <w:pPr>
              <w:pStyle w:val="48"/>
              <w:rPr>
                <w:rFonts w:hint="eastAsia" w:ascii="宋体" w:hAnsi="宋体" w:eastAsia="宋体" w:cs="宋体"/>
                <w:color w:val="auto"/>
                <w:sz w:val="21"/>
                <w:szCs w:val="21"/>
                <w:highlight w:val="none"/>
                <w:lang w:eastAsia="zh-CN"/>
              </w:rPr>
            </w:pPr>
          </w:p>
        </w:tc>
      </w:tr>
      <w:tr w14:paraId="777C8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79" w:type="dxa"/>
            <w:vMerge w:val="continue"/>
            <w:vAlign w:val="center"/>
          </w:tcPr>
          <w:p w14:paraId="6D5C445B">
            <w:pPr>
              <w:pStyle w:val="48"/>
              <w:jc w:val="center"/>
              <w:rPr>
                <w:rFonts w:hint="eastAsia" w:ascii="宋体" w:hAnsi="宋体" w:eastAsia="宋体" w:cs="宋体"/>
                <w:color w:val="auto"/>
                <w:sz w:val="21"/>
                <w:szCs w:val="21"/>
                <w:highlight w:val="none"/>
              </w:rPr>
            </w:pPr>
          </w:p>
        </w:tc>
        <w:tc>
          <w:tcPr>
            <w:tcW w:w="2054" w:type="dxa"/>
            <w:tcBorders>
              <w:top w:val="single" w:color="auto" w:sz="4" w:space="0"/>
            </w:tcBorders>
            <w:vAlign w:val="center"/>
          </w:tcPr>
          <w:p w14:paraId="30B5ECBF">
            <w:pPr>
              <w:pStyle w:val="48"/>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期</w:t>
            </w:r>
          </w:p>
        </w:tc>
        <w:tc>
          <w:tcPr>
            <w:tcW w:w="3901" w:type="dxa"/>
            <w:vAlign w:val="center"/>
          </w:tcPr>
          <w:p w14:paraId="0721F047">
            <w:pPr>
              <w:pStyle w:val="48"/>
              <w:rPr>
                <w:rFonts w:hint="eastAsia" w:ascii="宋体" w:hAnsi="宋体" w:eastAsia="宋体" w:cs="宋体"/>
                <w:color w:val="auto"/>
                <w:kern w:val="2"/>
                <w:sz w:val="21"/>
                <w:szCs w:val="21"/>
                <w:highlight w:val="none"/>
                <w:lang w:val="en-US" w:eastAsia="zh-CN" w:bidi="ar-SA"/>
              </w:rPr>
            </w:pPr>
          </w:p>
        </w:tc>
        <w:tc>
          <w:tcPr>
            <w:tcW w:w="1628" w:type="dxa"/>
            <w:vAlign w:val="center"/>
          </w:tcPr>
          <w:p w14:paraId="6CCAE57D">
            <w:pPr>
              <w:pStyle w:val="48"/>
              <w:rPr>
                <w:rFonts w:hint="eastAsia" w:ascii="宋体" w:hAnsi="宋体" w:eastAsia="宋体" w:cs="宋体"/>
                <w:color w:val="auto"/>
                <w:sz w:val="21"/>
                <w:szCs w:val="21"/>
                <w:highlight w:val="none"/>
                <w:lang w:val="en-US" w:eastAsia="zh-CN"/>
              </w:rPr>
            </w:pPr>
          </w:p>
        </w:tc>
      </w:tr>
      <w:tr w14:paraId="6966D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79" w:type="dxa"/>
            <w:vMerge w:val="continue"/>
            <w:vAlign w:val="center"/>
          </w:tcPr>
          <w:p w14:paraId="2AD26114">
            <w:pPr>
              <w:pStyle w:val="48"/>
              <w:jc w:val="center"/>
              <w:rPr>
                <w:rFonts w:hint="eastAsia" w:ascii="宋体" w:hAnsi="宋体" w:eastAsia="宋体" w:cs="宋体"/>
                <w:color w:val="auto"/>
                <w:sz w:val="21"/>
                <w:szCs w:val="21"/>
                <w:highlight w:val="none"/>
              </w:rPr>
            </w:pPr>
          </w:p>
        </w:tc>
        <w:tc>
          <w:tcPr>
            <w:tcW w:w="2054" w:type="dxa"/>
            <w:tcBorders>
              <w:top w:val="single" w:color="auto" w:sz="4" w:space="0"/>
            </w:tcBorders>
            <w:vAlign w:val="center"/>
          </w:tcPr>
          <w:p w14:paraId="1F38E996">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901" w:type="dxa"/>
            <w:vAlign w:val="center"/>
          </w:tcPr>
          <w:p w14:paraId="7A4E310C">
            <w:pPr>
              <w:pStyle w:val="48"/>
              <w:rPr>
                <w:rFonts w:hint="eastAsia" w:ascii="宋体" w:hAnsi="宋体" w:eastAsia="宋体" w:cs="宋体"/>
                <w:color w:val="auto"/>
                <w:sz w:val="21"/>
                <w:szCs w:val="21"/>
                <w:highlight w:val="none"/>
              </w:rPr>
            </w:pPr>
          </w:p>
        </w:tc>
        <w:tc>
          <w:tcPr>
            <w:tcW w:w="1628" w:type="dxa"/>
            <w:vAlign w:val="center"/>
          </w:tcPr>
          <w:p w14:paraId="66FF0EAE">
            <w:pPr>
              <w:pStyle w:val="48"/>
              <w:rPr>
                <w:rFonts w:hint="eastAsia" w:ascii="宋体" w:hAnsi="宋体" w:eastAsia="宋体" w:cs="宋体"/>
                <w:color w:val="auto"/>
                <w:sz w:val="21"/>
                <w:szCs w:val="21"/>
                <w:highlight w:val="none"/>
              </w:rPr>
            </w:pPr>
          </w:p>
        </w:tc>
      </w:tr>
      <w:tr w14:paraId="31D49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79" w:type="dxa"/>
            <w:vMerge w:val="restart"/>
            <w:vAlign w:val="center"/>
          </w:tcPr>
          <w:p w14:paraId="578F2127">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技术部分</w:t>
            </w:r>
          </w:p>
          <w:p w14:paraId="70A16624">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w:t>
            </w:r>
          </w:p>
        </w:tc>
        <w:tc>
          <w:tcPr>
            <w:tcW w:w="2054" w:type="dxa"/>
            <w:tcBorders>
              <w:top w:val="single" w:color="auto" w:sz="4" w:space="0"/>
            </w:tcBorders>
            <w:vAlign w:val="center"/>
          </w:tcPr>
          <w:p w14:paraId="59FB8ABD">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技术指标响应</w:t>
            </w:r>
          </w:p>
        </w:tc>
        <w:tc>
          <w:tcPr>
            <w:tcW w:w="3901" w:type="dxa"/>
            <w:vAlign w:val="center"/>
          </w:tcPr>
          <w:p w14:paraId="012C2250">
            <w:pPr>
              <w:pStyle w:val="48"/>
              <w:rPr>
                <w:rFonts w:hint="eastAsia" w:ascii="宋体" w:hAnsi="宋体" w:eastAsia="宋体" w:cs="宋体"/>
                <w:color w:val="auto"/>
                <w:sz w:val="21"/>
                <w:szCs w:val="21"/>
                <w:highlight w:val="none"/>
              </w:rPr>
            </w:pPr>
          </w:p>
        </w:tc>
        <w:tc>
          <w:tcPr>
            <w:tcW w:w="1628" w:type="dxa"/>
            <w:vAlign w:val="center"/>
          </w:tcPr>
          <w:p w14:paraId="35039141">
            <w:pPr>
              <w:pStyle w:val="48"/>
              <w:rPr>
                <w:rFonts w:hint="eastAsia" w:ascii="宋体" w:hAnsi="宋体" w:eastAsia="宋体" w:cs="宋体"/>
                <w:color w:val="auto"/>
                <w:sz w:val="21"/>
                <w:szCs w:val="21"/>
                <w:highlight w:val="none"/>
                <w:lang w:val="en-US" w:eastAsia="zh-CN"/>
              </w:rPr>
            </w:pPr>
          </w:p>
        </w:tc>
      </w:tr>
      <w:tr w14:paraId="7EA26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79" w:type="dxa"/>
            <w:vMerge w:val="continue"/>
            <w:vAlign w:val="center"/>
          </w:tcPr>
          <w:p w14:paraId="1627BA60">
            <w:pPr>
              <w:pStyle w:val="48"/>
              <w:jc w:val="center"/>
              <w:rPr>
                <w:rFonts w:hint="eastAsia" w:ascii="宋体" w:hAnsi="宋体" w:eastAsia="宋体" w:cs="宋体"/>
                <w:color w:val="auto"/>
                <w:sz w:val="21"/>
                <w:szCs w:val="21"/>
                <w:highlight w:val="none"/>
              </w:rPr>
            </w:pPr>
          </w:p>
        </w:tc>
        <w:tc>
          <w:tcPr>
            <w:tcW w:w="2054" w:type="dxa"/>
            <w:vAlign w:val="center"/>
          </w:tcPr>
          <w:p w14:paraId="2FC4B98A">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技术方案</w:t>
            </w:r>
          </w:p>
        </w:tc>
        <w:tc>
          <w:tcPr>
            <w:tcW w:w="3901" w:type="dxa"/>
            <w:vAlign w:val="center"/>
          </w:tcPr>
          <w:p w14:paraId="62F2D3E1">
            <w:pPr>
              <w:pStyle w:val="48"/>
              <w:rPr>
                <w:rFonts w:hint="eastAsia" w:ascii="宋体" w:hAnsi="宋体" w:eastAsia="宋体" w:cs="宋体"/>
                <w:color w:val="auto"/>
                <w:sz w:val="21"/>
                <w:szCs w:val="21"/>
                <w:highlight w:val="none"/>
              </w:rPr>
            </w:pPr>
          </w:p>
        </w:tc>
        <w:tc>
          <w:tcPr>
            <w:tcW w:w="1628" w:type="dxa"/>
            <w:vAlign w:val="center"/>
          </w:tcPr>
          <w:p w14:paraId="5AC9B03B">
            <w:pPr>
              <w:pStyle w:val="48"/>
              <w:rPr>
                <w:rFonts w:hint="eastAsia" w:ascii="宋体" w:hAnsi="宋体" w:eastAsia="宋体" w:cs="宋体"/>
                <w:color w:val="auto"/>
                <w:sz w:val="21"/>
                <w:szCs w:val="21"/>
                <w:highlight w:val="none"/>
                <w:lang w:val="en-US" w:eastAsia="zh-CN"/>
              </w:rPr>
            </w:pPr>
          </w:p>
        </w:tc>
      </w:tr>
      <w:tr w14:paraId="4A6C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79" w:type="dxa"/>
            <w:vMerge w:val="continue"/>
            <w:vAlign w:val="center"/>
          </w:tcPr>
          <w:p w14:paraId="46E0346D">
            <w:pPr>
              <w:pStyle w:val="48"/>
              <w:jc w:val="center"/>
              <w:rPr>
                <w:rFonts w:hint="eastAsia" w:ascii="宋体" w:hAnsi="宋体" w:eastAsia="宋体" w:cs="宋体"/>
                <w:color w:val="auto"/>
                <w:sz w:val="21"/>
                <w:szCs w:val="21"/>
                <w:highlight w:val="none"/>
              </w:rPr>
            </w:pPr>
          </w:p>
        </w:tc>
        <w:tc>
          <w:tcPr>
            <w:tcW w:w="2054" w:type="dxa"/>
            <w:vAlign w:val="center"/>
          </w:tcPr>
          <w:p w14:paraId="662F7586">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培训方案</w:t>
            </w:r>
          </w:p>
        </w:tc>
        <w:tc>
          <w:tcPr>
            <w:tcW w:w="3901" w:type="dxa"/>
            <w:vAlign w:val="center"/>
          </w:tcPr>
          <w:p w14:paraId="2C1AF66B">
            <w:pPr>
              <w:pStyle w:val="48"/>
              <w:rPr>
                <w:rFonts w:hint="eastAsia" w:ascii="宋体" w:hAnsi="宋体" w:eastAsia="宋体" w:cs="宋体"/>
                <w:color w:val="auto"/>
                <w:sz w:val="21"/>
                <w:szCs w:val="21"/>
                <w:highlight w:val="none"/>
                <w:lang w:val="en-US" w:eastAsia="zh-CN"/>
              </w:rPr>
            </w:pPr>
          </w:p>
        </w:tc>
        <w:tc>
          <w:tcPr>
            <w:tcW w:w="1628" w:type="dxa"/>
            <w:vAlign w:val="center"/>
          </w:tcPr>
          <w:p w14:paraId="4C99A745">
            <w:pPr>
              <w:pStyle w:val="48"/>
              <w:rPr>
                <w:rFonts w:hint="eastAsia" w:ascii="宋体" w:hAnsi="宋体" w:eastAsia="宋体" w:cs="宋体"/>
                <w:color w:val="auto"/>
                <w:sz w:val="21"/>
                <w:szCs w:val="21"/>
                <w:highlight w:val="none"/>
                <w:lang w:val="en-US" w:eastAsia="zh-CN"/>
              </w:rPr>
            </w:pPr>
          </w:p>
        </w:tc>
      </w:tr>
      <w:tr w14:paraId="00AF3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79" w:type="dxa"/>
            <w:vMerge w:val="continue"/>
            <w:vAlign w:val="center"/>
          </w:tcPr>
          <w:p w14:paraId="39232D30">
            <w:pPr>
              <w:pStyle w:val="48"/>
              <w:jc w:val="center"/>
              <w:rPr>
                <w:rFonts w:hint="eastAsia" w:ascii="宋体" w:hAnsi="宋体" w:eastAsia="宋体" w:cs="宋体"/>
                <w:color w:val="auto"/>
                <w:sz w:val="21"/>
                <w:szCs w:val="21"/>
                <w:highlight w:val="none"/>
              </w:rPr>
            </w:pPr>
          </w:p>
        </w:tc>
        <w:tc>
          <w:tcPr>
            <w:tcW w:w="2054" w:type="dxa"/>
            <w:vAlign w:val="center"/>
          </w:tcPr>
          <w:p w14:paraId="25938282">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项目质量保证措施</w:t>
            </w:r>
          </w:p>
        </w:tc>
        <w:tc>
          <w:tcPr>
            <w:tcW w:w="3901" w:type="dxa"/>
            <w:vAlign w:val="center"/>
          </w:tcPr>
          <w:p w14:paraId="495B35A5">
            <w:pPr>
              <w:pStyle w:val="48"/>
              <w:rPr>
                <w:rFonts w:hint="eastAsia" w:ascii="宋体" w:hAnsi="宋体" w:eastAsia="宋体" w:cs="宋体"/>
                <w:color w:val="auto"/>
                <w:sz w:val="21"/>
                <w:szCs w:val="21"/>
                <w:highlight w:val="none"/>
                <w:lang w:val="en-US" w:eastAsia="zh-CN"/>
              </w:rPr>
            </w:pPr>
          </w:p>
        </w:tc>
        <w:tc>
          <w:tcPr>
            <w:tcW w:w="1628" w:type="dxa"/>
            <w:vAlign w:val="center"/>
          </w:tcPr>
          <w:p w14:paraId="7242BCF0">
            <w:pPr>
              <w:pStyle w:val="48"/>
              <w:rPr>
                <w:rFonts w:hint="eastAsia" w:ascii="宋体" w:hAnsi="宋体" w:eastAsia="宋体" w:cs="宋体"/>
                <w:color w:val="auto"/>
                <w:sz w:val="21"/>
                <w:szCs w:val="21"/>
                <w:highlight w:val="none"/>
                <w:lang w:val="en-US" w:eastAsia="zh-CN"/>
              </w:rPr>
            </w:pPr>
          </w:p>
        </w:tc>
      </w:tr>
      <w:tr w14:paraId="7D467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79" w:type="dxa"/>
            <w:vMerge w:val="continue"/>
            <w:vAlign w:val="center"/>
          </w:tcPr>
          <w:p w14:paraId="668FE51F">
            <w:pPr>
              <w:pStyle w:val="48"/>
              <w:jc w:val="center"/>
              <w:rPr>
                <w:rFonts w:hint="eastAsia" w:ascii="宋体" w:hAnsi="宋体" w:eastAsia="宋体" w:cs="宋体"/>
                <w:color w:val="auto"/>
                <w:sz w:val="21"/>
                <w:szCs w:val="21"/>
                <w:highlight w:val="none"/>
              </w:rPr>
            </w:pPr>
          </w:p>
        </w:tc>
        <w:tc>
          <w:tcPr>
            <w:tcW w:w="2054" w:type="dxa"/>
            <w:tcBorders>
              <w:top w:val="single" w:color="auto" w:sz="4" w:space="0"/>
            </w:tcBorders>
            <w:vAlign w:val="center"/>
          </w:tcPr>
          <w:p w14:paraId="70CD1E4E">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901" w:type="dxa"/>
            <w:vAlign w:val="center"/>
          </w:tcPr>
          <w:p w14:paraId="7E11368E">
            <w:pPr>
              <w:pStyle w:val="4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628" w:type="dxa"/>
            <w:vAlign w:val="center"/>
          </w:tcPr>
          <w:p w14:paraId="61A6370D">
            <w:pPr>
              <w:pStyle w:val="48"/>
              <w:rPr>
                <w:rFonts w:hint="eastAsia" w:ascii="宋体" w:hAnsi="宋体" w:eastAsia="宋体" w:cs="宋体"/>
                <w:color w:val="auto"/>
                <w:sz w:val="21"/>
                <w:szCs w:val="21"/>
                <w:highlight w:val="none"/>
              </w:rPr>
            </w:pPr>
          </w:p>
        </w:tc>
      </w:tr>
      <w:tr w14:paraId="3E14E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2833" w:type="dxa"/>
            <w:gridSpan w:val="2"/>
            <w:vAlign w:val="center"/>
          </w:tcPr>
          <w:p w14:paraId="4EA108C2">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评审结果 </w:t>
            </w:r>
          </w:p>
        </w:tc>
        <w:tc>
          <w:tcPr>
            <w:tcW w:w="3901" w:type="dxa"/>
            <w:tcBorders>
              <w:bottom w:val="single" w:color="auto" w:sz="4" w:space="0"/>
            </w:tcBorders>
            <w:vAlign w:val="center"/>
          </w:tcPr>
          <w:p w14:paraId="51D81DE2">
            <w:pPr>
              <w:pStyle w:val="48"/>
              <w:rPr>
                <w:rFonts w:hint="eastAsia" w:ascii="宋体" w:hAnsi="宋体" w:eastAsia="宋体" w:cs="宋体"/>
                <w:color w:val="auto"/>
                <w:sz w:val="21"/>
                <w:szCs w:val="21"/>
                <w:highlight w:val="none"/>
              </w:rPr>
            </w:pPr>
          </w:p>
        </w:tc>
        <w:tc>
          <w:tcPr>
            <w:tcW w:w="1628" w:type="dxa"/>
            <w:tcBorders>
              <w:bottom w:val="single" w:color="auto" w:sz="4" w:space="0"/>
            </w:tcBorders>
            <w:vAlign w:val="center"/>
          </w:tcPr>
          <w:p w14:paraId="2DBC73F4">
            <w:pPr>
              <w:pStyle w:val="48"/>
              <w:rPr>
                <w:rFonts w:hint="eastAsia" w:ascii="宋体" w:hAnsi="宋体" w:eastAsia="宋体" w:cs="宋体"/>
                <w:color w:val="auto"/>
                <w:sz w:val="21"/>
                <w:szCs w:val="21"/>
                <w:highlight w:val="none"/>
              </w:rPr>
            </w:pPr>
          </w:p>
        </w:tc>
      </w:tr>
    </w:tbl>
    <w:p w14:paraId="2CBA0643">
      <w:pPr>
        <w:pStyle w:val="4"/>
        <w:keepNext w:val="0"/>
        <w:keepLines w:val="0"/>
        <w:pageBreakBefore w:val="0"/>
        <w:widowControl w:val="0"/>
        <w:numPr>
          <w:ilvl w:val="0"/>
          <w:numId w:val="0"/>
        </w:numPr>
        <w:kinsoku/>
        <w:wordWrap/>
        <w:overflowPunct/>
        <w:topLinePunct w:val="0"/>
        <w:autoSpaceDE/>
        <w:autoSpaceDN/>
        <w:bidi w:val="0"/>
        <w:adjustRightInd/>
        <w:snapToGrid/>
        <w:spacing w:before="160" w:after="160" w:line="360" w:lineRule="auto"/>
        <w:ind w:left="420" w:leftChars="0" w:hanging="420" w:firstLineChars="0"/>
        <w:textAlignment w:val="auto"/>
        <w:rPr>
          <w:rFonts w:hint="default" w:ascii="宋体" w:hAnsi="宋体" w:eastAsia="宋体" w:cs="宋体"/>
          <w:b/>
          <w:bCs/>
          <w:color w:val="auto"/>
          <w:kern w:val="2"/>
          <w:sz w:val="24"/>
          <w:szCs w:val="24"/>
          <w:highlight w:val="none"/>
          <w:lang w:val="en-US" w:eastAsia="zh-CN" w:bidi="ar-SA"/>
        </w:rPr>
      </w:pPr>
      <w:bookmarkStart w:id="419" w:name="_Toc26117"/>
      <w:r>
        <w:rPr>
          <w:rFonts w:hint="eastAsia" w:ascii="宋体" w:hAnsi="宋体" w:eastAsia="宋体" w:cs="宋体"/>
          <w:b/>
          <w:bCs/>
          <w:color w:val="auto"/>
          <w:kern w:val="2"/>
          <w:sz w:val="24"/>
          <w:szCs w:val="24"/>
          <w:highlight w:val="none"/>
          <w:lang w:val="zh-CN" w:eastAsia="zh-CN" w:bidi="ar-SA"/>
        </w:rPr>
        <w:t>（三）</w:t>
      </w:r>
      <w:r>
        <w:rPr>
          <w:rFonts w:hint="eastAsia" w:ascii="宋体" w:hAnsi="宋体" w:eastAsia="宋体" w:cs="宋体"/>
          <w:b/>
          <w:bCs/>
          <w:color w:val="auto"/>
          <w:kern w:val="2"/>
          <w:sz w:val="24"/>
          <w:szCs w:val="24"/>
          <w:highlight w:val="none"/>
          <w:lang w:val="en-US" w:eastAsia="zh-CN" w:bidi="ar-SA"/>
        </w:rPr>
        <w:t>价格评审</w:t>
      </w:r>
      <w:bookmarkEnd w:id="419"/>
    </w:p>
    <w:tbl>
      <w:tblPr>
        <w:tblStyle w:val="29"/>
        <w:tblW w:w="49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2"/>
        <w:gridCol w:w="1287"/>
        <w:gridCol w:w="6320"/>
      </w:tblGrid>
      <w:tr w14:paraId="3D2D6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477" w:type="pct"/>
            <w:shd w:val="clear" w:color="auto" w:fill="D8D8D8" w:themeFill="background1" w:themeFillShade="D9"/>
            <w:vAlign w:val="center"/>
          </w:tcPr>
          <w:p w14:paraId="0C56B377">
            <w:pPr>
              <w:pStyle w:val="48"/>
              <w:jc w:val="center"/>
              <w:rPr>
                <w:b/>
                <w:bCs/>
                <w:color w:val="auto"/>
                <w:sz w:val="21"/>
                <w:szCs w:val="21"/>
                <w:highlight w:val="none"/>
              </w:rPr>
            </w:pPr>
            <w:r>
              <w:rPr>
                <w:rFonts w:hint="eastAsia"/>
                <w:b/>
                <w:bCs/>
                <w:color w:val="auto"/>
                <w:sz w:val="21"/>
                <w:szCs w:val="21"/>
                <w:highlight w:val="none"/>
              </w:rPr>
              <w:t>评标项目</w:t>
            </w:r>
          </w:p>
        </w:tc>
        <w:tc>
          <w:tcPr>
            <w:tcW w:w="765" w:type="pct"/>
            <w:shd w:val="clear" w:color="auto" w:fill="D8D8D8" w:themeFill="background1" w:themeFillShade="D9"/>
            <w:vAlign w:val="center"/>
          </w:tcPr>
          <w:p w14:paraId="5ACA2F0E">
            <w:pPr>
              <w:pStyle w:val="48"/>
              <w:jc w:val="center"/>
              <w:rPr>
                <w:b/>
                <w:bCs/>
                <w:color w:val="auto"/>
                <w:sz w:val="21"/>
                <w:szCs w:val="21"/>
                <w:highlight w:val="none"/>
              </w:rPr>
            </w:pPr>
            <w:r>
              <w:rPr>
                <w:rFonts w:hint="eastAsia"/>
                <w:b/>
                <w:bCs/>
                <w:color w:val="auto"/>
                <w:sz w:val="21"/>
                <w:szCs w:val="21"/>
                <w:highlight w:val="none"/>
              </w:rPr>
              <w:t>评</w:t>
            </w:r>
            <w:r>
              <w:rPr>
                <w:rFonts w:hint="eastAsia"/>
                <w:b/>
                <w:bCs/>
                <w:color w:val="auto"/>
                <w:sz w:val="21"/>
                <w:szCs w:val="21"/>
                <w:highlight w:val="none"/>
                <w:lang w:val="en-US" w:eastAsia="zh-CN"/>
              </w:rPr>
              <w:t>审</w:t>
            </w:r>
            <w:r>
              <w:rPr>
                <w:rFonts w:hint="eastAsia"/>
                <w:b/>
                <w:bCs/>
                <w:color w:val="auto"/>
                <w:sz w:val="21"/>
                <w:szCs w:val="21"/>
                <w:highlight w:val="none"/>
              </w:rPr>
              <w:t>分项</w:t>
            </w:r>
          </w:p>
        </w:tc>
        <w:tc>
          <w:tcPr>
            <w:tcW w:w="3757" w:type="pct"/>
            <w:shd w:val="clear" w:color="auto" w:fill="D8D8D8" w:themeFill="background1" w:themeFillShade="D9"/>
            <w:vAlign w:val="center"/>
          </w:tcPr>
          <w:p w14:paraId="17B1191C">
            <w:pPr>
              <w:pStyle w:val="48"/>
              <w:jc w:val="center"/>
              <w:rPr>
                <w:rFonts w:hint="eastAsia" w:eastAsia="宋体"/>
                <w:b/>
                <w:bCs/>
                <w:color w:val="auto"/>
                <w:sz w:val="21"/>
                <w:szCs w:val="21"/>
                <w:highlight w:val="none"/>
                <w:lang w:eastAsia="zh-CN"/>
              </w:rPr>
            </w:pPr>
            <w:r>
              <w:rPr>
                <w:rFonts w:hint="eastAsia"/>
                <w:b/>
                <w:bCs/>
                <w:color w:val="auto"/>
                <w:sz w:val="21"/>
                <w:szCs w:val="21"/>
                <w:highlight w:val="none"/>
              </w:rPr>
              <w:t>子项目</w:t>
            </w:r>
            <w:r>
              <w:rPr>
                <w:rFonts w:hint="eastAsia"/>
                <w:b/>
                <w:bCs/>
                <w:color w:val="auto"/>
                <w:sz w:val="21"/>
                <w:szCs w:val="21"/>
                <w:highlight w:val="none"/>
                <w:lang w:val="en-US" w:eastAsia="zh-CN"/>
              </w:rPr>
              <w:t>评审</w:t>
            </w:r>
          </w:p>
        </w:tc>
      </w:tr>
      <w:tr w14:paraId="528BB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4" w:hRule="atLeast"/>
          <w:jc w:val="center"/>
        </w:trPr>
        <w:tc>
          <w:tcPr>
            <w:tcW w:w="477" w:type="pct"/>
            <w:vAlign w:val="center"/>
          </w:tcPr>
          <w:p w14:paraId="191F2280">
            <w:pPr>
              <w:pStyle w:val="48"/>
              <w:jc w:val="center"/>
              <w:rPr>
                <w:color w:val="auto"/>
                <w:sz w:val="21"/>
                <w:szCs w:val="21"/>
                <w:highlight w:val="none"/>
              </w:rPr>
            </w:pPr>
            <w:r>
              <w:rPr>
                <w:rFonts w:hint="eastAsia"/>
                <w:color w:val="auto"/>
                <w:sz w:val="21"/>
                <w:szCs w:val="21"/>
                <w:highlight w:val="none"/>
              </w:rPr>
              <w:t>价格部分</w:t>
            </w:r>
          </w:p>
        </w:tc>
        <w:tc>
          <w:tcPr>
            <w:tcW w:w="765" w:type="pct"/>
            <w:tcBorders>
              <w:bottom w:val="single" w:color="auto" w:sz="4" w:space="0"/>
            </w:tcBorders>
            <w:vAlign w:val="center"/>
          </w:tcPr>
          <w:p w14:paraId="3F961074">
            <w:pPr>
              <w:pStyle w:val="48"/>
              <w:jc w:val="center"/>
              <w:rPr>
                <w:color w:val="auto"/>
                <w:sz w:val="21"/>
                <w:szCs w:val="21"/>
                <w:highlight w:val="none"/>
              </w:rPr>
            </w:pPr>
            <w:r>
              <w:rPr>
                <w:rFonts w:hint="eastAsia"/>
                <w:color w:val="auto"/>
                <w:sz w:val="21"/>
                <w:szCs w:val="21"/>
                <w:highlight w:val="none"/>
              </w:rPr>
              <w:t>投标报价</w:t>
            </w:r>
          </w:p>
        </w:tc>
        <w:tc>
          <w:tcPr>
            <w:tcW w:w="3757" w:type="pct"/>
            <w:vAlign w:val="center"/>
          </w:tcPr>
          <w:p w14:paraId="3D11EA38">
            <w:pPr>
              <w:pStyle w:val="48"/>
              <w:rPr>
                <w:rFonts w:hint="eastAsia"/>
                <w:color w:val="auto"/>
                <w:sz w:val="21"/>
                <w:szCs w:val="21"/>
                <w:highlight w:val="none"/>
              </w:rPr>
            </w:pPr>
            <w:r>
              <w:rPr>
                <w:rFonts w:hint="eastAsia"/>
                <w:color w:val="auto"/>
                <w:sz w:val="21"/>
                <w:szCs w:val="21"/>
                <w:highlight w:val="none"/>
              </w:rPr>
              <w:t>评标结果按投标报价由低到高顺序排列。投标报价相同的按技术指标优劣顺序排列。投标文件满足招标文件全部实质性要求且投标报价最低的投标人为排名第一的中标候选人。</w:t>
            </w:r>
          </w:p>
          <w:p w14:paraId="4412B5AC">
            <w:pPr>
              <w:pStyle w:val="48"/>
              <w:rPr>
                <w:rFonts w:hint="eastAsia"/>
                <w:color w:val="auto"/>
                <w:sz w:val="21"/>
                <w:szCs w:val="21"/>
                <w:highlight w:val="none"/>
              </w:rPr>
            </w:pPr>
          </w:p>
          <w:p w14:paraId="3716D807">
            <w:pPr>
              <w:pStyle w:val="48"/>
              <w:rPr>
                <w:color w:val="auto"/>
                <w:sz w:val="21"/>
                <w:szCs w:val="21"/>
                <w:highlight w:val="none"/>
              </w:rPr>
            </w:pPr>
            <w:r>
              <w:rPr>
                <w:rFonts w:hint="eastAsia"/>
                <w:b/>
                <w:bCs/>
                <w:color w:val="auto"/>
                <w:sz w:val="21"/>
                <w:szCs w:val="21"/>
                <w:highlight w:val="none"/>
              </w:rPr>
              <w:t>备注</w:t>
            </w:r>
            <w:r>
              <w:rPr>
                <w:rFonts w:hint="eastAsia"/>
                <w:color w:val="auto"/>
                <w:sz w:val="21"/>
                <w:szCs w:val="21"/>
                <w:highlight w:val="none"/>
              </w:rPr>
              <w:t>：符合</w:t>
            </w:r>
            <w:r>
              <w:rPr>
                <w:rFonts w:hint="eastAsia"/>
                <w:color w:val="auto"/>
                <w:sz w:val="21"/>
                <w:szCs w:val="21"/>
                <w:highlight w:val="none"/>
                <w:lang w:eastAsia="zh-CN"/>
              </w:rPr>
              <w:t>“</w:t>
            </w:r>
            <w:r>
              <w:rPr>
                <w:rFonts w:hint="eastAsia"/>
                <w:color w:val="auto"/>
                <w:sz w:val="21"/>
                <w:szCs w:val="21"/>
                <w:highlight w:val="none"/>
              </w:rPr>
              <w:t>投标人须知</w:t>
            </w:r>
            <w:r>
              <w:rPr>
                <w:rFonts w:hint="eastAsia"/>
                <w:color w:val="auto"/>
                <w:sz w:val="21"/>
                <w:szCs w:val="21"/>
                <w:highlight w:val="none"/>
                <w:lang w:val="en-US" w:eastAsia="zh-CN"/>
              </w:rPr>
              <w:t>前附表”</w:t>
            </w:r>
            <w:r>
              <w:rPr>
                <w:rFonts w:hint="eastAsia"/>
                <w:color w:val="auto"/>
                <w:sz w:val="21"/>
                <w:szCs w:val="21"/>
                <w:highlight w:val="none"/>
              </w:rPr>
              <w:t>中价格扣除规定的，在评审时予以价格扣除，用扣除后的价格参与评审。</w:t>
            </w:r>
          </w:p>
        </w:tc>
      </w:tr>
    </w:tbl>
    <w:p w14:paraId="1B8B9D59">
      <w:pPr>
        <w:pStyle w:val="2"/>
        <w:keepNext/>
        <w:keepLines/>
        <w:pageBreakBefore w:val="0"/>
        <w:widowControl w:val="0"/>
        <w:numPr>
          <w:ilvl w:val="0"/>
          <w:numId w:val="0"/>
        </w:numPr>
        <w:kinsoku/>
        <w:wordWrap/>
        <w:overflowPunct/>
        <w:topLinePunct w:val="0"/>
        <w:autoSpaceDE/>
        <w:autoSpaceDN/>
        <w:bidi w:val="0"/>
        <w:adjustRightInd/>
        <w:snapToGrid/>
        <w:spacing w:before="220" w:after="220" w:line="240" w:lineRule="auto"/>
        <w:ind w:left="420" w:leftChars="0" w:hanging="420" w:firstLineChars="0"/>
        <w:textAlignment w:val="auto"/>
        <w:rPr>
          <w:rFonts w:hint="eastAsia" w:ascii="宋体" w:hAnsi="宋体" w:eastAsia="宋体" w:cs="宋体"/>
          <w:b/>
          <w:bCs/>
          <w:color w:val="auto"/>
          <w:kern w:val="44"/>
          <w:sz w:val="36"/>
          <w:szCs w:val="36"/>
          <w:highlight w:val="none"/>
          <w:lang w:val="zh-CN" w:eastAsia="zh-CN" w:bidi="ar-SA"/>
        </w:rPr>
      </w:pPr>
      <w:bookmarkStart w:id="420" w:name="_Toc155185918"/>
    </w:p>
    <w:p w14:paraId="203C6AA1">
      <w:pPr>
        <w:pStyle w:val="2"/>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zh-CN" w:eastAsia="zh-CN" w:bidi="ar-SA"/>
        </w:rPr>
      </w:pPr>
      <w:bookmarkStart w:id="421" w:name="_Toc22127"/>
      <w:bookmarkStart w:id="422" w:name="_Toc7989"/>
      <w:r>
        <w:rPr>
          <w:rFonts w:hint="eastAsia" w:ascii="宋体" w:hAnsi="宋体" w:eastAsia="宋体" w:cs="宋体"/>
          <w:b/>
          <w:bCs/>
          <w:color w:val="auto"/>
          <w:kern w:val="44"/>
          <w:sz w:val="36"/>
          <w:szCs w:val="36"/>
          <w:highlight w:val="none"/>
          <w:lang w:val="zh-CN" w:eastAsia="zh-CN" w:bidi="ar-SA"/>
        </w:rPr>
        <w:t>第六章 合同</w:t>
      </w:r>
      <w:bookmarkEnd w:id="420"/>
      <w:r>
        <w:rPr>
          <w:rFonts w:hint="eastAsia" w:ascii="宋体" w:hAnsi="宋体" w:eastAsia="宋体" w:cs="宋体"/>
          <w:b/>
          <w:bCs/>
          <w:color w:val="auto"/>
          <w:kern w:val="44"/>
          <w:sz w:val="36"/>
          <w:szCs w:val="36"/>
          <w:highlight w:val="none"/>
          <w:lang w:val="zh-CN" w:eastAsia="zh-CN" w:bidi="ar-SA"/>
        </w:rPr>
        <w:t>草案</w:t>
      </w:r>
      <w:bookmarkEnd w:id="421"/>
      <w:bookmarkEnd w:id="422"/>
    </w:p>
    <w:p w14:paraId="290EAE22">
      <w:pPr>
        <w:rPr>
          <w:color w:val="auto"/>
          <w:highlight w:val="none"/>
          <w:lang w:val="zh-CN"/>
        </w:rPr>
      </w:pPr>
    </w:p>
    <w:p w14:paraId="5CF7B029">
      <w:pPr>
        <w:wordWrap w:val="0"/>
        <w:jc w:val="center"/>
        <w:rPr>
          <w:rFonts w:hint="eastAsia" w:eastAsia="宋体"/>
          <w:bCs/>
          <w:color w:val="auto"/>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rPr>
        <w:t>此合同书仅作为签订正式合同时的参考，正式合同书应包括本参考格式的内容</w:t>
      </w:r>
      <w:r>
        <w:rPr>
          <w:rFonts w:hint="eastAsia"/>
          <w:color w:val="auto"/>
          <w:sz w:val="24"/>
          <w:szCs w:val="24"/>
          <w:highlight w:val="none"/>
          <w:lang w:eastAsia="zh-CN"/>
        </w:rPr>
        <w:t>】</w:t>
      </w:r>
    </w:p>
    <w:p w14:paraId="466B9990">
      <w:pPr>
        <w:wordWrap w:val="0"/>
        <w:rPr>
          <w:bCs/>
          <w:color w:val="auto"/>
          <w:sz w:val="28"/>
          <w:szCs w:val="28"/>
          <w:highlight w:val="none"/>
        </w:rPr>
      </w:pPr>
      <w:r>
        <w:rPr>
          <w:rFonts w:hint="eastAsia" w:cs="Helvetica"/>
          <w:bCs/>
          <w:color w:val="auto"/>
          <w:sz w:val="24"/>
          <w:szCs w:val="24"/>
          <w:highlight w:val="none"/>
          <w:lang w:val="zh-CN"/>
        </w:rPr>
        <w:t>合同编号：</w:t>
      </w:r>
      <w:r>
        <w:rPr>
          <w:rFonts w:hint="eastAsia" w:cs="Helvetica"/>
          <w:bCs/>
          <w:color w:val="auto"/>
          <w:sz w:val="24"/>
          <w:szCs w:val="24"/>
          <w:highlight w:val="none"/>
          <w:u w:val="single"/>
        </w:rPr>
        <w:t xml:space="preserve">              </w:t>
      </w:r>
    </w:p>
    <w:p w14:paraId="4DD54709">
      <w:pPr>
        <w:pStyle w:val="13"/>
        <w:spacing w:after="0"/>
        <w:jc w:val="center"/>
        <w:rPr>
          <w:rFonts w:ascii="宋体" w:hAnsi="宋体" w:cs="宋体"/>
          <w:b/>
          <w:bCs/>
          <w:color w:val="auto"/>
          <w:spacing w:val="-20"/>
          <w:kern w:val="44"/>
          <w:sz w:val="48"/>
          <w:szCs w:val="48"/>
          <w:highlight w:val="none"/>
        </w:rPr>
      </w:pPr>
      <w:bookmarkStart w:id="423" w:name="_Toc3995"/>
    </w:p>
    <w:p w14:paraId="3B059C39">
      <w:pPr>
        <w:pStyle w:val="13"/>
        <w:rPr>
          <w:color w:val="auto"/>
          <w:highlight w:val="none"/>
        </w:rPr>
      </w:pPr>
    </w:p>
    <w:p w14:paraId="1EAD278A">
      <w:pPr>
        <w:spacing w:line="240" w:lineRule="auto"/>
        <w:jc w:val="center"/>
        <w:outlineLvl w:val="1"/>
        <w:rPr>
          <w:rFonts w:hint="eastAsia" w:ascii="宋体" w:hAnsi="宋体" w:eastAsia="宋体" w:cs="宋体"/>
          <w:b/>
          <w:bCs/>
          <w:color w:val="auto"/>
          <w:spacing w:val="-20"/>
          <w:kern w:val="44"/>
          <w:sz w:val="44"/>
          <w:szCs w:val="44"/>
          <w:highlight w:val="none"/>
          <w:lang w:val="en-US" w:eastAsia="zh-CN" w:bidi="ar-SA"/>
        </w:rPr>
      </w:pPr>
      <w:bookmarkStart w:id="424" w:name="_Toc3714"/>
      <w:bookmarkStart w:id="425" w:name="_Toc8451"/>
      <w:bookmarkStart w:id="426" w:name="_Toc27174"/>
      <w:r>
        <w:rPr>
          <w:rFonts w:hint="eastAsia" w:ascii="宋体" w:hAnsi="宋体" w:eastAsia="宋体" w:cs="宋体"/>
          <w:b/>
          <w:bCs/>
          <w:color w:val="auto"/>
          <w:spacing w:val="-20"/>
          <w:kern w:val="44"/>
          <w:sz w:val="44"/>
          <w:szCs w:val="44"/>
          <w:highlight w:val="none"/>
          <w:lang w:val="en-US" w:eastAsia="zh-CN" w:bidi="ar-SA"/>
        </w:rPr>
        <w:t>政府采购合同参考范本</w:t>
      </w:r>
      <w:bookmarkEnd w:id="424"/>
      <w:bookmarkEnd w:id="425"/>
      <w:bookmarkEnd w:id="426"/>
    </w:p>
    <w:p w14:paraId="4571CDB1">
      <w:pPr>
        <w:spacing w:line="480" w:lineRule="auto"/>
        <w:jc w:val="center"/>
        <w:outlineLvl w:val="1"/>
        <w:rPr>
          <w:rFonts w:hint="eastAsia" w:ascii="宋体" w:hAnsi="宋体" w:eastAsia="宋体" w:cs="宋体"/>
          <w:b/>
          <w:bCs/>
          <w:color w:val="auto"/>
          <w:spacing w:val="-20"/>
          <w:kern w:val="44"/>
          <w:sz w:val="44"/>
          <w:szCs w:val="44"/>
          <w:highlight w:val="none"/>
          <w:lang w:val="en-US" w:eastAsia="zh-CN" w:bidi="ar-SA"/>
        </w:rPr>
      </w:pPr>
      <w:bookmarkStart w:id="427" w:name="_Toc23807"/>
      <w:bookmarkStart w:id="428" w:name="_Toc9050"/>
      <w:bookmarkStart w:id="429" w:name="_Toc8560"/>
      <w:r>
        <w:rPr>
          <w:rFonts w:hint="eastAsia" w:ascii="宋体" w:hAnsi="宋体" w:eastAsia="宋体" w:cs="宋体"/>
          <w:b/>
          <w:bCs/>
          <w:color w:val="auto"/>
          <w:spacing w:val="-20"/>
          <w:kern w:val="44"/>
          <w:sz w:val="44"/>
          <w:szCs w:val="44"/>
          <w:highlight w:val="none"/>
          <w:lang w:val="en-US" w:eastAsia="zh-CN" w:bidi="ar-SA"/>
        </w:rPr>
        <w:t>（服务类）</w:t>
      </w:r>
      <w:bookmarkEnd w:id="427"/>
      <w:bookmarkEnd w:id="428"/>
      <w:bookmarkEnd w:id="429"/>
    </w:p>
    <w:p w14:paraId="78DDAE5C">
      <w:pPr>
        <w:spacing w:line="480" w:lineRule="auto"/>
        <w:jc w:val="center"/>
        <w:rPr>
          <w:rFonts w:cs="Times New Roman" w:asciiTheme="minorEastAsia" w:hAnsiTheme="minorEastAsia" w:eastAsiaTheme="minorEastAsia"/>
          <w:b/>
          <w:color w:val="auto"/>
          <w:sz w:val="24"/>
          <w:szCs w:val="24"/>
          <w:highlight w:val="none"/>
        </w:rPr>
      </w:pPr>
    </w:p>
    <w:p w14:paraId="317A7DEF">
      <w:pPr>
        <w:spacing w:line="480" w:lineRule="auto"/>
        <w:jc w:val="center"/>
        <w:rPr>
          <w:rFonts w:cs="Times New Roman" w:asciiTheme="minorEastAsia" w:hAnsiTheme="minorEastAsia" w:eastAsiaTheme="minorEastAsia"/>
          <w:b/>
          <w:color w:val="auto"/>
          <w:sz w:val="24"/>
          <w:szCs w:val="24"/>
          <w:highlight w:val="none"/>
        </w:rPr>
      </w:pPr>
    </w:p>
    <w:p w14:paraId="55C3B597">
      <w:pPr>
        <w:spacing w:line="360" w:lineRule="auto"/>
        <w:jc w:val="center"/>
        <w:outlineLvl w:val="1"/>
        <w:rPr>
          <w:rFonts w:hint="eastAsia" w:ascii="宋体" w:hAnsi="宋体" w:eastAsia="宋体" w:cs="宋体"/>
          <w:b/>
          <w:color w:val="auto"/>
          <w:sz w:val="36"/>
          <w:szCs w:val="36"/>
          <w:highlight w:val="none"/>
        </w:rPr>
      </w:pPr>
      <w:bookmarkStart w:id="430" w:name="_Toc2449"/>
      <w:bookmarkStart w:id="431" w:name="_Toc18509"/>
      <w:bookmarkStart w:id="432" w:name="_Toc27541"/>
      <w:r>
        <w:rPr>
          <w:rFonts w:hint="eastAsia" w:ascii="宋体" w:hAnsi="宋体" w:eastAsia="宋体" w:cs="宋体"/>
          <w:b/>
          <w:color w:val="auto"/>
          <w:sz w:val="36"/>
          <w:szCs w:val="36"/>
          <w:highlight w:val="none"/>
        </w:rPr>
        <w:t>第一部分 合同书</w:t>
      </w:r>
      <w:bookmarkEnd w:id="430"/>
      <w:bookmarkEnd w:id="431"/>
      <w:bookmarkEnd w:id="432"/>
    </w:p>
    <w:p w14:paraId="4BA01776">
      <w:pPr>
        <w:spacing w:line="480" w:lineRule="auto"/>
        <w:jc w:val="center"/>
        <w:rPr>
          <w:rFonts w:cs="Times New Roman" w:asciiTheme="minorEastAsia" w:hAnsiTheme="minorEastAsia" w:eastAsiaTheme="minorEastAsia"/>
          <w:b/>
          <w:color w:val="auto"/>
          <w:sz w:val="24"/>
          <w:szCs w:val="24"/>
          <w:highlight w:val="none"/>
        </w:rPr>
      </w:pPr>
    </w:p>
    <w:p w14:paraId="5F204112">
      <w:pPr>
        <w:pStyle w:val="13"/>
        <w:rPr>
          <w:color w:val="auto"/>
          <w:highlight w:val="none"/>
        </w:rPr>
      </w:pPr>
    </w:p>
    <w:p w14:paraId="69570DA0">
      <w:pPr>
        <w:pStyle w:val="13"/>
        <w:rPr>
          <w:color w:val="auto"/>
          <w:highlight w:val="none"/>
        </w:rPr>
      </w:pPr>
    </w:p>
    <w:p w14:paraId="77910ED1">
      <w:pPr>
        <w:spacing w:before="120" w:line="480" w:lineRule="auto"/>
        <w:ind w:left="960"/>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项目名称：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（分包项目须填写完整的分包号及分包名称）</w:t>
      </w:r>
    </w:p>
    <w:p w14:paraId="730F4465">
      <w:pPr>
        <w:spacing w:before="120" w:line="480" w:lineRule="auto"/>
        <w:ind w:left="96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项目编号</w:t>
      </w:r>
      <w:r>
        <w:rPr>
          <w:rFonts w:hint="eastAsia" w:ascii="宋体" w:hAnsi="宋体" w:eastAsia="宋体" w:cs="宋体"/>
          <w:i w:val="0"/>
          <w:iCs w:val="0"/>
          <w:color w:val="auto"/>
          <w:sz w:val="24"/>
          <w:szCs w:val="24"/>
          <w:highlight w:val="none"/>
          <w:lang w:val="en-US" w:eastAsia="zh-CN"/>
        </w:rPr>
        <w:t>/包号</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u w:val="single"/>
        </w:rPr>
        <w:t xml:space="preserve">        </w:t>
      </w:r>
    </w:p>
    <w:p w14:paraId="66872538">
      <w:pPr>
        <w:spacing w:before="120" w:line="480" w:lineRule="auto"/>
        <w:ind w:left="960"/>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甲方（采购人）：</w:t>
      </w:r>
      <w:r>
        <w:rPr>
          <w:rFonts w:hint="eastAsia" w:ascii="宋体" w:hAnsi="宋体" w:eastAsia="宋体" w:cs="宋体"/>
          <w:i w:val="0"/>
          <w:iCs w:val="0"/>
          <w:color w:val="auto"/>
          <w:sz w:val="24"/>
          <w:szCs w:val="24"/>
          <w:highlight w:val="none"/>
          <w:u w:val="single"/>
        </w:rPr>
        <w:t xml:space="preserve">                              </w:t>
      </w:r>
    </w:p>
    <w:p w14:paraId="557645D2">
      <w:pPr>
        <w:spacing w:before="120" w:line="480" w:lineRule="auto"/>
        <w:ind w:left="960"/>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乙方（中标人）：</w:t>
      </w:r>
      <w:r>
        <w:rPr>
          <w:rFonts w:hint="eastAsia" w:ascii="宋体" w:hAnsi="宋体" w:eastAsia="宋体" w:cs="宋体"/>
          <w:i w:val="0"/>
          <w:iCs w:val="0"/>
          <w:color w:val="auto"/>
          <w:sz w:val="24"/>
          <w:szCs w:val="24"/>
          <w:highlight w:val="none"/>
          <w:u w:val="single"/>
        </w:rPr>
        <w:t xml:space="preserve">                              </w:t>
      </w:r>
    </w:p>
    <w:p w14:paraId="263D5C0B">
      <w:pPr>
        <w:spacing w:before="120" w:line="480" w:lineRule="auto"/>
        <w:ind w:firstLine="960" w:firstLineChars="400"/>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签订地：</w:t>
      </w:r>
      <w:r>
        <w:rPr>
          <w:rFonts w:hint="eastAsia" w:ascii="宋体" w:hAnsi="宋体" w:eastAsia="宋体" w:cs="宋体"/>
          <w:i w:val="0"/>
          <w:iCs w:val="0"/>
          <w:color w:val="auto"/>
          <w:sz w:val="24"/>
          <w:szCs w:val="24"/>
          <w:highlight w:val="none"/>
          <w:u w:val="single"/>
        </w:rPr>
        <w:t xml:space="preserve">                                     </w:t>
      </w:r>
    </w:p>
    <w:p w14:paraId="28A94FB3">
      <w:pPr>
        <w:spacing w:before="120" w:line="480" w:lineRule="auto"/>
        <w:ind w:firstLine="960" w:firstLineChars="4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签订日期：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p>
    <w:p w14:paraId="34F4996A">
      <w:pPr>
        <w:widowControl/>
        <w:jc w:val="left"/>
        <w:rPr>
          <w:rFonts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br w:type="page"/>
      </w:r>
    </w:p>
    <w:p w14:paraId="5343AEB4">
      <w:pPr>
        <w:spacing w:line="360" w:lineRule="auto"/>
        <w:ind w:firstLine="4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以下简称：甲方</w:t>
      </w:r>
      <w:r>
        <w:rPr>
          <w:rFonts w:hint="eastAsia" w:ascii="宋体" w:hAnsi="宋体" w:eastAsia="宋体" w:cs="宋体"/>
          <w:color w:val="auto"/>
          <w:sz w:val="24"/>
          <w:szCs w:val="24"/>
          <w:highlight w:val="none"/>
        </w:rPr>
        <w:t>）通过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组织的</w:t>
      </w:r>
      <w:r>
        <w:rPr>
          <w:rFonts w:hint="eastAsia" w:ascii="宋体" w:hAnsi="宋体" w:eastAsia="宋体" w:cs="宋体"/>
          <w:color w:val="auto"/>
          <w:sz w:val="24"/>
          <w:szCs w:val="24"/>
          <w:highlight w:val="none"/>
          <w:u w:val="single"/>
        </w:rPr>
        <w:t>公开招标</w:t>
      </w:r>
      <w:r>
        <w:rPr>
          <w:rFonts w:hint="eastAsia" w:ascii="宋体" w:hAnsi="宋体" w:eastAsia="宋体" w:cs="宋体"/>
          <w:color w:val="auto"/>
          <w:sz w:val="24"/>
          <w:szCs w:val="24"/>
          <w:highlight w:val="none"/>
        </w:rPr>
        <w:t>方式采购活动，经</w:t>
      </w:r>
      <w:r>
        <w:rPr>
          <w:rFonts w:hint="eastAsia" w:ascii="宋体" w:hAnsi="宋体" w:eastAsia="宋体" w:cs="宋体"/>
          <w:color w:val="auto"/>
          <w:sz w:val="24"/>
          <w:szCs w:val="24"/>
          <w:highlight w:val="none"/>
          <w:u w:val="single"/>
        </w:rPr>
        <w:t>评标委员会</w:t>
      </w:r>
      <w:r>
        <w:rPr>
          <w:rFonts w:hint="eastAsia" w:ascii="宋体" w:hAnsi="宋体" w:eastAsia="宋体" w:cs="宋体"/>
          <w:color w:val="auto"/>
          <w:sz w:val="24"/>
          <w:szCs w:val="24"/>
          <w:highlight w:val="none"/>
        </w:rPr>
        <w:t>评定，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以下简称：乙方</w:t>
      </w:r>
      <w:r>
        <w:rPr>
          <w:rFonts w:hint="eastAsia" w:ascii="宋体" w:hAnsi="宋体" w:eastAsia="宋体" w:cs="宋体"/>
          <w:color w:val="auto"/>
          <w:sz w:val="24"/>
          <w:szCs w:val="24"/>
          <w:highlight w:val="none"/>
        </w:rPr>
        <w:t>）为本项目中标人，现按照采购文件确定的事项签订本合同。</w:t>
      </w:r>
    </w:p>
    <w:p w14:paraId="1A7D6614">
      <w:pPr>
        <w:spacing w:line="360" w:lineRule="auto"/>
        <w:ind w:firstLine="435"/>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根据《中华人民共和国民法典》、《中华人民共和国政府采购法》等相关法律法规之规定，按照平等、自愿、公平和诚实信用的原则，经甲方和乙方协商一致，约定以下合同条款，以兹共同遵守、全面履行。</w:t>
      </w:r>
    </w:p>
    <w:p w14:paraId="081298ED">
      <w:pPr>
        <w:spacing w:line="360" w:lineRule="auto"/>
        <w:ind w:firstLine="437"/>
        <w:outlineLvl w:val="2"/>
        <w:rPr>
          <w:rFonts w:hint="eastAsia" w:ascii="宋体" w:hAnsi="宋体" w:eastAsia="宋体" w:cs="宋体"/>
          <w:b/>
          <w:bCs/>
          <w:color w:val="auto"/>
          <w:sz w:val="24"/>
          <w:szCs w:val="24"/>
          <w:highlight w:val="none"/>
          <w:lang w:val="zh-CN"/>
        </w:rPr>
      </w:pPr>
      <w:bookmarkStart w:id="433" w:name="_Toc2232"/>
      <w:bookmarkStart w:id="434" w:name="_Toc24059"/>
      <w:bookmarkStart w:id="435" w:name="_Toc3029"/>
      <w:bookmarkStart w:id="436" w:name="_Toc4429"/>
      <w:r>
        <w:rPr>
          <w:rFonts w:hint="eastAsia" w:ascii="宋体" w:hAnsi="宋体" w:eastAsia="宋体" w:cs="宋体"/>
          <w:b/>
          <w:bCs/>
          <w:color w:val="auto"/>
          <w:sz w:val="24"/>
          <w:szCs w:val="24"/>
          <w:highlight w:val="none"/>
          <w:lang w:val="zh-CN"/>
        </w:rPr>
        <w:t>1.1 合同组成部分</w:t>
      </w:r>
      <w:bookmarkEnd w:id="433"/>
      <w:bookmarkEnd w:id="434"/>
      <w:bookmarkEnd w:id="435"/>
      <w:bookmarkEnd w:id="436"/>
    </w:p>
    <w:p w14:paraId="024A42B6">
      <w:pPr>
        <w:spacing w:line="360" w:lineRule="auto"/>
        <w:ind w:firstLine="435"/>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下列文件为本合同的组成部分，并构成一个整体，需综合解释、相互补充。如果下列文件内容出现不一致的情形，那么在保证按照采购文件确定的事项前提下，组成本合同的多个文件的优先适用顺序如下：</w:t>
      </w:r>
    </w:p>
    <w:p w14:paraId="62BC58A8">
      <w:pPr>
        <w:spacing w:line="360" w:lineRule="auto"/>
        <w:ind w:firstLine="435"/>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1.1.1本合同及其补充合同、变更协议；</w:t>
      </w:r>
    </w:p>
    <w:p w14:paraId="037DCF58">
      <w:pPr>
        <w:spacing w:line="360" w:lineRule="auto"/>
        <w:ind w:firstLine="435"/>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1.1.2中标通知书；</w:t>
      </w:r>
    </w:p>
    <w:p w14:paraId="20FA8DCC">
      <w:pPr>
        <w:spacing w:line="360" w:lineRule="auto"/>
        <w:ind w:firstLine="435"/>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1.1.3投标文件（含澄清或者说明文件）；</w:t>
      </w:r>
    </w:p>
    <w:p w14:paraId="01E3C1EE">
      <w:pPr>
        <w:spacing w:line="360" w:lineRule="auto"/>
        <w:ind w:firstLine="435"/>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1.1.4招标文件（含澄清或者修改文件）；</w:t>
      </w:r>
    </w:p>
    <w:p w14:paraId="7BCC15DE">
      <w:pPr>
        <w:spacing w:line="360" w:lineRule="auto"/>
        <w:ind w:firstLine="435"/>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1.1.5其他相关采购文件。</w:t>
      </w:r>
    </w:p>
    <w:p w14:paraId="283E7943">
      <w:pPr>
        <w:spacing w:line="360" w:lineRule="auto"/>
        <w:ind w:firstLine="437"/>
        <w:outlineLvl w:val="2"/>
        <w:rPr>
          <w:rFonts w:hint="eastAsia" w:ascii="宋体" w:hAnsi="宋体" w:eastAsia="宋体" w:cs="宋体"/>
          <w:b/>
          <w:bCs/>
          <w:color w:val="auto"/>
          <w:sz w:val="24"/>
          <w:szCs w:val="24"/>
          <w:highlight w:val="none"/>
          <w:lang w:val="zh-CN"/>
        </w:rPr>
      </w:pPr>
      <w:bookmarkStart w:id="437" w:name="_Toc22185"/>
      <w:bookmarkStart w:id="438" w:name="_Toc18585"/>
      <w:bookmarkStart w:id="439" w:name="_Toc6773"/>
      <w:bookmarkStart w:id="440" w:name="_Toc2918"/>
      <w:bookmarkStart w:id="441" w:name="_Toc6311"/>
      <w:bookmarkStart w:id="442" w:name="_Toc7044"/>
      <w:r>
        <w:rPr>
          <w:rFonts w:hint="eastAsia" w:ascii="宋体" w:hAnsi="宋体" w:eastAsia="宋体" w:cs="宋体"/>
          <w:b/>
          <w:bCs/>
          <w:color w:val="auto"/>
          <w:sz w:val="24"/>
          <w:szCs w:val="24"/>
          <w:highlight w:val="none"/>
          <w:lang w:val="zh-CN"/>
        </w:rPr>
        <w:t xml:space="preserve">1.2 </w:t>
      </w:r>
      <w:bookmarkEnd w:id="437"/>
      <w:bookmarkEnd w:id="438"/>
      <w:bookmarkEnd w:id="439"/>
      <w:bookmarkEnd w:id="440"/>
      <w:bookmarkEnd w:id="441"/>
      <w:r>
        <w:rPr>
          <w:rFonts w:hint="eastAsia" w:ascii="宋体" w:hAnsi="宋体" w:eastAsia="宋体" w:cs="宋体"/>
          <w:b/>
          <w:bCs/>
          <w:color w:val="auto"/>
          <w:sz w:val="24"/>
          <w:szCs w:val="24"/>
          <w:highlight w:val="none"/>
          <w:lang w:val="zh-CN"/>
        </w:rPr>
        <w:t>服务</w:t>
      </w:r>
      <w:bookmarkEnd w:id="442"/>
    </w:p>
    <w:p w14:paraId="2A8C8081">
      <w:pPr>
        <w:spacing w:line="360" w:lineRule="auto"/>
        <w:ind w:firstLine="435"/>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1.2.1服务名称：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D507EFA">
      <w:pPr>
        <w:spacing w:line="360" w:lineRule="auto"/>
        <w:ind w:firstLine="435"/>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1.2.2服务内容：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7170C53">
      <w:pPr>
        <w:spacing w:line="360" w:lineRule="auto"/>
        <w:ind w:firstLine="4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1.2.3服务质量：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2949008">
      <w:pPr>
        <w:spacing w:line="360" w:lineRule="auto"/>
        <w:ind w:firstLine="437"/>
        <w:outlineLvl w:val="2"/>
        <w:rPr>
          <w:rFonts w:hint="eastAsia" w:ascii="宋体" w:hAnsi="宋体" w:eastAsia="宋体" w:cs="宋体"/>
          <w:b/>
          <w:bCs/>
          <w:color w:val="auto"/>
          <w:sz w:val="24"/>
          <w:szCs w:val="24"/>
          <w:highlight w:val="none"/>
          <w:lang w:val="zh-CN"/>
        </w:rPr>
      </w:pPr>
      <w:bookmarkStart w:id="443" w:name="_Toc21551"/>
      <w:bookmarkStart w:id="444" w:name="_Toc31596"/>
      <w:bookmarkStart w:id="445" w:name="_Toc23292"/>
      <w:bookmarkStart w:id="446" w:name="_Toc21631"/>
      <w:r>
        <w:rPr>
          <w:rFonts w:hint="eastAsia" w:ascii="宋体" w:hAnsi="宋体" w:eastAsia="宋体" w:cs="宋体"/>
          <w:b/>
          <w:bCs/>
          <w:color w:val="auto"/>
          <w:sz w:val="24"/>
          <w:szCs w:val="24"/>
          <w:highlight w:val="none"/>
          <w:lang w:val="zh-CN"/>
        </w:rPr>
        <w:t>1.3 价款</w:t>
      </w:r>
      <w:bookmarkEnd w:id="443"/>
      <w:bookmarkEnd w:id="444"/>
      <w:bookmarkEnd w:id="445"/>
      <w:bookmarkEnd w:id="446"/>
    </w:p>
    <w:p w14:paraId="0E6E2DB0">
      <w:pPr>
        <w:spacing w:line="360" w:lineRule="auto"/>
        <w:ind w:firstLine="4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本合同总价为：￥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585CBE51">
      <w:pPr>
        <w:spacing w:line="360" w:lineRule="auto"/>
        <w:ind w:firstLine="435"/>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分项价格：</w:t>
      </w:r>
    </w:p>
    <w:tbl>
      <w:tblPr>
        <w:tblStyle w:val="2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
        <w:gridCol w:w="4316"/>
        <w:gridCol w:w="12"/>
        <w:gridCol w:w="3225"/>
        <w:gridCol w:w="12"/>
      </w:tblGrid>
      <w:tr w14:paraId="7AF9B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369" w:hRule="atLeast"/>
          <w:jc w:val="center"/>
        </w:trPr>
        <w:tc>
          <w:tcPr>
            <w:tcW w:w="957" w:type="dxa"/>
            <w:vAlign w:val="center"/>
          </w:tcPr>
          <w:p w14:paraId="0CD18D7F">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序号</w:t>
            </w:r>
          </w:p>
        </w:tc>
        <w:tc>
          <w:tcPr>
            <w:tcW w:w="4316" w:type="dxa"/>
            <w:vAlign w:val="center"/>
          </w:tcPr>
          <w:p w14:paraId="4F68A816">
            <w:pPr>
              <w:ind w:firstLine="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分项名称</w:t>
            </w:r>
          </w:p>
        </w:tc>
        <w:tc>
          <w:tcPr>
            <w:tcW w:w="3237" w:type="dxa"/>
            <w:gridSpan w:val="2"/>
            <w:vAlign w:val="center"/>
          </w:tcPr>
          <w:p w14:paraId="4C7FFB2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分项价格</w:t>
            </w:r>
          </w:p>
        </w:tc>
      </w:tr>
      <w:tr w14:paraId="6B926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369" w:hRule="atLeast"/>
          <w:jc w:val="center"/>
        </w:trPr>
        <w:tc>
          <w:tcPr>
            <w:tcW w:w="957" w:type="dxa"/>
          </w:tcPr>
          <w:p w14:paraId="0F360428">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p>
        </w:tc>
        <w:tc>
          <w:tcPr>
            <w:tcW w:w="4316" w:type="dxa"/>
            <w:vAlign w:val="center"/>
          </w:tcPr>
          <w:p w14:paraId="2461E5E0">
            <w:pPr>
              <w:ind w:firstLine="200"/>
              <w:jc w:val="center"/>
              <w:rPr>
                <w:rFonts w:hint="eastAsia" w:ascii="宋体" w:hAnsi="宋体" w:eastAsia="宋体" w:cs="宋体"/>
                <w:color w:val="auto"/>
                <w:sz w:val="24"/>
                <w:szCs w:val="24"/>
                <w:highlight w:val="none"/>
              </w:rPr>
            </w:pPr>
          </w:p>
        </w:tc>
        <w:tc>
          <w:tcPr>
            <w:tcW w:w="3237" w:type="dxa"/>
            <w:gridSpan w:val="2"/>
            <w:vAlign w:val="center"/>
          </w:tcPr>
          <w:p w14:paraId="0E415F66">
            <w:pPr>
              <w:ind w:firstLine="200"/>
              <w:jc w:val="center"/>
              <w:rPr>
                <w:rFonts w:hint="eastAsia" w:ascii="宋体" w:hAnsi="宋体" w:eastAsia="宋体" w:cs="宋体"/>
                <w:color w:val="auto"/>
                <w:sz w:val="24"/>
                <w:szCs w:val="24"/>
                <w:highlight w:val="none"/>
              </w:rPr>
            </w:pPr>
          </w:p>
        </w:tc>
      </w:tr>
      <w:tr w14:paraId="0D861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369" w:hRule="atLeast"/>
          <w:jc w:val="center"/>
        </w:trPr>
        <w:tc>
          <w:tcPr>
            <w:tcW w:w="957" w:type="dxa"/>
          </w:tcPr>
          <w:p w14:paraId="424CE31A">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p>
        </w:tc>
        <w:tc>
          <w:tcPr>
            <w:tcW w:w="4316" w:type="dxa"/>
            <w:vAlign w:val="center"/>
          </w:tcPr>
          <w:p w14:paraId="345F5B41">
            <w:pPr>
              <w:ind w:firstLine="200"/>
              <w:jc w:val="center"/>
              <w:rPr>
                <w:rFonts w:hint="eastAsia" w:ascii="宋体" w:hAnsi="宋体" w:eastAsia="宋体" w:cs="宋体"/>
                <w:color w:val="auto"/>
                <w:sz w:val="24"/>
                <w:szCs w:val="24"/>
                <w:highlight w:val="none"/>
              </w:rPr>
            </w:pPr>
          </w:p>
        </w:tc>
        <w:tc>
          <w:tcPr>
            <w:tcW w:w="3237" w:type="dxa"/>
            <w:gridSpan w:val="2"/>
            <w:vAlign w:val="center"/>
          </w:tcPr>
          <w:p w14:paraId="3722A032">
            <w:pPr>
              <w:ind w:firstLine="200"/>
              <w:jc w:val="center"/>
              <w:rPr>
                <w:rFonts w:hint="eastAsia" w:ascii="宋体" w:hAnsi="宋体" w:eastAsia="宋体" w:cs="宋体"/>
                <w:color w:val="auto"/>
                <w:sz w:val="24"/>
                <w:szCs w:val="24"/>
                <w:highlight w:val="none"/>
              </w:rPr>
            </w:pPr>
          </w:p>
        </w:tc>
      </w:tr>
      <w:tr w14:paraId="6F079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369" w:hRule="atLeast"/>
          <w:jc w:val="center"/>
        </w:trPr>
        <w:tc>
          <w:tcPr>
            <w:tcW w:w="957" w:type="dxa"/>
          </w:tcPr>
          <w:p w14:paraId="512C37D0">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w:t>
            </w:r>
          </w:p>
        </w:tc>
        <w:tc>
          <w:tcPr>
            <w:tcW w:w="4316" w:type="dxa"/>
            <w:vAlign w:val="center"/>
          </w:tcPr>
          <w:p w14:paraId="498FC842">
            <w:pPr>
              <w:ind w:firstLine="200"/>
              <w:jc w:val="center"/>
              <w:rPr>
                <w:rFonts w:hint="eastAsia" w:ascii="宋体" w:hAnsi="宋体" w:eastAsia="宋体" w:cs="宋体"/>
                <w:color w:val="auto"/>
                <w:sz w:val="24"/>
                <w:szCs w:val="24"/>
                <w:highlight w:val="none"/>
              </w:rPr>
            </w:pPr>
          </w:p>
        </w:tc>
        <w:tc>
          <w:tcPr>
            <w:tcW w:w="3237" w:type="dxa"/>
            <w:gridSpan w:val="2"/>
            <w:vAlign w:val="center"/>
          </w:tcPr>
          <w:p w14:paraId="4CAABBD7">
            <w:pPr>
              <w:ind w:firstLine="200"/>
              <w:jc w:val="center"/>
              <w:rPr>
                <w:rFonts w:hint="eastAsia" w:ascii="宋体" w:hAnsi="宋体" w:eastAsia="宋体" w:cs="宋体"/>
                <w:color w:val="auto"/>
                <w:sz w:val="24"/>
                <w:szCs w:val="24"/>
                <w:highlight w:val="none"/>
              </w:rPr>
            </w:pPr>
          </w:p>
        </w:tc>
      </w:tr>
      <w:tr w14:paraId="7BB67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369" w:hRule="atLeast"/>
          <w:jc w:val="center"/>
        </w:trPr>
        <w:tc>
          <w:tcPr>
            <w:tcW w:w="957" w:type="dxa"/>
          </w:tcPr>
          <w:p w14:paraId="1019B673">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p>
        </w:tc>
        <w:tc>
          <w:tcPr>
            <w:tcW w:w="4316" w:type="dxa"/>
            <w:vAlign w:val="center"/>
          </w:tcPr>
          <w:p w14:paraId="1668CCE7">
            <w:pPr>
              <w:ind w:firstLine="200"/>
              <w:jc w:val="center"/>
              <w:rPr>
                <w:rFonts w:hint="eastAsia" w:ascii="宋体" w:hAnsi="宋体" w:eastAsia="宋体" w:cs="宋体"/>
                <w:color w:val="auto"/>
                <w:sz w:val="24"/>
                <w:szCs w:val="24"/>
                <w:highlight w:val="none"/>
              </w:rPr>
            </w:pPr>
          </w:p>
        </w:tc>
        <w:tc>
          <w:tcPr>
            <w:tcW w:w="3237" w:type="dxa"/>
            <w:gridSpan w:val="2"/>
            <w:vAlign w:val="center"/>
          </w:tcPr>
          <w:p w14:paraId="14647217">
            <w:pPr>
              <w:ind w:firstLine="200"/>
              <w:jc w:val="center"/>
              <w:rPr>
                <w:rFonts w:hint="eastAsia" w:ascii="宋体" w:hAnsi="宋体" w:eastAsia="宋体" w:cs="宋体"/>
                <w:color w:val="auto"/>
                <w:sz w:val="24"/>
                <w:szCs w:val="24"/>
                <w:highlight w:val="none"/>
              </w:rPr>
            </w:pPr>
          </w:p>
        </w:tc>
      </w:tr>
      <w:tr w14:paraId="7B385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285" w:type="dxa"/>
            <w:gridSpan w:val="3"/>
            <w:vAlign w:val="center"/>
          </w:tcPr>
          <w:p w14:paraId="445538F7">
            <w:pPr>
              <w:ind w:firstLine="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w:t>
            </w:r>
          </w:p>
        </w:tc>
        <w:tc>
          <w:tcPr>
            <w:tcW w:w="3237" w:type="dxa"/>
            <w:gridSpan w:val="2"/>
            <w:vAlign w:val="center"/>
          </w:tcPr>
          <w:p w14:paraId="155BB530">
            <w:pPr>
              <w:ind w:firstLine="200"/>
              <w:jc w:val="center"/>
              <w:rPr>
                <w:rFonts w:hint="eastAsia" w:ascii="宋体" w:hAnsi="宋体" w:eastAsia="宋体" w:cs="宋体"/>
                <w:color w:val="auto"/>
                <w:sz w:val="24"/>
                <w:szCs w:val="24"/>
                <w:highlight w:val="none"/>
              </w:rPr>
            </w:pPr>
          </w:p>
        </w:tc>
      </w:tr>
    </w:tbl>
    <w:p w14:paraId="17E2FC9E">
      <w:pPr>
        <w:spacing w:line="360" w:lineRule="auto"/>
        <w:ind w:firstLine="437"/>
        <w:outlineLvl w:val="2"/>
        <w:rPr>
          <w:rFonts w:hint="eastAsia" w:ascii="宋体" w:hAnsi="宋体" w:eastAsia="宋体" w:cs="宋体"/>
          <w:b/>
          <w:bCs/>
          <w:color w:val="auto"/>
          <w:sz w:val="24"/>
          <w:szCs w:val="24"/>
          <w:highlight w:val="none"/>
          <w:lang w:val="zh-CN"/>
        </w:rPr>
      </w:pPr>
      <w:bookmarkStart w:id="447" w:name="_Toc22618"/>
      <w:bookmarkStart w:id="448" w:name="_Toc1814"/>
      <w:bookmarkStart w:id="449" w:name="_Toc10340"/>
      <w:bookmarkStart w:id="450" w:name="_Toc5498"/>
      <w:r>
        <w:rPr>
          <w:rFonts w:hint="eastAsia" w:ascii="宋体" w:hAnsi="宋体" w:eastAsia="宋体" w:cs="宋体"/>
          <w:b/>
          <w:bCs/>
          <w:color w:val="auto"/>
          <w:sz w:val="24"/>
          <w:szCs w:val="24"/>
          <w:highlight w:val="none"/>
          <w:lang w:val="zh-CN"/>
        </w:rPr>
        <w:t>1.4 付款方式和发票开具方式</w:t>
      </w:r>
      <w:bookmarkEnd w:id="447"/>
      <w:bookmarkEnd w:id="448"/>
      <w:bookmarkEnd w:id="449"/>
      <w:bookmarkEnd w:id="450"/>
    </w:p>
    <w:p w14:paraId="0D15CC02">
      <w:pPr>
        <w:spacing w:line="360" w:lineRule="auto"/>
        <w:ind w:firstLine="4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1.4.1付款方式：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591FB6B">
      <w:pPr>
        <w:spacing w:line="360" w:lineRule="auto"/>
        <w:ind w:firstLine="4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1.4.2发票开具方式：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2035217">
      <w:pPr>
        <w:spacing w:line="360" w:lineRule="auto"/>
        <w:ind w:firstLine="437"/>
        <w:outlineLvl w:val="2"/>
        <w:rPr>
          <w:rFonts w:hint="eastAsia" w:ascii="宋体" w:hAnsi="宋体" w:eastAsia="宋体" w:cs="宋体"/>
          <w:b/>
          <w:bCs/>
          <w:color w:val="auto"/>
          <w:sz w:val="24"/>
          <w:szCs w:val="24"/>
          <w:highlight w:val="none"/>
          <w:lang w:val="zh-CN"/>
        </w:rPr>
      </w:pPr>
      <w:bookmarkStart w:id="451" w:name="_Toc14771"/>
      <w:bookmarkStart w:id="452" w:name="_Toc2846"/>
      <w:bookmarkStart w:id="453" w:name="_Toc32071"/>
      <w:bookmarkStart w:id="454" w:name="_Toc19304"/>
      <w:r>
        <w:rPr>
          <w:rFonts w:hint="eastAsia" w:ascii="宋体" w:hAnsi="宋体" w:eastAsia="宋体" w:cs="宋体"/>
          <w:b/>
          <w:bCs/>
          <w:color w:val="auto"/>
          <w:sz w:val="24"/>
          <w:szCs w:val="24"/>
          <w:highlight w:val="none"/>
          <w:lang w:val="zh-CN"/>
        </w:rPr>
        <w:t>1.5 服务期限、地点和方式</w:t>
      </w:r>
      <w:bookmarkEnd w:id="451"/>
      <w:bookmarkEnd w:id="452"/>
      <w:bookmarkEnd w:id="453"/>
      <w:bookmarkEnd w:id="454"/>
    </w:p>
    <w:p w14:paraId="5A2C5E65">
      <w:pPr>
        <w:spacing w:line="360" w:lineRule="auto"/>
        <w:ind w:firstLine="435"/>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1.5.1服务期限：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3FF6520">
      <w:pPr>
        <w:spacing w:line="360" w:lineRule="auto"/>
        <w:ind w:firstLine="4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1.5.2服务地点：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CE4FC75">
      <w:pPr>
        <w:spacing w:line="360" w:lineRule="auto"/>
        <w:ind w:firstLine="4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1.5.3服务方式：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B2ED679">
      <w:pPr>
        <w:spacing w:line="360" w:lineRule="auto"/>
        <w:ind w:firstLine="437"/>
        <w:outlineLvl w:val="2"/>
        <w:rPr>
          <w:rFonts w:hint="eastAsia" w:ascii="宋体" w:hAnsi="宋体" w:eastAsia="宋体" w:cs="宋体"/>
          <w:b/>
          <w:bCs/>
          <w:color w:val="auto"/>
          <w:sz w:val="24"/>
          <w:szCs w:val="24"/>
          <w:highlight w:val="none"/>
          <w:lang w:val="zh-CN"/>
        </w:rPr>
      </w:pPr>
      <w:bookmarkStart w:id="455" w:name="_Toc27250"/>
      <w:bookmarkStart w:id="456" w:name="_Toc19554"/>
      <w:bookmarkStart w:id="457" w:name="_Toc22220"/>
      <w:bookmarkStart w:id="458" w:name="_Toc21423"/>
      <w:r>
        <w:rPr>
          <w:rFonts w:hint="eastAsia" w:ascii="宋体" w:hAnsi="宋体" w:eastAsia="宋体" w:cs="宋体"/>
          <w:b/>
          <w:bCs/>
          <w:color w:val="auto"/>
          <w:sz w:val="24"/>
          <w:szCs w:val="24"/>
          <w:highlight w:val="none"/>
          <w:lang w:val="zh-CN"/>
        </w:rPr>
        <w:t>1.6 违约责任</w:t>
      </w:r>
      <w:bookmarkEnd w:id="455"/>
      <w:bookmarkEnd w:id="456"/>
      <w:bookmarkEnd w:id="457"/>
      <w:bookmarkEnd w:id="458"/>
    </w:p>
    <w:p w14:paraId="5DD1292A">
      <w:pPr>
        <w:spacing w:line="360" w:lineRule="auto"/>
        <w:ind w:firstLine="4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1.6.1除不可抗力外，如果乙方没有按照本合同约定的期限、地点和方式履行，那么甲方可要求乙方支付违约金，违约金按每迟延履行一日的应提供而未提供服务价格的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%计算，最高限额为本合同总价的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%；迟延履行的违约金计算数额达到前述最高限额之日起，甲方有权在要求乙方支付违约金的同时，书面通知乙方解除本合同；</w:t>
      </w:r>
    </w:p>
    <w:p w14:paraId="7B8B7DEE">
      <w:pPr>
        <w:spacing w:line="360" w:lineRule="auto"/>
        <w:ind w:firstLine="4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1.6.2除不可抗力外，如果甲方没有按照本合同约定的付款方式付款，那么乙方可要求甲方支付违约金，违约金按每迟延付款一日的应付而未付款的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%计算，最高限额为本合同总价的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%；迟延付款的违约金计算数额达到前述最高限额之日起，乙方有权在要求甲方支付违约金的同时，书面通知甲方解除本合同；</w:t>
      </w:r>
    </w:p>
    <w:p w14:paraId="1A4EF162">
      <w:pPr>
        <w:spacing w:line="360" w:lineRule="auto"/>
        <w:ind w:firstLine="4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49112113">
      <w:pPr>
        <w:spacing w:line="360" w:lineRule="auto"/>
        <w:ind w:firstLine="4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39201045">
      <w:pPr>
        <w:keepNext w:val="0"/>
        <w:keepLines w:val="0"/>
        <w:pageBreakBefore w:val="0"/>
        <w:widowControl w:val="0"/>
        <w:kinsoku/>
        <w:wordWrap/>
        <w:overflowPunct/>
        <w:topLinePunct w:val="0"/>
        <w:autoSpaceDE/>
        <w:autoSpaceDN/>
        <w:bidi w:val="0"/>
        <w:adjustRightInd/>
        <w:snapToGrid/>
        <w:spacing w:line="360" w:lineRule="auto"/>
        <w:ind w:firstLine="437"/>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2F44C03A">
      <w:pPr>
        <w:keepNext w:val="0"/>
        <w:keepLines w:val="0"/>
        <w:pageBreakBefore w:val="0"/>
        <w:widowControl w:val="0"/>
        <w:kinsoku/>
        <w:wordWrap/>
        <w:overflowPunct/>
        <w:topLinePunct w:val="0"/>
        <w:autoSpaceDE/>
        <w:autoSpaceDN/>
        <w:bidi w:val="0"/>
        <w:adjustRightInd/>
        <w:snapToGrid/>
        <w:spacing w:line="360" w:lineRule="auto"/>
        <w:ind w:firstLine="437"/>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1.6.6如果出现政府采购监督管理部门在处理投诉事项期间，书面通知甲方暂停采购活动的情形，或者询问或质疑事项可能影响中标结果的，导致甲方中止履行合同的情形，均不视为甲方违约。</w:t>
      </w:r>
    </w:p>
    <w:p w14:paraId="6DDBD423">
      <w:pPr>
        <w:keepNext w:val="0"/>
        <w:keepLines w:val="0"/>
        <w:pageBreakBefore w:val="0"/>
        <w:widowControl w:val="0"/>
        <w:kinsoku/>
        <w:wordWrap/>
        <w:overflowPunct/>
        <w:topLinePunct w:val="0"/>
        <w:autoSpaceDE/>
        <w:autoSpaceDN/>
        <w:bidi w:val="0"/>
        <w:adjustRightInd/>
        <w:snapToGrid/>
        <w:spacing w:line="360" w:lineRule="auto"/>
        <w:ind w:firstLine="437"/>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1.6.7因甲方未按合同约定支付价款、未按合同约定受领标的物、擅自解除合同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逾期退还履约保证金导致乙方遭受的直接损失，乙方可向甲方申请赔偿，赔偿金额由双方协商一致；针对因政策变化等原因不能签订合同或解除合同时，造成乙方合法利益受损的情形，可以给予乙方合理补偿，补偿金额不得超过乙方的直接损失。</w:t>
      </w:r>
    </w:p>
    <w:p w14:paraId="1D4B476D">
      <w:pPr>
        <w:spacing w:line="360" w:lineRule="auto"/>
        <w:ind w:firstLine="437"/>
        <w:outlineLvl w:val="2"/>
        <w:rPr>
          <w:rFonts w:hint="eastAsia" w:ascii="宋体" w:hAnsi="宋体" w:eastAsia="宋体" w:cs="宋体"/>
          <w:b/>
          <w:bCs/>
          <w:color w:val="auto"/>
          <w:sz w:val="24"/>
          <w:szCs w:val="24"/>
          <w:highlight w:val="none"/>
          <w:lang w:val="zh-CN"/>
        </w:rPr>
      </w:pPr>
      <w:bookmarkStart w:id="459" w:name="_Toc16021"/>
      <w:bookmarkStart w:id="460" w:name="_Toc15583"/>
      <w:bookmarkStart w:id="461" w:name="_Toc28375"/>
      <w:bookmarkStart w:id="462" w:name="_Toc32610"/>
      <w:r>
        <w:rPr>
          <w:rFonts w:hint="eastAsia" w:ascii="宋体" w:hAnsi="宋体" w:eastAsia="宋体" w:cs="宋体"/>
          <w:b/>
          <w:bCs/>
          <w:color w:val="auto"/>
          <w:sz w:val="24"/>
          <w:szCs w:val="24"/>
          <w:highlight w:val="none"/>
          <w:lang w:val="zh-CN"/>
        </w:rPr>
        <w:t>1.7 合同争议的解决</w:t>
      </w:r>
      <w:bookmarkEnd w:id="459"/>
      <w:bookmarkEnd w:id="460"/>
      <w:bookmarkEnd w:id="461"/>
      <w:bookmarkEnd w:id="462"/>
    </w:p>
    <w:p w14:paraId="7C025FBF">
      <w:pPr>
        <w:spacing w:line="360" w:lineRule="auto"/>
        <w:ind w:firstLine="4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本合同履行过程中发生的任何争议，双方当事人均可通过和解或者调解解决；不愿和解、调解或者和解、调解不成的，可以选择下列第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种方式解决：</w:t>
      </w:r>
    </w:p>
    <w:p w14:paraId="7856D441">
      <w:pPr>
        <w:spacing w:line="360" w:lineRule="auto"/>
        <w:ind w:firstLine="4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1.7.1将争议提交</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仲裁委员会依申请仲裁时其现行有效的仲裁规则裁决；</w:t>
      </w:r>
    </w:p>
    <w:p w14:paraId="525321B9">
      <w:pPr>
        <w:spacing w:line="360" w:lineRule="auto"/>
        <w:ind w:firstLine="4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人民法院起诉。</w:t>
      </w:r>
    </w:p>
    <w:p w14:paraId="21D8E3B4">
      <w:pPr>
        <w:spacing w:line="360" w:lineRule="auto"/>
        <w:ind w:firstLine="437"/>
        <w:outlineLvl w:val="2"/>
        <w:rPr>
          <w:rFonts w:hint="eastAsia" w:ascii="宋体" w:hAnsi="宋体" w:eastAsia="宋体" w:cs="宋体"/>
          <w:b/>
          <w:bCs/>
          <w:color w:val="auto"/>
          <w:sz w:val="24"/>
          <w:szCs w:val="24"/>
          <w:highlight w:val="none"/>
          <w:lang w:val="zh-CN"/>
        </w:rPr>
      </w:pPr>
      <w:bookmarkStart w:id="463" w:name="_Toc28273"/>
      <w:bookmarkStart w:id="464" w:name="_Toc11173"/>
      <w:bookmarkStart w:id="465" w:name="_Toc7245"/>
      <w:bookmarkStart w:id="466" w:name="_Toc15322"/>
      <w:r>
        <w:rPr>
          <w:rFonts w:hint="eastAsia" w:ascii="宋体" w:hAnsi="宋体" w:eastAsia="宋体" w:cs="宋体"/>
          <w:b/>
          <w:bCs/>
          <w:color w:val="auto"/>
          <w:sz w:val="24"/>
          <w:szCs w:val="24"/>
          <w:highlight w:val="none"/>
          <w:lang w:val="zh-CN"/>
        </w:rPr>
        <w:t>1.8 合同生效</w:t>
      </w:r>
      <w:bookmarkEnd w:id="463"/>
      <w:bookmarkEnd w:id="464"/>
      <w:bookmarkEnd w:id="465"/>
      <w:bookmarkEnd w:id="466"/>
    </w:p>
    <w:p w14:paraId="5961B88C">
      <w:pPr>
        <w:spacing w:line="360" w:lineRule="auto"/>
        <w:ind w:firstLine="4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本合同自双方当事人盖章时生效。</w:t>
      </w:r>
    </w:p>
    <w:p w14:paraId="2F65E252">
      <w:pPr>
        <w:autoSpaceDE w:val="0"/>
        <w:autoSpaceDN w:val="0"/>
        <w:adjustRightInd w:val="0"/>
        <w:spacing w:line="560" w:lineRule="exact"/>
        <w:rPr>
          <w:rFonts w:hint="eastAsia" w:ascii="宋体" w:hAnsi="宋体" w:eastAsia="宋体" w:cs="宋体"/>
          <w:color w:val="auto"/>
          <w:sz w:val="24"/>
          <w:szCs w:val="24"/>
          <w:highlight w:val="none"/>
          <w:lang w:val="zh-CN"/>
        </w:rPr>
      </w:pPr>
    </w:p>
    <w:p w14:paraId="6DB0DE5E">
      <w:pPr>
        <w:keepNext w:val="0"/>
        <w:keepLines w:val="0"/>
        <w:pageBreakBefore w:val="0"/>
        <w:kinsoku/>
        <w:wordWrap/>
        <w:overflowPunct/>
        <w:topLinePunct w:val="0"/>
        <w:autoSpaceDE w:val="0"/>
        <w:autoSpaceDN w:val="0"/>
        <w:bidi w:val="0"/>
        <w:adjustRightInd w:val="0"/>
        <w:snapToGrid/>
        <w:spacing w:line="500" w:lineRule="exact"/>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甲    方：</w:t>
      </w:r>
      <w:r>
        <w:rPr>
          <w:rFonts w:hint="eastAsia" w:ascii="宋体" w:hAnsi="宋体" w:eastAsia="宋体" w:cs="宋体"/>
          <w:bCs/>
          <w:color w:val="auto"/>
          <w:sz w:val="24"/>
          <w:szCs w:val="24"/>
          <w:highlight w:val="none"/>
          <w:u w:val="single"/>
          <w:lang w:val="zh-CN"/>
        </w:rPr>
        <w:t xml:space="preserve">    （单位盖章）     </w:t>
      </w:r>
      <w:r>
        <w:rPr>
          <w:rFonts w:hint="eastAsia" w:ascii="宋体" w:hAnsi="宋体" w:eastAsia="宋体" w:cs="宋体"/>
          <w:bCs/>
          <w:color w:val="auto"/>
          <w:sz w:val="24"/>
          <w:szCs w:val="24"/>
          <w:highlight w:val="none"/>
          <w:lang w:val="zh-CN"/>
        </w:rPr>
        <w:t xml:space="preserve">          乙方：</w:t>
      </w:r>
      <w:r>
        <w:rPr>
          <w:rFonts w:hint="eastAsia" w:ascii="宋体" w:hAnsi="宋体" w:eastAsia="宋体" w:cs="宋体"/>
          <w:bCs/>
          <w:color w:val="auto"/>
          <w:sz w:val="24"/>
          <w:szCs w:val="24"/>
          <w:highlight w:val="none"/>
          <w:u w:val="single"/>
          <w:lang w:val="zh-CN"/>
        </w:rPr>
        <w:t xml:space="preserve">    （单位盖章）     </w:t>
      </w:r>
    </w:p>
    <w:p w14:paraId="1B900B99">
      <w:pPr>
        <w:keepNext w:val="0"/>
        <w:keepLines w:val="0"/>
        <w:pageBreakBefore w:val="0"/>
        <w:kinsoku/>
        <w:wordWrap/>
        <w:overflowPunct/>
        <w:topLinePunct w:val="0"/>
        <w:autoSpaceDE w:val="0"/>
        <w:autoSpaceDN w:val="0"/>
        <w:bidi w:val="0"/>
        <w:adjustRightInd w:val="0"/>
        <w:snapToGrid/>
        <w:spacing w:line="500" w:lineRule="exac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法定代表人                               法定代表人</w:t>
      </w:r>
    </w:p>
    <w:p w14:paraId="009FFBBE">
      <w:pPr>
        <w:keepNext w:val="0"/>
        <w:keepLines w:val="0"/>
        <w:pageBreakBefore w:val="0"/>
        <w:kinsoku/>
        <w:wordWrap/>
        <w:overflowPunct/>
        <w:topLinePunct w:val="0"/>
        <w:autoSpaceDE w:val="0"/>
        <w:autoSpaceDN w:val="0"/>
        <w:bidi w:val="0"/>
        <w:adjustRightInd w:val="0"/>
        <w:snapToGrid/>
        <w:spacing w:line="500" w:lineRule="exac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或授权代表（签字）：                      或授权代表（签字）：</w:t>
      </w:r>
    </w:p>
    <w:p w14:paraId="5226F044">
      <w:pPr>
        <w:keepNext w:val="0"/>
        <w:keepLines w:val="0"/>
        <w:pageBreakBefore w:val="0"/>
        <w:widowControl/>
        <w:kinsoku/>
        <w:wordWrap/>
        <w:overflowPunct/>
        <w:topLinePunct w:val="0"/>
        <w:bidi w:val="0"/>
        <w:snapToGrid/>
        <w:spacing w:line="500" w:lineRule="exact"/>
        <w:jc w:val="left"/>
        <w:textAlignment w:val="auto"/>
        <w:rPr>
          <w:rFonts w:hint="eastAsia" w:ascii="宋体" w:hAnsi="宋体" w:eastAsia="宋体" w:cs="宋体"/>
          <w:bCs/>
          <w:color w:val="auto"/>
          <w:sz w:val="24"/>
          <w:szCs w:val="24"/>
          <w:highlight w:val="none"/>
        </w:rPr>
      </w:pPr>
      <w:bookmarkStart w:id="467" w:name="_Toc331685783"/>
      <w:r>
        <w:rPr>
          <w:rFonts w:hint="eastAsia" w:ascii="宋体" w:hAnsi="宋体" w:eastAsia="宋体" w:cs="宋体"/>
          <w:bCs/>
          <w:color w:val="auto"/>
          <w:sz w:val="24"/>
          <w:szCs w:val="24"/>
          <w:highlight w:val="none"/>
        </w:rPr>
        <w:t>时间：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               时间：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p>
    <w:p w14:paraId="0FB8187C">
      <w:pPr>
        <w:keepNext w:val="0"/>
        <w:keepLines w:val="0"/>
        <w:pageBreakBefore w:val="0"/>
        <w:kinsoku/>
        <w:wordWrap/>
        <w:overflowPunct/>
        <w:topLinePunct w:val="0"/>
        <w:bidi w:val="0"/>
        <w:snapToGrid/>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468" w:name="_Hlk110099149"/>
      <w:r>
        <w:rPr>
          <w:rFonts w:hint="eastAsia" w:ascii="宋体" w:hAnsi="宋体" w:eastAsia="宋体" w:cs="宋体"/>
          <w:color w:val="auto"/>
          <w:sz w:val="24"/>
          <w:szCs w:val="24"/>
          <w:highlight w:val="none"/>
        </w:rPr>
        <w:t>乙方账户信息</w:t>
      </w:r>
    </w:p>
    <w:p w14:paraId="58A2B11B">
      <w:pPr>
        <w:keepNext w:val="0"/>
        <w:keepLines w:val="0"/>
        <w:pageBreakBefore w:val="0"/>
        <w:kinsoku/>
        <w:wordWrap/>
        <w:overflowPunct/>
        <w:topLinePunct w:val="0"/>
        <w:bidi w:val="0"/>
        <w:snapToGrid/>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户名：</w:t>
      </w:r>
      <w:r>
        <w:rPr>
          <w:rFonts w:hint="eastAsia" w:ascii="宋体" w:hAnsi="宋体" w:eastAsia="宋体" w:cs="宋体"/>
          <w:color w:val="auto"/>
          <w:sz w:val="24"/>
          <w:szCs w:val="24"/>
          <w:highlight w:val="none"/>
          <w:u w:val="single"/>
        </w:rPr>
        <w:t xml:space="preserve">            </w:t>
      </w:r>
    </w:p>
    <w:p w14:paraId="0D697104">
      <w:pPr>
        <w:keepNext w:val="0"/>
        <w:keepLines w:val="0"/>
        <w:pageBreakBefore w:val="0"/>
        <w:kinsoku/>
        <w:wordWrap/>
        <w:overflowPunct/>
        <w:topLinePunct w:val="0"/>
        <w:bidi w:val="0"/>
        <w:snapToGrid/>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账号：</w:t>
      </w:r>
      <w:r>
        <w:rPr>
          <w:rFonts w:hint="eastAsia" w:ascii="宋体" w:hAnsi="宋体" w:eastAsia="宋体" w:cs="宋体"/>
          <w:color w:val="auto"/>
          <w:sz w:val="24"/>
          <w:szCs w:val="24"/>
          <w:highlight w:val="none"/>
          <w:u w:val="single"/>
        </w:rPr>
        <w:t xml:space="preserve">            </w:t>
      </w:r>
    </w:p>
    <w:p w14:paraId="7309CDF0">
      <w:pPr>
        <w:keepNext w:val="0"/>
        <w:keepLines w:val="0"/>
        <w:pageBreakBefore w:val="0"/>
        <w:kinsoku/>
        <w:wordWrap/>
        <w:overflowPunct/>
        <w:topLinePunct w:val="0"/>
        <w:bidi w:val="0"/>
        <w:snapToGrid/>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开户银行：</w:t>
      </w:r>
      <w:r>
        <w:rPr>
          <w:rFonts w:hint="eastAsia" w:ascii="宋体" w:hAnsi="宋体" w:eastAsia="宋体" w:cs="宋体"/>
          <w:color w:val="auto"/>
          <w:sz w:val="24"/>
          <w:szCs w:val="24"/>
          <w:highlight w:val="none"/>
          <w:u w:val="single"/>
        </w:rPr>
        <w:t xml:space="preserve">        </w:t>
      </w:r>
    </w:p>
    <w:bookmarkEnd w:id="468"/>
    <w:p w14:paraId="4D631BBC">
      <w:pPr>
        <w:widowControl/>
        <w:jc w:val="left"/>
        <w:rPr>
          <w:rFonts w:cs="Times New Roman" w:asciiTheme="minorEastAsia" w:hAnsiTheme="minorEastAsia" w:eastAsiaTheme="minorEastAsia"/>
          <w:b/>
          <w:color w:val="auto"/>
          <w:sz w:val="24"/>
          <w:szCs w:val="24"/>
          <w:highlight w:val="none"/>
        </w:rPr>
      </w:pPr>
      <w:r>
        <w:rPr>
          <w:rFonts w:cs="Times New Roman" w:asciiTheme="minorEastAsia" w:hAnsiTheme="minorEastAsia" w:eastAsiaTheme="minorEastAsia"/>
          <w:b/>
          <w:color w:val="auto"/>
          <w:sz w:val="24"/>
          <w:szCs w:val="24"/>
          <w:highlight w:val="none"/>
        </w:rPr>
        <w:br w:type="page"/>
      </w:r>
    </w:p>
    <w:p w14:paraId="37D2F896">
      <w:pPr>
        <w:spacing w:line="360" w:lineRule="auto"/>
        <w:jc w:val="center"/>
        <w:outlineLvl w:val="1"/>
        <w:rPr>
          <w:rFonts w:hint="eastAsia" w:ascii="宋体" w:hAnsi="宋体" w:eastAsia="宋体" w:cs="宋体"/>
          <w:b/>
          <w:color w:val="auto"/>
          <w:sz w:val="36"/>
          <w:szCs w:val="36"/>
          <w:highlight w:val="none"/>
        </w:rPr>
      </w:pPr>
      <w:bookmarkStart w:id="469" w:name="_Toc28030"/>
      <w:bookmarkStart w:id="470" w:name="_Toc415"/>
      <w:bookmarkStart w:id="471" w:name="_Toc12682"/>
      <w:r>
        <w:rPr>
          <w:rFonts w:hint="eastAsia" w:ascii="宋体" w:hAnsi="宋体" w:eastAsia="宋体" w:cs="宋体"/>
          <w:b/>
          <w:color w:val="auto"/>
          <w:sz w:val="36"/>
          <w:szCs w:val="36"/>
          <w:highlight w:val="none"/>
        </w:rPr>
        <w:t>第二部分 合同一般条款</w:t>
      </w:r>
      <w:bookmarkEnd w:id="467"/>
      <w:bookmarkEnd w:id="469"/>
      <w:bookmarkEnd w:id="470"/>
      <w:bookmarkEnd w:id="471"/>
    </w:p>
    <w:p w14:paraId="232A2B3D">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472" w:name="_Toc279701240"/>
      <w:bookmarkStart w:id="473" w:name="_Ref467378404"/>
      <w:bookmarkStart w:id="474" w:name="_Toc14232"/>
      <w:bookmarkStart w:id="475" w:name="_Ref467379195"/>
      <w:bookmarkStart w:id="476" w:name="_Ref467379101"/>
      <w:bookmarkStart w:id="477" w:name="_Toc19614"/>
      <w:bookmarkStart w:id="478" w:name="_Ref467378463"/>
      <w:bookmarkStart w:id="479" w:name="_Ref467379094"/>
      <w:bookmarkStart w:id="480" w:name="_Toc28763"/>
      <w:bookmarkStart w:id="481" w:name="_Ref467379214"/>
      <w:bookmarkStart w:id="482" w:name="_Toc259093669"/>
      <w:bookmarkStart w:id="483" w:name="_Toc16917"/>
      <w:bookmarkStart w:id="484" w:name="_Ref467379205"/>
      <w:bookmarkStart w:id="485" w:name="_Ref467379109"/>
      <w:bookmarkStart w:id="486" w:name="_Ref467378499"/>
      <w:bookmarkStart w:id="487" w:name="_Ref467379225"/>
      <w:bookmarkStart w:id="488" w:name="_Toc487900349"/>
      <w:r>
        <w:rPr>
          <w:rFonts w:hint="eastAsia" w:ascii="宋体" w:hAnsi="宋体" w:eastAsia="宋体" w:cs="宋体"/>
          <w:b/>
          <w:bCs/>
          <w:i w:val="0"/>
          <w:iCs w:val="0"/>
          <w:color w:val="auto"/>
          <w:sz w:val="24"/>
          <w:szCs w:val="24"/>
          <w:highlight w:val="none"/>
          <w:lang w:val="zh-CN"/>
        </w:rPr>
        <w:t>2.1 定义</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14:paraId="3DABC3C2">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本合同中的下列词语应按以下内容进行解释：</w:t>
      </w:r>
    </w:p>
    <w:p w14:paraId="029314FD">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2.1.1“合同”系指采购人和中标人签订的载明双方当事人所达成的协议，并包括所有的附件、附录和构成合同的其他文件。</w:t>
      </w:r>
    </w:p>
    <w:p w14:paraId="2F4EDFDB">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2.1.2“合同价”系指根据合同约定，中标人在完全履行合同义务后，采购人应支付给中标人的价格。</w:t>
      </w:r>
    </w:p>
    <w:p w14:paraId="5824C107">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2.1.3“服务”系指中标人根据合同约定应向采购人履行的除货物和工程以外的其他政府采购对象，包括采购人自身需要的服务和向社会公众提供的公共服务。</w:t>
      </w:r>
    </w:p>
    <w:p w14:paraId="1802AAD8">
      <w:pPr>
        <w:spacing w:line="360" w:lineRule="auto"/>
        <w:ind w:firstLine="435"/>
        <w:rPr>
          <w:rFonts w:hint="eastAsia" w:ascii="宋体" w:hAnsi="宋体" w:eastAsia="宋体" w:cs="宋体"/>
          <w:i w:val="0"/>
          <w:iCs w:val="0"/>
          <w:color w:val="auto"/>
          <w:sz w:val="24"/>
          <w:szCs w:val="24"/>
          <w:highlight w:val="none"/>
        </w:rPr>
      </w:pPr>
      <w:bookmarkStart w:id="489" w:name="_Ref467378840"/>
      <w:r>
        <w:rPr>
          <w:rFonts w:hint="eastAsia" w:ascii="宋体" w:hAnsi="宋体" w:eastAsia="宋体" w:cs="宋体"/>
          <w:i w:val="0"/>
          <w:iCs w:val="0"/>
          <w:color w:val="auto"/>
          <w:sz w:val="24"/>
          <w:szCs w:val="24"/>
          <w:highlight w:val="none"/>
        </w:rPr>
        <w:t>2.1.4“甲方”系指与中标人签署合同的采购人</w:t>
      </w:r>
      <w:bookmarkEnd w:id="489"/>
      <w:r>
        <w:rPr>
          <w:rFonts w:hint="eastAsia" w:ascii="宋体" w:hAnsi="宋体" w:eastAsia="宋体" w:cs="宋体"/>
          <w:i w:val="0"/>
          <w:iCs w:val="0"/>
          <w:color w:val="auto"/>
          <w:sz w:val="24"/>
          <w:szCs w:val="24"/>
          <w:highlight w:val="none"/>
        </w:rPr>
        <w:t>；采购人委托采购代理机构代表其与乙方签订合同的，采购人的授权委托书作为合同附件。</w:t>
      </w:r>
    </w:p>
    <w:p w14:paraId="1106E655">
      <w:pPr>
        <w:spacing w:line="360" w:lineRule="auto"/>
        <w:ind w:firstLine="435"/>
        <w:rPr>
          <w:rFonts w:hint="eastAsia" w:ascii="宋体" w:hAnsi="宋体" w:eastAsia="宋体" w:cs="宋体"/>
          <w:i w:val="0"/>
          <w:iCs w:val="0"/>
          <w:color w:val="auto"/>
          <w:sz w:val="24"/>
          <w:szCs w:val="24"/>
          <w:highlight w:val="none"/>
        </w:rPr>
      </w:pPr>
      <w:bookmarkStart w:id="490" w:name="_Ref467379400"/>
      <w:r>
        <w:rPr>
          <w:rFonts w:hint="eastAsia" w:ascii="宋体" w:hAnsi="宋体" w:eastAsia="宋体" w:cs="宋体"/>
          <w:i w:val="0"/>
          <w:iCs w:val="0"/>
          <w:color w:val="auto"/>
          <w:sz w:val="24"/>
          <w:szCs w:val="24"/>
          <w:highlight w:val="none"/>
        </w:rPr>
        <w:t>2.1.5“乙方”系指根据合同约定提供服务的中标人</w:t>
      </w:r>
      <w:bookmarkEnd w:id="490"/>
      <w:r>
        <w:rPr>
          <w:rFonts w:hint="eastAsia" w:ascii="宋体" w:hAnsi="宋体" w:eastAsia="宋体" w:cs="宋体"/>
          <w:i w:val="0"/>
          <w:iCs w:val="0"/>
          <w:color w:val="auto"/>
          <w:sz w:val="24"/>
          <w:szCs w:val="24"/>
          <w:highlight w:val="none"/>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368FF11B">
      <w:pPr>
        <w:spacing w:line="360" w:lineRule="auto"/>
        <w:ind w:firstLine="435"/>
        <w:rPr>
          <w:rFonts w:hint="eastAsia" w:ascii="宋体" w:hAnsi="宋体" w:eastAsia="宋体" w:cs="宋体"/>
          <w:i w:val="0"/>
          <w:iCs w:val="0"/>
          <w:color w:val="auto"/>
          <w:sz w:val="24"/>
          <w:szCs w:val="24"/>
          <w:highlight w:val="none"/>
        </w:rPr>
      </w:pPr>
      <w:bookmarkStart w:id="491" w:name="_Ref467379436"/>
      <w:r>
        <w:rPr>
          <w:rFonts w:hint="eastAsia" w:ascii="宋体" w:hAnsi="宋体" w:eastAsia="宋体" w:cs="宋体"/>
          <w:i w:val="0"/>
          <w:iCs w:val="0"/>
          <w:color w:val="auto"/>
          <w:sz w:val="24"/>
          <w:szCs w:val="24"/>
          <w:highlight w:val="none"/>
        </w:rPr>
        <w:t>2.1.6“现场”系指合同约定提供服务的地点。</w:t>
      </w:r>
      <w:bookmarkEnd w:id="491"/>
    </w:p>
    <w:p w14:paraId="6E2582CC">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492" w:name="_Toc259093670"/>
      <w:bookmarkStart w:id="493" w:name="_Toc16312"/>
      <w:bookmarkStart w:id="494" w:name="_Toc487900350"/>
      <w:bookmarkStart w:id="495" w:name="_Toc13336"/>
      <w:bookmarkStart w:id="496" w:name="_Toc27635"/>
      <w:bookmarkStart w:id="497" w:name="_Toc279701241"/>
      <w:bookmarkStart w:id="498" w:name="_Toc32504"/>
      <w:r>
        <w:rPr>
          <w:rFonts w:hint="eastAsia" w:ascii="宋体" w:hAnsi="宋体" w:eastAsia="宋体" w:cs="宋体"/>
          <w:b/>
          <w:bCs/>
          <w:i w:val="0"/>
          <w:iCs w:val="0"/>
          <w:color w:val="auto"/>
          <w:sz w:val="24"/>
          <w:szCs w:val="24"/>
          <w:highlight w:val="none"/>
          <w:lang w:val="zh-CN"/>
        </w:rPr>
        <w:t>2.2 技术规范</w:t>
      </w:r>
      <w:bookmarkEnd w:id="492"/>
      <w:bookmarkEnd w:id="493"/>
      <w:bookmarkEnd w:id="494"/>
      <w:bookmarkEnd w:id="495"/>
      <w:bookmarkEnd w:id="496"/>
      <w:bookmarkEnd w:id="497"/>
      <w:bookmarkEnd w:id="498"/>
    </w:p>
    <w:p w14:paraId="69A21D85">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59340A77">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499" w:name="_Toc279701242"/>
      <w:bookmarkStart w:id="500" w:name="_Toc32641"/>
      <w:bookmarkStart w:id="501" w:name="_Toc259093671"/>
      <w:bookmarkStart w:id="502" w:name="_Toc31634"/>
      <w:bookmarkStart w:id="503" w:name="_Toc27853"/>
      <w:bookmarkStart w:id="504" w:name="_Toc487900351"/>
      <w:bookmarkStart w:id="505" w:name="_Toc9829"/>
      <w:r>
        <w:rPr>
          <w:rFonts w:hint="eastAsia" w:ascii="宋体" w:hAnsi="宋体" w:eastAsia="宋体" w:cs="宋体"/>
          <w:b/>
          <w:bCs/>
          <w:i w:val="0"/>
          <w:iCs w:val="0"/>
          <w:color w:val="auto"/>
          <w:sz w:val="24"/>
          <w:szCs w:val="24"/>
          <w:highlight w:val="none"/>
          <w:lang w:val="zh-CN"/>
        </w:rPr>
        <w:t>2.3 知识产权</w:t>
      </w:r>
      <w:bookmarkEnd w:id="499"/>
      <w:bookmarkEnd w:id="500"/>
      <w:bookmarkEnd w:id="501"/>
      <w:bookmarkEnd w:id="502"/>
      <w:bookmarkEnd w:id="503"/>
      <w:bookmarkEnd w:id="504"/>
      <w:bookmarkEnd w:id="505"/>
    </w:p>
    <w:p w14:paraId="0051651D">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2.3.1乙方应保证其提供的服务不受任何第三方提出的侵犯其著作权、商标权、专利权等知识产权方面的起诉；如果任何第三方提出侵权指控，那么乙方须与该第三方交涉并承担由此发生的一切责任、费用和赔偿；</w:t>
      </w:r>
    </w:p>
    <w:p w14:paraId="1B5AB00A">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2.3.2具有知识产权的计算机软件等货物的知识产权归属，详见</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w:t>
      </w:r>
    </w:p>
    <w:p w14:paraId="7FDDB45A">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06" w:name="_Ref467379542"/>
      <w:bookmarkStart w:id="507" w:name="_Ref467379536"/>
      <w:bookmarkStart w:id="508" w:name="_Toc279701245"/>
      <w:bookmarkStart w:id="509" w:name="_Toc259093674"/>
      <w:bookmarkStart w:id="510" w:name="_Ref467379527"/>
      <w:bookmarkStart w:id="511" w:name="_Ref467378591"/>
      <w:bookmarkStart w:id="512" w:name="_Toc487900354"/>
      <w:bookmarkStart w:id="513" w:name="_Ref467378541"/>
      <w:bookmarkStart w:id="514" w:name="_Toc19074"/>
      <w:bookmarkStart w:id="515" w:name="_Toc26182"/>
      <w:bookmarkStart w:id="516" w:name="_Toc21843"/>
      <w:bookmarkStart w:id="517" w:name="_Toc30272"/>
      <w:r>
        <w:rPr>
          <w:rFonts w:hint="eastAsia" w:ascii="宋体" w:hAnsi="宋体" w:eastAsia="宋体" w:cs="宋体"/>
          <w:b/>
          <w:bCs/>
          <w:i w:val="0"/>
          <w:iCs w:val="0"/>
          <w:color w:val="auto"/>
          <w:sz w:val="24"/>
          <w:szCs w:val="24"/>
          <w:highlight w:val="none"/>
          <w:lang w:val="zh-CN"/>
        </w:rPr>
        <w:t>2.</w:t>
      </w:r>
      <w:bookmarkEnd w:id="506"/>
      <w:bookmarkEnd w:id="507"/>
      <w:bookmarkEnd w:id="508"/>
      <w:bookmarkEnd w:id="509"/>
      <w:bookmarkEnd w:id="510"/>
      <w:bookmarkEnd w:id="511"/>
      <w:bookmarkEnd w:id="512"/>
      <w:bookmarkEnd w:id="513"/>
      <w:r>
        <w:rPr>
          <w:rFonts w:hint="eastAsia" w:ascii="宋体" w:hAnsi="宋体" w:eastAsia="宋体" w:cs="宋体"/>
          <w:b/>
          <w:bCs/>
          <w:i w:val="0"/>
          <w:iCs w:val="0"/>
          <w:color w:val="auto"/>
          <w:sz w:val="24"/>
          <w:szCs w:val="24"/>
          <w:highlight w:val="none"/>
          <w:lang w:val="zh-CN"/>
        </w:rPr>
        <w:t>4 履约检查和问题反馈</w:t>
      </w:r>
      <w:bookmarkEnd w:id="514"/>
      <w:bookmarkEnd w:id="515"/>
      <w:bookmarkEnd w:id="516"/>
      <w:bookmarkEnd w:id="517"/>
    </w:p>
    <w:p w14:paraId="1F572855">
      <w:pPr>
        <w:spacing w:line="360" w:lineRule="auto"/>
        <w:ind w:firstLine="435"/>
        <w:rPr>
          <w:rFonts w:hint="eastAsia" w:ascii="宋体" w:hAnsi="宋体" w:eastAsia="宋体" w:cs="宋体"/>
          <w:i w:val="0"/>
          <w:iCs w:val="0"/>
          <w:color w:val="auto"/>
          <w:sz w:val="24"/>
          <w:szCs w:val="24"/>
          <w:highlight w:val="none"/>
        </w:rPr>
      </w:pPr>
      <w:bookmarkStart w:id="518" w:name="_Toc186431854"/>
      <w:bookmarkStart w:id="519" w:name="_Ref467379793"/>
      <w:bookmarkStart w:id="520" w:name="_Toc279701247"/>
      <w:bookmarkStart w:id="521" w:name="_Toc259093676"/>
      <w:bookmarkStart w:id="522" w:name="_Toc487900357"/>
      <w:bookmarkStart w:id="523" w:name="_Ref467379807"/>
      <w:r>
        <w:rPr>
          <w:rFonts w:hint="eastAsia" w:ascii="宋体" w:hAnsi="宋体" w:eastAsia="宋体" w:cs="宋体"/>
          <w:i w:val="0"/>
          <w:iCs w:val="0"/>
          <w:color w:val="auto"/>
          <w:sz w:val="24"/>
          <w:szCs w:val="24"/>
          <w:highlight w:val="none"/>
        </w:rPr>
        <w:t>2.4.1甲方有权在其认为必要时，对乙方是否能够按照合同约定提供服务进行履约检查，以确保乙方所提供的服务能够依约满足甲方项目需求，但不得因履约检查妨碍乙方的正常工作，乙方应予积极配合；</w:t>
      </w:r>
    </w:p>
    <w:p w14:paraId="46A90DE8">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2.4.2合同履行期间，甲方有权将履行过程中出现的问题反馈给乙方，双方当事人应以书面形式约定需要完善和改进的内容</w:t>
      </w:r>
      <w:bookmarkEnd w:id="518"/>
      <w:bookmarkStart w:id="524" w:name="_Toc186431855"/>
      <w:r>
        <w:rPr>
          <w:rFonts w:hint="eastAsia" w:ascii="宋体" w:hAnsi="宋体" w:eastAsia="宋体" w:cs="宋体"/>
          <w:i w:val="0"/>
          <w:iCs w:val="0"/>
          <w:color w:val="auto"/>
          <w:sz w:val="24"/>
          <w:szCs w:val="24"/>
          <w:highlight w:val="none"/>
        </w:rPr>
        <w:t>。</w:t>
      </w:r>
    </w:p>
    <w:bookmarkEnd w:id="524"/>
    <w:p w14:paraId="37DDF5E5">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25" w:name="_Toc19219"/>
      <w:bookmarkStart w:id="526" w:name="_Toc28451"/>
      <w:bookmarkStart w:id="527" w:name="_Toc7836"/>
      <w:bookmarkStart w:id="528" w:name="_Toc31559"/>
      <w:r>
        <w:rPr>
          <w:rFonts w:hint="eastAsia" w:ascii="宋体" w:hAnsi="宋体" w:eastAsia="宋体" w:cs="宋体"/>
          <w:b/>
          <w:bCs/>
          <w:i w:val="0"/>
          <w:iCs w:val="0"/>
          <w:color w:val="auto"/>
          <w:sz w:val="24"/>
          <w:szCs w:val="24"/>
          <w:highlight w:val="none"/>
          <w:lang w:val="zh-CN"/>
        </w:rPr>
        <w:t>2.5 结算方式和付款条件</w:t>
      </w:r>
      <w:bookmarkEnd w:id="519"/>
      <w:bookmarkEnd w:id="520"/>
      <w:bookmarkEnd w:id="521"/>
      <w:bookmarkEnd w:id="522"/>
      <w:bookmarkEnd w:id="523"/>
      <w:bookmarkEnd w:id="525"/>
      <w:bookmarkEnd w:id="526"/>
      <w:bookmarkEnd w:id="527"/>
      <w:bookmarkEnd w:id="528"/>
    </w:p>
    <w:p w14:paraId="350F9F19">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详见</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w:t>
      </w:r>
    </w:p>
    <w:p w14:paraId="0E66E798">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29" w:name="_Ref467379923"/>
      <w:bookmarkStart w:id="530" w:name="_Ref467379852"/>
      <w:bookmarkStart w:id="531" w:name="_Toc279701248"/>
      <w:bookmarkStart w:id="532" w:name="_Toc487900358"/>
      <w:bookmarkStart w:id="533" w:name="_Ref467379863"/>
      <w:bookmarkStart w:id="534" w:name="_Toc259093677"/>
      <w:bookmarkStart w:id="535" w:name="_Toc7777"/>
      <w:bookmarkStart w:id="536" w:name="_Toc774"/>
      <w:bookmarkStart w:id="537" w:name="_Toc16110"/>
      <w:bookmarkStart w:id="538" w:name="_Toc3225"/>
      <w:r>
        <w:rPr>
          <w:rFonts w:hint="eastAsia" w:ascii="宋体" w:hAnsi="宋体" w:eastAsia="宋体" w:cs="宋体"/>
          <w:b/>
          <w:bCs/>
          <w:i w:val="0"/>
          <w:iCs w:val="0"/>
          <w:color w:val="auto"/>
          <w:sz w:val="24"/>
          <w:szCs w:val="24"/>
          <w:highlight w:val="none"/>
          <w:lang w:val="zh-CN"/>
        </w:rPr>
        <w:t>2.6 技术资料</w:t>
      </w:r>
      <w:bookmarkEnd w:id="529"/>
      <w:bookmarkEnd w:id="530"/>
      <w:bookmarkEnd w:id="531"/>
      <w:bookmarkEnd w:id="532"/>
      <w:bookmarkEnd w:id="533"/>
      <w:bookmarkEnd w:id="534"/>
      <w:r>
        <w:rPr>
          <w:rFonts w:hint="eastAsia" w:ascii="宋体" w:hAnsi="宋体" w:eastAsia="宋体" w:cs="宋体"/>
          <w:b/>
          <w:bCs/>
          <w:i w:val="0"/>
          <w:iCs w:val="0"/>
          <w:color w:val="auto"/>
          <w:sz w:val="24"/>
          <w:szCs w:val="24"/>
          <w:highlight w:val="none"/>
          <w:lang w:val="zh-CN"/>
        </w:rPr>
        <w:t>和保密义务</w:t>
      </w:r>
      <w:bookmarkEnd w:id="535"/>
      <w:bookmarkEnd w:id="536"/>
      <w:bookmarkEnd w:id="537"/>
      <w:bookmarkEnd w:id="538"/>
    </w:p>
    <w:p w14:paraId="043E0FD0">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2.6.1乙方有权依据合同约定和项目需要，向甲方了解有关情况，调阅有关资料等，甲方应予积极配合；</w:t>
      </w:r>
    </w:p>
    <w:p w14:paraId="12D7ADE8">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2.6.2乙方有义务妥善保管和保护由甲方提供的前款信息和资料等；</w:t>
      </w:r>
    </w:p>
    <w:p w14:paraId="1BFAE2B4">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2.6.3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3D716C7F">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39" w:name="_Toc5284"/>
      <w:bookmarkStart w:id="540" w:name="_Toc7860"/>
      <w:r>
        <w:rPr>
          <w:rFonts w:hint="eastAsia" w:ascii="宋体" w:hAnsi="宋体" w:eastAsia="宋体" w:cs="宋体"/>
          <w:b/>
          <w:bCs/>
          <w:i w:val="0"/>
          <w:iCs w:val="0"/>
          <w:color w:val="auto"/>
          <w:sz w:val="24"/>
          <w:szCs w:val="24"/>
          <w:highlight w:val="none"/>
          <w:lang w:val="zh-CN"/>
        </w:rPr>
        <w:t>2.7 质量保证</w:t>
      </w:r>
      <w:bookmarkEnd w:id="539"/>
      <w:bookmarkEnd w:id="540"/>
    </w:p>
    <w:p w14:paraId="06F68E3D">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2.7.1乙方应建立和完善履行合同的内部质量保证体系，并提供相关内部规章制度给甲方，以便甲方进行监督检查；</w:t>
      </w:r>
    </w:p>
    <w:p w14:paraId="37CEC890">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2.7.2乙方应保证履行合同的人员数量和素质、软件和硬件设备的配置、场地、环境和设施等满足全面履行合同的要求，并应接受甲方的监督检查。</w:t>
      </w:r>
    </w:p>
    <w:p w14:paraId="6EE54FD6">
      <w:pPr>
        <w:spacing w:line="360" w:lineRule="auto"/>
        <w:ind w:firstLine="437"/>
        <w:outlineLvl w:val="2"/>
        <w:rPr>
          <w:rFonts w:hint="eastAsia" w:ascii="宋体" w:hAnsi="宋体" w:eastAsia="宋体" w:cs="宋体"/>
          <w:b/>
          <w:i w:val="0"/>
          <w:iCs w:val="0"/>
          <w:color w:val="auto"/>
          <w:sz w:val="24"/>
          <w:szCs w:val="24"/>
          <w:highlight w:val="none"/>
        </w:rPr>
      </w:pPr>
      <w:bookmarkStart w:id="541" w:name="_Toc22267"/>
      <w:bookmarkStart w:id="542" w:name="_Toc30678"/>
      <w:r>
        <w:rPr>
          <w:rFonts w:hint="eastAsia" w:ascii="宋体" w:hAnsi="宋体" w:eastAsia="宋体" w:cs="宋体"/>
          <w:b/>
          <w:i w:val="0"/>
          <w:iCs w:val="0"/>
          <w:color w:val="auto"/>
          <w:sz w:val="24"/>
          <w:szCs w:val="24"/>
          <w:highlight w:val="none"/>
        </w:rPr>
        <w:t>2.8 延迟履行</w:t>
      </w:r>
      <w:bookmarkEnd w:id="541"/>
      <w:bookmarkEnd w:id="542"/>
    </w:p>
    <w:p w14:paraId="39241BB2">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546551B4">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43" w:name="_Toc3646"/>
      <w:bookmarkStart w:id="544" w:name="_Toc7502"/>
      <w:bookmarkStart w:id="545" w:name="_Toc259093683"/>
      <w:bookmarkStart w:id="546" w:name="_Ref467378121"/>
      <w:bookmarkStart w:id="547" w:name="_Toc279701254"/>
      <w:bookmarkStart w:id="548" w:name="_Toc487900364"/>
      <w:r>
        <w:rPr>
          <w:rFonts w:hint="eastAsia" w:ascii="宋体" w:hAnsi="宋体" w:eastAsia="宋体" w:cs="宋体"/>
          <w:b/>
          <w:bCs/>
          <w:i w:val="0"/>
          <w:iCs w:val="0"/>
          <w:color w:val="auto"/>
          <w:sz w:val="24"/>
          <w:szCs w:val="24"/>
          <w:highlight w:val="none"/>
          <w:lang w:val="zh-CN"/>
        </w:rPr>
        <w:t>2.9 合同变更</w:t>
      </w:r>
      <w:bookmarkEnd w:id="543"/>
      <w:bookmarkEnd w:id="544"/>
    </w:p>
    <w:p w14:paraId="60F58CC5">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2.9.1双方当事人协商一致，可以签订书面补充合同的形式变更合同，但不得违背采购文件确定的事项；</w:t>
      </w:r>
    </w:p>
    <w:p w14:paraId="42F7E758">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2.9.2合同继续履行将损害国家利益和社会公共利益的，双方当事人应当以书面形式变更合同。有过错的一方应当承担赔偿责任，双方当事人都有过错的，各自承担相应的责任。</w:t>
      </w:r>
      <w:bookmarkStart w:id="549" w:name="_Toc487900369"/>
      <w:bookmarkStart w:id="550" w:name="_Toc279701259"/>
      <w:bookmarkStart w:id="551" w:name="_Toc259093688"/>
    </w:p>
    <w:p w14:paraId="742F9E7E">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52" w:name="_Toc10366"/>
      <w:bookmarkStart w:id="553" w:name="_Toc5438"/>
      <w:bookmarkStart w:id="554" w:name="_Toc22955"/>
      <w:bookmarkStart w:id="555" w:name="_Toc15237"/>
      <w:r>
        <w:rPr>
          <w:rFonts w:hint="eastAsia" w:ascii="宋体" w:hAnsi="宋体" w:eastAsia="宋体" w:cs="宋体"/>
          <w:b/>
          <w:bCs/>
          <w:i w:val="0"/>
          <w:iCs w:val="0"/>
          <w:color w:val="auto"/>
          <w:sz w:val="24"/>
          <w:szCs w:val="24"/>
          <w:highlight w:val="none"/>
          <w:lang w:val="zh-CN"/>
        </w:rPr>
        <w:t>2.10 合同转让</w:t>
      </w:r>
      <w:bookmarkEnd w:id="549"/>
      <w:bookmarkEnd w:id="550"/>
      <w:bookmarkEnd w:id="551"/>
      <w:r>
        <w:rPr>
          <w:rFonts w:hint="eastAsia" w:ascii="宋体" w:hAnsi="宋体" w:eastAsia="宋体" w:cs="宋体"/>
          <w:b/>
          <w:bCs/>
          <w:i w:val="0"/>
          <w:iCs w:val="0"/>
          <w:color w:val="auto"/>
          <w:sz w:val="24"/>
          <w:szCs w:val="24"/>
          <w:highlight w:val="none"/>
          <w:lang w:val="zh-CN"/>
        </w:rPr>
        <w:t>和分包</w:t>
      </w:r>
      <w:bookmarkEnd w:id="552"/>
      <w:bookmarkEnd w:id="553"/>
      <w:bookmarkEnd w:id="554"/>
      <w:bookmarkEnd w:id="555"/>
    </w:p>
    <w:p w14:paraId="26ADD7CF">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54061B35">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56" w:name="_Toc17154"/>
      <w:bookmarkStart w:id="557" w:name="_Toc14066"/>
      <w:bookmarkStart w:id="558" w:name="_Toc13566"/>
      <w:bookmarkStart w:id="559" w:name="_Toc16508"/>
      <w:r>
        <w:rPr>
          <w:rFonts w:hint="eastAsia" w:ascii="宋体" w:hAnsi="宋体" w:eastAsia="宋体" w:cs="宋体"/>
          <w:b/>
          <w:bCs/>
          <w:i w:val="0"/>
          <w:iCs w:val="0"/>
          <w:color w:val="auto"/>
          <w:sz w:val="24"/>
          <w:szCs w:val="24"/>
          <w:highlight w:val="none"/>
          <w:lang w:val="zh-CN"/>
        </w:rPr>
        <w:t>2.11 不可抗力</w:t>
      </w:r>
      <w:bookmarkEnd w:id="556"/>
      <w:bookmarkEnd w:id="557"/>
      <w:bookmarkEnd w:id="558"/>
      <w:bookmarkEnd w:id="559"/>
    </w:p>
    <w:p w14:paraId="2E7E6126">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2.11.1如果任何一方遭遇法律规定的不可抗力，致使合同履行受阻时，履行合同的期限应予延长，延长的期限应相当于不可抗力所影响的时间；</w:t>
      </w:r>
    </w:p>
    <w:p w14:paraId="584AA569">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2.11.2因不可抗力致使不能实现合同目的的，当事人可以解除合同；</w:t>
      </w:r>
    </w:p>
    <w:p w14:paraId="7EC56964">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2.11.3因不可抗力致使合同有变更必要的，双方当事人应在</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约定时间内以书面形式变更合同；</w:t>
      </w:r>
    </w:p>
    <w:p w14:paraId="64C45C6C">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2.11.4受不可抗力影响的一方在不可抗力发生后，应在</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约定时间内以书面形式通知对方当事人，并在</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约定时间内，将有关部门出具的证明文件送达对方当事人。</w:t>
      </w:r>
    </w:p>
    <w:p w14:paraId="07379467">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60" w:name="_Toc259093684"/>
      <w:bookmarkStart w:id="561" w:name="_Toc279701255"/>
      <w:bookmarkStart w:id="562" w:name="_Toc19740"/>
      <w:bookmarkStart w:id="563" w:name="_Toc689"/>
      <w:bookmarkStart w:id="564" w:name="_Toc487900365"/>
      <w:bookmarkStart w:id="565" w:name="_Toc6969"/>
      <w:bookmarkStart w:id="566" w:name="_Toc30676"/>
      <w:r>
        <w:rPr>
          <w:rFonts w:hint="eastAsia" w:ascii="宋体" w:hAnsi="宋体" w:eastAsia="宋体" w:cs="宋体"/>
          <w:b/>
          <w:bCs/>
          <w:i w:val="0"/>
          <w:iCs w:val="0"/>
          <w:color w:val="auto"/>
          <w:sz w:val="24"/>
          <w:szCs w:val="24"/>
          <w:highlight w:val="none"/>
          <w:lang w:val="zh-CN"/>
        </w:rPr>
        <w:t>2.12 税费</w:t>
      </w:r>
      <w:bookmarkEnd w:id="560"/>
      <w:bookmarkEnd w:id="561"/>
      <w:bookmarkEnd w:id="562"/>
      <w:bookmarkEnd w:id="563"/>
      <w:bookmarkEnd w:id="564"/>
      <w:bookmarkEnd w:id="565"/>
      <w:bookmarkEnd w:id="566"/>
    </w:p>
    <w:p w14:paraId="7FDC3728">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与合同有关的一切税费，均按照中华人民共和国法律的相关规定缴纳。</w:t>
      </w:r>
    </w:p>
    <w:p w14:paraId="485EEA44">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67" w:name="_Toc8298"/>
      <w:bookmarkStart w:id="568" w:name="_Toc487900368"/>
      <w:bookmarkStart w:id="569" w:name="_Toc16959"/>
      <w:bookmarkStart w:id="570" w:name="_Toc279701258"/>
      <w:bookmarkStart w:id="571" w:name="_Toc7102"/>
      <w:bookmarkStart w:id="572" w:name="_Toc259093687"/>
      <w:bookmarkStart w:id="573" w:name="_Toc8588"/>
      <w:r>
        <w:rPr>
          <w:rFonts w:hint="eastAsia" w:ascii="宋体" w:hAnsi="宋体" w:eastAsia="宋体" w:cs="宋体"/>
          <w:b/>
          <w:bCs/>
          <w:i w:val="0"/>
          <w:iCs w:val="0"/>
          <w:color w:val="auto"/>
          <w:sz w:val="24"/>
          <w:szCs w:val="24"/>
          <w:highlight w:val="none"/>
          <w:lang w:val="zh-CN"/>
        </w:rPr>
        <w:t>2.13 乙方破产</w:t>
      </w:r>
      <w:bookmarkEnd w:id="567"/>
      <w:bookmarkEnd w:id="568"/>
      <w:bookmarkEnd w:id="569"/>
      <w:bookmarkEnd w:id="570"/>
      <w:bookmarkEnd w:id="571"/>
      <w:bookmarkEnd w:id="572"/>
      <w:bookmarkEnd w:id="573"/>
    </w:p>
    <w:p w14:paraId="4706273A">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4E79A5F8">
      <w:pPr>
        <w:spacing w:line="360" w:lineRule="auto"/>
        <w:ind w:firstLine="437"/>
        <w:outlineLvl w:val="2"/>
        <w:rPr>
          <w:rFonts w:hint="eastAsia" w:ascii="宋体" w:hAnsi="宋体" w:eastAsia="宋体" w:cs="宋体"/>
          <w:b/>
          <w:i w:val="0"/>
          <w:iCs w:val="0"/>
          <w:color w:val="auto"/>
          <w:sz w:val="24"/>
          <w:szCs w:val="24"/>
          <w:highlight w:val="none"/>
        </w:rPr>
      </w:pPr>
      <w:bookmarkStart w:id="574" w:name="_Toc15387"/>
      <w:bookmarkStart w:id="575" w:name="_Toc1334"/>
      <w:bookmarkStart w:id="576" w:name="_Toc29333"/>
      <w:bookmarkStart w:id="577" w:name="_Toc6134"/>
      <w:r>
        <w:rPr>
          <w:rFonts w:hint="eastAsia" w:ascii="宋体" w:hAnsi="宋体" w:eastAsia="宋体" w:cs="宋体"/>
          <w:b/>
          <w:bCs/>
          <w:i w:val="0"/>
          <w:iCs w:val="0"/>
          <w:color w:val="auto"/>
          <w:sz w:val="24"/>
          <w:szCs w:val="24"/>
          <w:highlight w:val="none"/>
          <w:lang w:val="zh-CN"/>
        </w:rPr>
        <w:t>2.14 合同中止、终止</w:t>
      </w:r>
      <w:bookmarkEnd w:id="574"/>
      <w:bookmarkEnd w:id="575"/>
      <w:bookmarkEnd w:id="576"/>
      <w:bookmarkEnd w:id="577"/>
    </w:p>
    <w:p w14:paraId="6151CDA0">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2.14.1双方当事人不得擅自中止或者终止合同；</w:t>
      </w:r>
    </w:p>
    <w:p w14:paraId="0A33DBB1">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2.14.2合同继续履行将损害国家利益和社会公共利益的，双方当事人应当中止或者终止合同。有过错的一方应当承担赔偿责任，双方当事人都有过错的，各自承担相应的责任。</w:t>
      </w:r>
    </w:p>
    <w:p w14:paraId="51ADDB27">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78" w:name="_Toc19383"/>
      <w:bookmarkStart w:id="579" w:name="_Toc1125"/>
      <w:bookmarkStart w:id="580" w:name="_Toc14563"/>
      <w:bookmarkStart w:id="581" w:name="_Toc6596"/>
      <w:r>
        <w:rPr>
          <w:rFonts w:hint="eastAsia" w:ascii="宋体" w:hAnsi="宋体" w:eastAsia="宋体" w:cs="宋体"/>
          <w:b/>
          <w:bCs/>
          <w:i w:val="0"/>
          <w:iCs w:val="0"/>
          <w:color w:val="auto"/>
          <w:sz w:val="24"/>
          <w:szCs w:val="24"/>
          <w:highlight w:val="none"/>
          <w:lang w:val="zh-CN"/>
        </w:rPr>
        <w:t>2.15 检验和验收</w:t>
      </w:r>
      <w:bookmarkEnd w:id="578"/>
      <w:bookmarkEnd w:id="579"/>
      <w:bookmarkEnd w:id="580"/>
      <w:bookmarkEnd w:id="581"/>
    </w:p>
    <w:p w14:paraId="4B523E11">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2.15.1乙方按照</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的约定，定期提交服务报告，甲方按照</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的约定进行定期验收；</w:t>
      </w:r>
    </w:p>
    <w:p w14:paraId="2691C969">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2.15.2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14:paraId="35630CD7">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2.15.3检验和验收标准、程序等具体内容以及前述验收书的效力详见</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w:t>
      </w:r>
    </w:p>
    <w:bookmarkEnd w:id="545"/>
    <w:bookmarkEnd w:id="546"/>
    <w:bookmarkEnd w:id="547"/>
    <w:bookmarkEnd w:id="548"/>
    <w:p w14:paraId="73AF77C8">
      <w:pPr>
        <w:spacing w:line="360" w:lineRule="auto"/>
        <w:ind w:firstLine="437"/>
        <w:outlineLvl w:val="2"/>
        <w:rPr>
          <w:rFonts w:hint="eastAsia" w:ascii="宋体" w:hAnsi="宋体" w:eastAsia="宋体" w:cs="宋体"/>
          <w:b/>
          <w:bCs/>
          <w:i w:val="0"/>
          <w:iCs w:val="0"/>
          <w:color w:val="auto"/>
          <w:sz w:val="24"/>
          <w:szCs w:val="24"/>
          <w:highlight w:val="none"/>
        </w:rPr>
      </w:pPr>
      <w:bookmarkStart w:id="582" w:name="_Toc18567"/>
      <w:bookmarkStart w:id="583" w:name="_Toc279701263"/>
      <w:bookmarkStart w:id="584" w:name="_Toc9826"/>
      <w:bookmarkStart w:id="585" w:name="_Toc487900373"/>
      <w:bookmarkStart w:id="586" w:name="_Toc12773"/>
      <w:bookmarkStart w:id="587" w:name="_Toc259093692"/>
      <w:bookmarkStart w:id="588" w:name="_Toc10330"/>
      <w:r>
        <w:rPr>
          <w:rFonts w:hint="eastAsia" w:ascii="宋体" w:hAnsi="宋体" w:eastAsia="宋体" w:cs="宋体"/>
          <w:b/>
          <w:bCs/>
          <w:i w:val="0"/>
          <w:iCs w:val="0"/>
          <w:color w:val="auto"/>
          <w:sz w:val="24"/>
          <w:szCs w:val="24"/>
          <w:highlight w:val="none"/>
        </w:rPr>
        <w:t xml:space="preserve">2.16 </w:t>
      </w:r>
      <w:r>
        <w:rPr>
          <w:rFonts w:hint="eastAsia" w:ascii="宋体" w:hAnsi="宋体" w:eastAsia="宋体" w:cs="宋体"/>
          <w:b/>
          <w:bCs/>
          <w:i w:val="0"/>
          <w:iCs w:val="0"/>
          <w:color w:val="auto"/>
          <w:sz w:val="24"/>
          <w:szCs w:val="24"/>
          <w:highlight w:val="none"/>
          <w:lang w:val="zh-CN"/>
        </w:rPr>
        <w:t>合同使用的文字和适用的法律</w:t>
      </w:r>
      <w:bookmarkEnd w:id="582"/>
      <w:bookmarkEnd w:id="583"/>
      <w:bookmarkEnd w:id="584"/>
      <w:bookmarkEnd w:id="585"/>
      <w:bookmarkEnd w:id="586"/>
      <w:bookmarkEnd w:id="587"/>
      <w:bookmarkEnd w:id="588"/>
    </w:p>
    <w:p w14:paraId="584303E2">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2.16.1合同使用汉语书就、变更和解释；</w:t>
      </w:r>
    </w:p>
    <w:p w14:paraId="6120D4C0">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2.16.2合同适用中华人民共和国法律。</w:t>
      </w:r>
    </w:p>
    <w:p w14:paraId="6DD35A5C">
      <w:pPr>
        <w:spacing w:line="360" w:lineRule="auto"/>
        <w:ind w:firstLine="437"/>
        <w:outlineLvl w:val="2"/>
        <w:rPr>
          <w:rFonts w:hint="eastAsia" w:ascii="宋体" w:hAnsi="宋体" w:eastAsia="宋体" w:cs="宋体"/>
          <w:b/>
          <w:i w:val="0"/>
          <w:iCs w:val="0"/>
          <w:color w:val="auto"/>
          <w:sz w:val="24"/>
          <w:szCs w:val="24"/>
          <w:highlight w:val="none"/>
        </w:rPr>
      </w:pPr>
      <w:bookmarkStart w:id="589" w:name="_Toc259093693"/>
      <w:bookmarkStart w:id="590" w:name="_Toc16673"/>
      <w:bookmarkStart w:id="591" w:name="_Toc279701264"/>
      <w:bookmarkStart w:id="592" w:name="_Toc12004"/>
      <w:bookmarkStart w:id="593" w:name="_Toc17354"/>
      <w:bookmarkStart w:id="594" w:name="_Toc3148"/>
      <w:bookmarkStart w:id="595" w:name="_Toc487900374"/>
      <w:r>
        <w:rPr>
          <w:rFonts w:hint="eastAsia" w:ascii="宋体" w:hAnsi="宋体" w:eastAsia="宋体" w:cs="宋体"/>
          <w:b/>
          <w:bCs/>
          <w:i w:val="0"/>
          <w:iCs w:val="0"/>
          <w:color w:val="auto"/>
          <w:sz w:val="24"/>
          <w:szCs w:val="24"/>
          <w:highlight w:val="none"/>
          <w:lang w:val="zh-CN"/>
        </w:rPr>
        <w:t>2.17 履约保证金</w:t>
      </w:r>
      <w:bookmarkEnd w:id="589"/>
      <w:bookmarkEnd w:id="590"/>
      <w:bookmarkEnd w:id="591"/>
      <w:bookmarkEnd w:id="592"/>
      <w:bookmarkEnd w:id="593"/>
      <w:bookmarkEnd w:id="594"/>
    </w:p>
    <w:p w14:paraId="1C42A5BF">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2.17.1采购文件要求乙方提交履约保证金的，乙方应按</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约定的方式，以支票、汇票、本票或者金融机构、担保机构出具的保函等非现金形式提交；</w:t>
      </w:r>
    </w:p>
    <w:p w14:paraId="4D9AC60E">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2.17.2履约保证金在</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约定期间内不予退还或者应完全有效，前述约定期间届满之日起</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个工作日内，甲方应将履约保证金退还乙方</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甲方</w:t>
      </w:r>
      <w:r>
        <w:rPr>
          <w:rFonts w:hint="eastAsia" w:ascii="宋体" w:hAnsi="宋体" w:eastAsia="宋体" w:cs="宋体"/>
          <w:i w:val="0"/>
          <w:iCs w:val="0"/>
          <w:color w:val="auto"/>
          <w:sz w:val="24"/>
          <w:szCs w:val="24"/>
          <w:highlight w:val="none"/>
        </w:rPr>
        <w:t>逾期退还履约保证金</w:t>
      </w:r>
      <w:r>
        <w:rPr>
          <w:rFonts w:hint="eastAsia" w:ascii="宋体" w:hAnsi="宋体" w:eastAsia="宋体" w:cs="宋体"/>
          <w:i w:val="0"/>
          <w:iCs w:val="0"/>
          <w:color w:val="auto"/>
          <w:sz w:val="24"/>
          <w:szCs w:val="24"/>
          <w:highlight w:val="none"/>
          <w:lang w:val="en-US" w:eastAsia="zh-CN"/>
        </w:rPr>
        <w:t>应承担违约责任。</w:t>
      </w:r>
    </w:p>
    <w:p w14:paraId="5DC1A76F">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2.17.3如果乙方不履行合同，履约保证金不予退还；如果乙方未能按合同约定全面履行义务，那么甲方有权从履约保证金中取得补偿或赔偿，同时不影响甲方要求乙方承担合同约定的超过履约保证金的违约责任的权利。</w:t>
      </w:r>
    </w:p>
    <w:bookmarkEnd w:id="595"/>
    <w:p w14:paraId="1186696B">
      <w:pPr>
        <w:spacing w:line="360" w:lineRule="auto"/>
        <w:ind w:firstLine="437"/>
        <w:outlineLvl w:val="2"/>
        <w:rPr>
          <w:rFonts w:hint="eastAsia" w:ascii="宋体" w:hAnsi="宋体" w:eastAsia="宋体" w:cs="宋体"/>
          <w:b/>
          <w:i w:val="0"/>
          <w:iCs w:val="0"/>
          <w:color w:val="auto"/>
          <w:sz w:val="24"/>
          <w:szCs w:val="24"/>
          <w:highlight w:val="none"/>
        </w:rPr>
      </w:pPr>
      <w:bookmarkStart w:id="596" w:name="_Toc14001"/>
      <w:bookmarkStart w:id="597" w:name="_Toc6885"/>
      <w:bookmarkStart w:id="598" w:name="_Toc31625"/>
      <w:bookmarkStart w:id="599" w:name="_Toc19890"/>
      <w:r>
        <w:rPr>
          <w:rFonts w:hint="eastAsia" w:ascii="宋体" w:hAnsi="宋体" w:eastAsia="宋体" w:cs="宋体"/>
          <w:b/>
          <w:bCs/>
          <w:i w:val="0"/>
          <w:iCs w:val="0"/>
          <w:color w:val="auto"/>
          <w:sz w:val="24"/>
          <w:szCs w:val="24"/>
          <w:highlight w:val="none"/>
          <w:lang w:val="zh-CN"/>
        </w:rPr>
        <w:t>2.18 合同份数</w:t>
      </w:r>
      <w:bookmarkEnd w:id="596"/>
      <w:bookmarkEnd w:id="597"/>
      <w:bookmarkEnd w:id="598"/>
      <w:bookmarkEnd w:id="599"/>
    </w:p>
    <w:p w14:paraId="1E34590B">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合同份数按</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规定，每份均具有同等法律效力。</w:t>
      </w:r>
    </w:p>
    <w:p w14:paraId="53F3690C">
      <w:pPr>
        <w:spacing w:line="360" w:lineRule="auto"/>
        <w:jc w:val="center"/>
        <w:outlineLvl w:val="1"/>
        <w:rPr>
          <w:rFonts w:hint="eastAsia" w:ascii="宋体" w:hAnsi="宋体" w:eastAsia="宋体" w:cs="宋体"/>
          <w:b/>
          <w:color w:val="auto"/>
          <w:sz w:val="36"/>
          <w:szCs w:val="36"/>
          <w:highlight w:val="none"/>
        </w:rPr>
      </w:pPr>
      <w:r>
        <w:rPr>
          <w:rFonts w:cs="Times New Roman" w:asciiTheme="minorEastAsia" w:hAnsiTheme="minorEastAsia" w:eastAsiaTheme="minorEastAsia"/>
          <w:color w:val="auto"/>
          <w:sz w:val="24"/>
          <w:szCs w:val="24"/>
          <w:highlight w:val="none"/>
        </w:rPr>
        <w:br w:type="page"/>
      </w:r>
      <w:bookmarkStart w:id="600" w:name="_Toc3736"/>
      <w:bookmarkStart w:id="601" w:name="_Toc7126"/>
      <w:bookmarkStart w:id="602" w:name="_Toc21802"/>
      <w:r>
        <w:rPr>
          <w:rFonts w:hint="eastAsia" w:ascii="宋体" w:hAnsi="宋体" w:eastAsia="宋体" w:cs="宋体"/>
          <w:b/>
          <w:color w:val="auto"/>
          <w:sz w:val="36"/>
          <w:szCs w:val="36"/>
          <w:highlight w:val="none"/>
        </w:rPr>
        <w:t>第三部分 合同专用条款</w:t>
      </w:r>
      <w:bookmarkEnd w:id="600"/>
      <w:bookmarkEnd w:id="601"/>
      <w:bookmarkEnd w:id="602"/>
    </w:p>
    <w:p w14:paraId="3D7C59F3">
      <w:pPr>
        <w:spacing w:line="360" w:lineRule="auto"/>
        <w:ind w:firstLine="4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29"/>
        <w:tblW w:w="836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94"/>
        <w:gridCol w:w="7568"/>
      </w:tblGrid>
      <w:tr w14:paraId="024E0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jc w:val="center"/>
        </w:trPr>
        <w:tc>
          <w:tcPr>
            <w:tcW w:w="794" w:type="dxa"/>
            <w:tcBorders>
              <w:left w:val="single" w:color="auto" w:sz="4" w:space="0"/>
            </w:tcBorders>
            <w:vAlign w:val="center"/>
          </w:tcPr>
          <w:p w14:paraId="30CAE03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条款号</w:t>
            </w:r>
          </w:p>
        </w:tc>
        <w:tc>
          <w:tcPr>
            <w:tcW w:w="7568" w:type="dxa"/>
            <w:vAlign w:val="center"/>
          </w:tcPr>
          <w:p w14:paraId="5E297E2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约定内容</w:t>
            </w:r>
          </w:p>
        </w:tc>
      </w:tr>
      <w:tr w14:paraId="47A1DC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794" w:type="dxa"/>
            <w:tcBorders>
              <w:left w:val="single" w:color="auto" w:sz="4" w:space="0"/>
            </w:tcBorders>
            <w:vAlign w:val="center"/>
          </w:tcPr>
          <w:p w14:paraId="3B4B21CE">
            <w:pPr>
              <w:spacing w:line="560" w:lineRule="exact"/>
              <w:rPr>
                <w:rFonts w:hint="eastAsia" w:ascii="宋体" w:hAnsi="宋体" w:eastAsia="宋体" w:cs="宋体"/>
                <w:color w:val="auto"/>
                <w:sz w:val="24"/>
                <w:szCs w:val="24"/>
                <w:highlight w:val="none"/>
              </w:rPr>
            </w:pPr>
          </w:p>
        </w:tc>
        <w:tc>
          <w:tcPr>
            <w:tcW w:w="7568" w:type="dxa"/>
            <w:vAlign w:val="center"/>
          </w:tcPr>
          <w:p w14:paraId="40655C46">
            <w:pPr>
              <w:spacing w:line="560" w:lineRule="exact"/>
              <w:rPr>
                <w:rFonts w:hint="eastAsia" w:ascii="宋体" w:hAnsi="宋体" w:eastAsia="宋体" w:cs="宋体"/>
                <w:color w:val="auto"/>
                <w:sz w:val="24"/>
                <w:szCs w:val="24"/>
                <w:highlight w:val="none"/>
              </w:rPr>
            </w:pPr>
          </w:p>
        </w:tc>
      </w:tr>
      <w:tr w14:paraId="0B040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left w:val="single" w:color="auto" w:sz="4" w:space="0"/>
            </w:tcBorders>
            <w:vAlign w:val="center"/>
          </w:tcPr>
          <w:p w14:paraId="0F3CD612">
            <w:pPr>
              <w:spacing w:line="560" w:lineRule="exact"/>
              <w:rPr>
                <w:rFonts w:hint="eastAsia" w:ascii="宋体" w:hAnsi="宋体" w:eastAsia="宋体" w:cs="宋体"/>
                <w:color w:val="auto"/>
                <w:sz w:val="24"/>
                <w:szCs w:val="24"/>
                <w:highlight w:val="none"/>
              </w:rPr>
            </w:pPr>
          </w:p>
        </w:tc>
        <w:tc>
          <w:tcPr>
            <w:tcW w:w="7568" w:type="dxa"/>
            <w:vAlign w:val="center"/>
          </w:tcPr>
          <w:p w14:paraId="32E7ECB0">
            <w:pPr>
              <w:spacing w:line="560" w:lineRule="exact"/>
              <w:rPr>
                <w:rFonts w:hint="eastAsia" w:ascii="宋体" w:hAnsi="宋体" w:eastAsia="宋体" w:cs="宋体"/>
                <w:color w:val="auto"/>
                <w:sz w:val="24"/>
                <w:szCs w:val="24"/>
                <w:highlight w:val="none"/>
              </w:rPr>
            </w:pPr>
          </w:p>
        </w:tc>
      </w:tr>
      <w:tr w14:paraId="1FC913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left w:val="single" w:color="auto" w:sz="4" w:space="0"/>
            </w:tcBorders>
            <w:vAlign w:val="center"/>
          </w:tcPr>
          <w:p w14:paraId="79AF35CA">
            <w:pPr>
              <w:spacing w:line="560" w:lineRule="exact"/>
              <w:rPr>
                <w:rFonts w:hint="eastAsia" w:ascii="宋体" w:hAnsi="宋体" w:eastAsia="宋体" w:cs="宋体"/>
                <w:color w:val="auto"/>
                <w:sz w:val="24"/>
                <w:szCs w:val="24"/>
                <w:highlight w:val="none"/>
              </w:rPr>
            </w:pPr>
          </w:p>
        </w:tc>
        <w:tc>
          <w:tcPr>
            <w:tcW w:w="7568" w:type="dxa"/>
            <w:vAlign w:val="center"/>
          </w:tcPr>
          <w:p w14:paraId="611385EA">
            <w:pPr>
              <w:spacing w:line="560" w:lineRule="exact"/>
              <w:rPr>
                <w:rFonts w:hint="eastAsia" w:ascii="宋体" w:hAnsi="宋体" w:eastAsia="宋体" w:cs="宋体"/>
                <w:color w:val="auto"/>
                <w:sz w:val="24"/>
                <w:szCs w:val="24"/>
                <w:highlight w:val="none"/>
              </w:rPr>
            </w:pPr>
          </w:p>
        </w:tc>
      </w:tr>
      <w:tr w14:paraId="4AA115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left w:val="single" w:color="auto" w:sz="4" w:space="0"/>
            </w:tcBorders>
            <w:vAlign w:val="center"/>
          </w:tcPr>
          <w:p w14:paraId="08C18170">
            <w:pPr>
              <w:spacing w:line="560" w:lineRule="exact"/>
              <w:rPr>
                <w:rFonts w:hint="eastAsia" w:ascii="宋体" w:hAnsi="宋体" w:eastAsia="宋体" w:cs="宋体"/>
                <w:color w:val="auto"/>
                <w:sz w:val="24"/>
                <w:szCs w:val="24"/>
                <w:highlight w:val="none"/>
              </w:rPr>
            </w:pPr>
          </w:p>
        </w:tc>
        <w:tc>
          <w:tcPr>
            <w:tcW w:w="7568" w:type="dxa"/>
            <w:vAlign w:val="center"/>
          </w:tcPr>
          <w:p w14:paraId="728B2346">
            <w:pPr>
              <w:spacing w:line="560" w:lineRule="exact"/>
              <w:rPr>
                <w:rFonts w:hint="eastAsia" w:ascii="宋体" w:hAnsi="宋体" w:eastAsia="宋体" w:cs="宋体"/>
                <w:color w:val="auto"/>
                <w:sz w:val="24"/>
                <w:szCs w:val="24"/>
                <w:highlight w:val="none"/>
              </w:rPr>
            </w:pPr>
          </w:p>
        </w:tc>
      </w:tr>
      <w:tr w14:paraId="2F6F83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14:paraId="64A51C9F">
            <w:pPr>
              <w:spacing w:line="560" w:lineRule="exact"/>
              <w:rPr>
                <w:rFonts w:hint="eastAsia" w:ascii="宋体" w:hAnsi="宋体" w:eastAsia="宋体" w:cs="宋体"/>
                <w:color w:val="auto"/>
                <w:sz w:val="24"/>
                <w:szCs w:val="24"/>
                <w:highlight w:val="none"/>
              </w:rPr>
            </w:pPr>
          </w:p>
        </w:tc>
        <w:tc>
          <w:tcPr>
            <w:tcW w:w="7568" w:type="dxa"/>
            <w:vAlign w:val="center"/>
          </w:tcPr>
          <w:p w14:paraId="41CA5680">
            <w:pPr>
              <w:spacing w:line="560" w:lineRule="exact"/>
              <w:rPr>
                <w:rFonts w:hint="eastAsia" w:ascii="宋体" w:hAnsi="宋体" w:eastAsia="宋体" w:cs="宋体"/>
                <w:color w:val="auto"/>
                <w:sz w:val="24"/>
                <w:szCs w:val="24"/>
                <w:highlight w:val="none"/>
                <w:u w:val="single"/>
              </w:rPr>
            </w:pPr>
          </w:p>
        </w:tc>
      </w:tr>
      <w:tr w14:paraId="3E013D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14:paraId="09316856">
            <w:pPr>
              <w:spacing w:line="560" w:lineRule="exact"/>
              <w:rPr>
                <w:rFonts w:hint="eastAsia" w:ascii="宋体" w:hAnsi="宋体" w:eastAsia="宋体" w:cs="宋体"/>
                <w:color w:val="auto"/>
                <w:sz w:val="24"/>
                <w:szCs w:val="24"/>
                <w:highlight w:val="none"/>
              </w:rPr>
            </w:pPr>
          </w:p>
        </w:tc>
        <w:tc>
          <w:tcPr>
            <w:tcW w:w="7568" w:type="dxa"/>
            <w:vAlign w:val="center"/>
          </w:tcPr>
          <w:p w14:paraId="5CD2BDDA">
            <w:pPr>
              <w:spacing w:line="560" w:lineRule="exact"/>
              <w:rPr>
                <w:rFonts w:hint="eastAsia" w:ascii="宋体" w:hAnsi="宋体" w:eastAsia="宋体" w:cs="宋体"/>
                <w:color w:val="auto"/>
                <w:sz w:val="24"/>
                <w:szCs w:val="24"/>
                <w:highlight w:val="none"/>
              </w:rPr>
            </w:pPr>
          </w:p>
        </w:tc>
      </w:tr>
      <w:tr w14:paraId="3FED07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left w:val="single" w:color="auto" w:sz="4" w:space="0"/>
            </w:tcBorders>
            <w:vAlign w:val="center"/>
          </w:tcPr>
          <w:p w14:paraId="345B688D">
            <w:pPr>
              <w:spacing w:line="560" w:lineRule="exact"/>
              <w:rPr>
                <w:rFonts w:hint="eastAsia" w:ascii="宋体" w:hAnsi="宋体" w:eastAsia="宋体" w:cs="宋体"/>
                <w:color w:val="auto"/>
                <w:sz w:val="24"/>
                <w:szCs w:val="24"/>
                <w:highlight w:val="none"/>
              </w:rPr>
            </w:pPr>
          </w:p>
        </w:tc>
        <w:tc>
          <w:tcPr>
            <w:tcW w:w="7568" w:type="dxa"/>
            <w:vAlign w:val="center"/>
          </w:tcPr>
          <w:p w14:paraId="7E92421C">
            <w:pPr>
              <w:spacing w:line="560" w:lineRule="exact"/>
              <w:rPr>
                <w:rFonts w:hint="eastAsia" w:ascii="宋体" w:hAnsi="宋体" w:eastAsia="宋体" w:cs="宋体"/>
                <w:color w:val="auto"/>
                <w:sz w:val="24"/>
                <w:szCs w:val="24"/>
                <w:highlight w:val="none"/>
                <w:u w:val="single"/>
              </w:rPr>
            </w:pPr>
          </w:p>
        </w:tc>
      </w:tr>
      <w:tr w14:paraId="7AA8F8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14:paraId="43B5D46E">
            <w:pPr>
              <w:spacing w:line="560" w:lineRule="exact"/>
              <w:rPr>
                <w:rFonts w:hint="eastAsia" w:ascii="宋体" w:hAnsi="宋体" w:eastAsia="宋体" w:cs="宋体"/>
                <w:color w:val="auto"/>
                <w:sz w:val="24"/>
                <w:szCs w:val="24"/>
                <w:highlight w:val="none"/>
              </w:rPr>
            </w:pPr>
          </w:p>
        </w:tc>
        <w:tc>
          <w:tcPr>
            <w:tcW w:w="7568" w:type="dxa"/>
            <w:vAlign w:val="center"/>
          </w:tcPr>
          <w:p w14:paraId="4A52371D">
            <w:pPr>
              <w:spacing w:line="560" w:lineRule="exact"/>
              <w:rPr>
                <w:rFonts w:hint="eastAsia" w:ascii="宋体" w:hAnsi="宋体" w:eastAsia="宋体" w:cs="宋体"/>
                <w:color w:val="auto"/>
                <w:sz w:val="24"/>
                <w:szCs w:val="24"/>
                <w:highlight w:val="none"/>
              </w:rPr>
            </w:pPr>
          </w:p>
        </w:tc>
      </w:tr>
      <w:tr w14:paraId="220B9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14:paraId="6CD534FB">
            <w:pPr>
              <w:spacing w:line="560" w:lineRule="exact"/>
              <w:rPr>
                <w:rFonts w:hint="eastAsia" w:ascii="宋体" w:hAnsi="宋体" w:eastAsia="宋体" w:cs="宋体"/>
                <w:color w:val="auto"/>
                <w:sz w:val="24"/>
                <w:szCs w:val="24"/>
                <w:highlight w:val="none"/>
              </w:rPr>
            </w:pPr>
          </w:p>
        </w:tc>
        <w:tc>
          <w:tcPr>
            <w:tcW w:w="7568" w:type="dxa"/>
            <w:vAlign w:val="center"/>
          </w:tcPr>
          <w:p w14:paraId="6035952A">
            <w:pPr>
              <w:spacing w:line="560" w:lineRule="exact"/>
              <w:rPr>
                <w:rFonts w:hint="eastAsia" w:ascii="宋体" w:hAnsi="宋体" w:eastAsia="宋体" w:cs="宋体"/>
                <w:color w:val="auto"/>
                <w:sz w:val="24"/>
                <w:szCs w:val="24"/>
                <w:highlight w:val="none"/>
              </w:rPr>
            </w:pPr>
          </w:p>
        </w:tc>
      </w:tr>
      <w:tr w14:paraId="00AFC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14:paraId="45C13F9E">
            <w:pPr>
              <w:spacing w:line="560" w:lineRule="exact"/>
              <w:rPr>
                <w:rFonts w:hint="eastAsia" w:ascii="宋体" w:hAnsi="宋体" w:eastAsia="宋体" w:cs="宋体"/>
                <w:color w:val="auto"/>
                <w:sz w:val="24"/>
                <w:szCs w:val="24"/>
                <w:highlight w:val="none"/>
              </w:rPr>
            </w:pPr>
          </w:p>
        </w:tc>
        <w:tc>
          <w:tcPr>
            <w:tcW w:w="7568" w:type="dxa"/>
            <w:vAlign w:val="center"/>
          </w:tcPr>
          <w:p w14:paraId="3AE9AB17">
            <w:pPr>
              <w:spacing w:line="560" w:lineRule="exact"/>
              <w:rPr>
                <w:rFonts w:hint="eastAsia" w:ascii="宋体" w:hAnsi="宋体" w:eastAsia="宋体" w:cs="宋体"/>
                <w:color w:val="auto"/>
                <w:sz w:val="24"/>
                <w:szCs w:val="24"/>
                <w:highlight w:val="none"/>
              </w:rPr>
            </w:pPr>
          </w:p>
        </w:tc>
      </w:tr>
      <w:tr w14:paraId="3EE9C8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top w:val="single" w:color="auto" w:sz="6" w:space="0"/>
              <w:left w:val="single" w:color="auto" w:sz="4" w:space="0"/>
              <w:bottom w:val="single" w:color="auto" w:sz="6" w:space="0"/>
              <w:right w:val="single" w:color="auto" w:sz="6" w:space="0"/>
            </w:tcBorders>
            <w:vAlign w:val="center"/>
          </w:tcPr>
          <w:p w14:paraId="62A2E4F5">
            <w:pPr>
              <w:spacing w:line="560" w:lineRule="exact"/>
              <w:rPr>
                <w:rFonts w:hint="eastAsia" w:ascii="宋体" w:hAnsi="宋体" w:eastAsia="宋体" w:cs="宋体"/>
                <w:color w:val="auto"/>
                <w:sz w:val="24"/>
                <w:szCs w:val="24"/>
                <w:highlight w:val="none"/>
              </w:rPr>
            </w:pPr>
          </w:p>
        </w:tc>
        <w:tc>
          <w:tcPr>
            <w:tcW w:w="7568" w:type="dxa"/>
            <w:tcBorders>
              <w:top w:val="single" w:color="auto" w:sz="6" w:space="0"/>
              <w:left w:val="single" w:color="auto" w:sz="6" w:space="0"/>
              <w:bottom w:val="single" w:color="auto" w:sz="6" w:space="0"/>
              <w:right w:val="single" w:color="auto" w:sz="6" w:space="0"/>
            </w:tcBorders>
            <w:vAlign w:val="center"/>
          </w:tcPr>
          <w:p w14:paraId="0966F80C">
            <w:pPr>
              <w:spacing w:line="560" w:lineRule="exact"/>
              <w:rPr>
                <w:rFonts w:hint="eastAsia" w:ascii="宋体" w:hAnsi="宋体" w:eastAsia="宋体" w:cs="宋体"/>
                <w:color w:val="auto"/>
                <w:sz w:val="24"/>
                <w:szCs w:val="24"/>
                <w:highlight w:val="none"/>
              </w:rPr>
            </w:pPr>
          </w:p>
        </w:tc>
      </w:tr>
      <w:tr w14:paraId="504B1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top w:val="single" w:color="auto" w:sz="6" w:space="0"/>
              <w:left w:val="single" w:color="auto" w:sz="4" w:space="0"/>
              <w:bottom w:val="single" w:color="auto" w:sz="6" w:space="0"/>
              <w:right w:val="single" w:color="auto" w:sz="6" w:space="0"/>
            </w:tcBorders>
            <w:vAlign w:val="center"/>
          </w:tcPr>
          <w:p w14:paraId="0E06642C">
            <w:pPr>
              <w:spacing w:line="560" w:lineRule="exact"/>
              <w:rPr>
                <w:rFonts w:hint="eastAsia" w:ascii="宋体" w:hAnsi="宋体" w:eastAsia="宋体" w:cs="宋体"/>
                <w:color w:val="auto"/>
                <w:sz w:val="24"/>
                <w:szCs w:val="24"/>
                <w:highlight w:val="none"/>
              </w:rPr>
            </w:pPr>
          </w:p>
        </w:tc>
        <w:tc>
          <w:tcPr>
            <w:tcW w:w="7568" w:type="dxa"/>
            <w:tcBorders>
              <w:top w:val="single" w:color="auto" w:sz="6" w:space="0"/>
              <w:left w:val="single" w:color="auto" w:sz="6" w:space="0"/>
              <w:bottom w:val="single" w:color="auto" w:sz="6" w:space="0"/>
              <w:right w:val="single" w:color="auto" w:sz="6" w:space="0"/>
            </w:tcBorders>
            <w:vAlign w:val="center"/>
          </w:tcPr>
          <w:p w14:paraId="48D2113A">
            <w:pPr>
              <w:spacing w:line="560" w:lineRule="exact"/>
              <w:rPr>
                <w:rFonts w:hint="eastAsia" w:ascii="宋体" w:hAnsi="宋体" w:eastAsia="宋体" w:cs="宋体"/>
                <w:color w:val="auto"/>
                <w:sz w:val="24"/>
                <w:szCs w:val="24"/>
                <w:highlight w:val="none"/>
              </w:rPr>
            </w:pPr>
          </w:p>
        </w:tc>
      </w:tr>
    </w:tbl>
    <w:p w14:paraId="1FAB85DE">
      <w:pPr>
        <w:spacing w:line="360" w:lineRule="auto"/>
        <w:rPr>
          <w:rFonts w:asciiTheme="minorEastAsia" w:hAnsiTheme="minorEastAsia" w:eastAsiaTheme="minorEastAsia"/>
          <w:color w:val="auto"/>
          <w:sz w:val="24"/>
          <w:highlight w:val="none"/>
        </w:rPr>
      </w:pPr>
    </w:p>
    <w:p w14:paraId="02ABD43E">
      <w:pPr>
        <w:widowControl/>
        <w:jc w:val="lef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br w:type="page"/>
      </w:r>
    </w:p>
    <w:bookmarkEnd w:id="423"/>
    <w:p w14:paraId="557A8F2F">
      <w:pPr>
        <w:pStyle w:val="2"/>
        <w:keepNext/>
        <w:keepLines/>
        <w:pageBreakBefore w:val="0"/>
        <w:widowControl w:val="0"/>
        <w:numPr>
          <w:ilvl w:val="0"/>
          <w:numId w:val="0"/>
        </w:numPr>
        <w:kinsoku/>
        <w:wordWrap/>
        <w:overflowPunct/>
        <w:topLinePunct w:val="0"/>
        <w:autoSpaceDE/>
        <w:autoSpaceDN/>
        <w:bidi w:val="0"/>
        <w:adjustRightInd/>
        <w:snapToGrid/>
        <w:spacing w:before="100" w:after="90" w:line="360" w:lineRule="auto"/>
        <w:ind w:left="420" w:leftChars="0" w:hanging="420" w:firstLineChars="0"/>
        <w:textAlignment w:val="auto"/>
        <w:rPr>
          <w:rFonts w:hint="eastAsia" w:ascii="宋体" w:hAnsi="宋体" w:eastAsia="黑体" w:cstheme="minorBidi"/>
          <w:b/>
          <w:bCs/>
          <w:color w:val="auto"/>
          <w:kern w:val="44"/>
          <w:sz w:val="44"/>
          <w:szCs w:val="44"/>
          <w:highlight w:val="none"/>
          <w:lang w:val="en-US" w:eastAsia="zh-CN" w:bidi="ar-SA"/>
        </w:rPr>
      </w:pPr>
      <w:bookmarkStart w:id="603" w:name="_Toc155185919"/>
    </w:p>
    <w:p w14:paraId="72D513E7">
      <w:pPr>
        <w:pStyle w:val="2"/>
        <w:keepNext/>
        <w:keepLines/>
        <w:pageBreakBefore w:val="0"/>
        <w:widowControl w:val="0"/>
        <w:numPr>
          <w:ilvl w:val="0"/>
          <w:numId w:val="0"/>
        </w:numPr>
        <w:kinsoku/>
        <w:wordWrap/>
        <w:overflowPunct/>
        <w:topLinePunct w:val="0"/>
        <w:autoSpaceDE/>
        <w:autoSpaceDN/>
        <w:bidi w:val="0"/>
        <w:adjustRightInd/>
        <w:snapToGrid/>
        <w:spacing w:before="100" w:after="90" w:line="360" w:lineRule="auto"/>
        <w:ind w:left="420" w:leftChars="0" w:hanging="420" w:firstLineChars="0"/>
        <w:textAlignment w:val="auto"/>
        <w:rPr>
          <w:rFonts w:hint="eastAsia" w:ascii="宋体" w:hAnsi="宋体" w:eastAsia="黑体" w:cstheme="minorBidi"/>
          <w:b/>
          <w:bCs/>
          <w:color w:val="auto"/>
          <w:kern w:val="44"/>
          <w:sz w:val="44"/>
          <w:szCs w:val="44"/>
          <w:highlight w:val="none"/>
          <w:lang w:val="en-US" w:eastAsia="zh-CN" w:bidi="ar-SA"/>
        </w:rPr>
      </w:pPr>
    </w:p>
    <w:p w14:paraId="5CAF3138">
      <w:pPr>
        <w:pStyle w:val="2"/>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604" w:name="_Toc21885"/>
      <w:bookmarkStart w:id="605" w:name="_Toc15871"/>
      <w:r>
        <w:rPr>
          <w:rFonts w:hint="eastAsia" w:ascii="宋体" w:hAnsi="宋体" w:eastAsia="宋体" w:cs="宋体"/>
          <w:b/>
          <w:bCs/>
          <w:color w:val="auto"/>
          <w:kern w:val="44"/>
          <w:sz w:val="36"/>
          <w:szCs w:val="36"/>
          <w:highlight w:val="none"/>
          <w:lang w:val="en-US" w:eastAsia="zh-CN" w:bidi="ar-SA"/>
        </w:rPr>
        <w:t>第七章 投标文件格式</w:t>
      </w:r>
      <w:bookmarkEnd w:id="603"/>
      <w:bookmarkEnd w:id="604"/>
      <w:bookmarkEnd w:id="605"/>
    </w:p>
    <w:p w14:paraId="20B1063D">
      <w:pPr>
        <w:ind w:left="240" w:leftChars="100" w:firstLine="480" w:firstLineChars="200"/>
        <w:rPr>
          <w:rFonts w:cs="仿宋_GB2312"/>
          <w:color w:val="auto"/>
          <w:szCs w:val="24"/>
          <w:highlight w:val="none"/>
        </w:rPr>
      </w:pPr>
    </w:p>
    <w:p w14:paraId="29D44C55">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244DD0F1">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09EDECB5">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75F9B001">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12E1D158">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4E6822E5">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62CA045B">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3893E9FD">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495452EF">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0AA66CC1">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369FA17D">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572E3CAE">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5565C3EB">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07DA079A">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6E15166A">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63A9983C">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748F8DEC">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6F52A8AF">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42FC05CF">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761F2B5A">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599474F0">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5390F1A2">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4A93A46C">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3C290983">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155D68F1">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1025489F">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308F138C">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2CDCE37B">
      <w:pPr>
        <w:ind w:firstLine="480" w:firstLineChars="200"/>
        <w:rPr>
          <w:rFonts w:hint="eastAsia" w:cs="仿宋_GB2312"/>
          <w:color w:val="auto"/>
          <w:szCs w:val="24"/>
          <w:highlight w:val="none"/>
          <w:lang w:val="zh-CN"/>
        </w:rPr>
      </w:pPr>
    </w:p>
    <w:p w14:paraId="3D40132F">
      <w:pPr>
        <w:ind w:firstLine="480" w:firstLineChars="200"/>
        <w:rPr>
          <w:rFonts w:hint="eastAsia" w:cs="仿宋_GB2312"/>
          <w:color w:val="auto"/>
          <w:szCs w:val="24"/>
          <w:highlight w:val="none"/>
          <w:lang w:val="zh-CN"/>
        </w:rPr>
      </w:pPr>
    </w:p>
    <w:p w14:paraId="375DA883">
      <w:pPr>
        <w:ind w:firstLine="480" w:firstLineChars="200"/>
        <w:rPr>
          <w:rFonts w:cs="仿宋_GB2312"/>
          <w:color w:val="auto"/>
          <w:szCs w:val="24"/>
          <w:highlight w:val="none"/>
          <w:lang w:val="zh-CN"/>
        </w:rPr>
      </w:pPr>
      <w:r>
        <w:rPr>
          <w:rFonts w:hint="eastAsia" w:cs="仿宋_GB2312"/>
          <w:color w:val="auto"/>
          <w:szCs w:val="24"/>
          <w:highlight w:val="none"/>
          <w:lang w:val="zh-CN"/>
        </w:rPr>
        <w:t>封面：</w:t>
      </w:r>
    </w:p>
    <w:p w14:paraId="6466A4DC">
      <w:pPr>
        <w:autoSpaceDE w:val="0"/>
        <w:autoSpaceDN w:val="0"/>
        <w:adjustRightInd w:val="0"/>
        <w:rPr>
          <w:color w:val="auto"/>
          <w:sz w:val="21"/>
          <w:szCs w:val="24"/>
          <w:highlight w:val="none"/>
        </w:rPr>
      </w:pPr>
    </w:p>
    <w:p w14:paraId="445E5BF7">
      <w:pPr>
        <w:autoSpaceDE w:val="0"/>
        <w:autoSpaceDN w:val="0"/>
        <w:adjustRightInd w:val="0"/>
        <w:rPr>
          <w:color w:val="auto"/>
          <w:sz w:val="21"/>
          <w:szCs w:val="24"/>
          <w:highlight w:val="none"/>
        </w:rPr>
      </w:pPr>
    </w:p>
    <w:p w14:paraId="4BD0E164">
      <w:pPr>
        <w:autoSpaceDE w:val="0"/>
        <w:autoSpaceDN w:val="0"/>
        <w:adjustRightInd w:val="0"/>
        <w:jc w:val="center"/>
        <w:rPr>
          <w:color w:val="auto"/>
          <w:sz w:val="21"/>
          <w:szCs w:val="24"/>
          <w:highlight w:val="none"/>
        </w:rPr>
      </w:pPr>
    </w:p>
    <w:p w14:paraId="2280C3BA">
      <w:pPr>
        <w:autoSpaceDE w:val="0"/>
        <w:autoSpaceDN w:val="0"/>
        <w:adjustRightInd w:val="0"/>
        <w:jc w:val="center"/>
        <w:rPr>
          <w:b/>
          <w:color w:val="auto"/>
          <w:sz w:val="84"/>
          <w:szCs w:val="84"/>
          <w:highlight w:val="none"/>
        </w:rPr>
      </w:pPr>
      <w:r>
        <w:rPr>
          <w:rFonts w:hint="eastAsia"/>
          <w:b/>
          <w:color w:val="auto"/>
          <w:sz w:val="84"/>
          <w:szCs w:val="84"/>
          <w:highlight w:val="none"/>
        </w:rPr>
        <w:t>投 标 文 件</w:t>
      </w:r>
    </w:p>
    <w:p w14:paraId="0FA5F802">
      <w:pPr>
        <w:autoSpaceDE w:val="0"/>
        <w:autoSpaceDN w:val="0"/>
        <w:adjustRightInd w:val="0"/>
        <w:jc w:val="center"/>
        <w:rPr>
          <w:b/>
          <w:color w:val="auto"/>
          <w:sz w:val="56"/>
          <w:szCs w:val="56"/>
          <w:highlight w:val="none"/>
        </w:rPr>
      </w:pPr>
      <w:r>
        <w:rPr>
          <w:rFonts w:hint="eastAsia"/>
          <w:b/>
          <w:color w:val="auto"/>
          <w:sz w:val="56"/>
          <w:szCs w:val="56"/>
          <w:highlight w:val="none"/>
        </w:rPr>
        <w:t>资格证明文件</w:t>
      </w:r>
    </w:p>
    <w:p w14:paraId="66E88D4F">
      <w:pPr>
        <w:autoSpaceDE w:val="0"/>
        <w:autoSpaceDN w:val="0"/>
        <w:adjustRightInd w:val="0"/>
        <w:rPr>
          <w:b/>
          <w:bCs/>
          <w:color w:val="auto"/>
          <w:sz w:val="22"/>
          <w:highlight w:val="none"/>
        </w:rPr>
      </w:pPr>
    </w:p>
    <w:p w14:paraId="537F8D86">
      <w:pPr>
        <w:autoSpaceDE w:val="0"/>
        <w:autoSpaceDN w:val="0"/>
        <w:adjustRightInd w:val="0"/>
        <w:jc w:val="center"/>
        <w:rPr>
          <w:rFonts w:hint="eastAsia" w:eastAsia="宋体"/>
          <w:color w:val="auto"/>
          <w:sz w:val="36"/>
          <w:szCs w:val="36"/>
          <w:highlight w:val="none"/>
          <w:lang w:eastAsia="zh-CN"/>
        </w:rPr>
      </w:pPr>
      <w:r>
        <w:rPr>
          <w:rFonts w:hint="eastAsia"/>
          <w:color w:val="auto"/>
          <w:sz w:val="36"/>
          <w:szCs w:val="36"/>
          <w:highlight w:val="none"/>
          <w:lang w:val="en-US" w:eastAsia="zh-CN"/>
        </w:rPr>
        <w:t>（第XX包</w:t>
      </w:r>
      <w:r>
        <w:rPr>
          <w:rFonts w:hint="eastAsia"/>
          <w:color w:val="auto"/>
          <w:sz w:val="36"/>
          <w:szCs w:val="36"/>
          <w:highlight w:val="none"/>
          <w:lang w:eastAsia="zh-CN"/>
        </w:rPr>
        <w:t>）【</w:t>
      </w:r>
      <w:r>
        <w:rPr>
          <w:rFonts w:hint="eastAsia"/>
          <w:color w:val="auto"/>
          <w:sz w:val="36"/>
          <w:szCs w:val="36"/>
          <w:highlight w:val="none"/>
          <w:lang w:val="en-US" w:eastAsia="zh-CN"/>
        </w:rPr>
        <w:t>如不分包，请删去本行</w:t>
      </w:r>
      <w:r>
        <w:rPr>
          <w:rFonts w:hint="eastAsia"/>
          <w:color w:val="auto"/>
          <w:sz w:val="36"/>
          <w:szCs w:val="36"/>
          <w:highlight w:val="none"/>
          <w:lang w:eastAsia="zh-CN"/>
        </w:rPr>
        <w:t>】</w:t>
      </w:r>
    </w:p>
    <w:p w14:paraId="026E8C70">
      <w:pPr>
        <w:autoSpaceDE w:val="0"/>
        <w:autoSpaceDN w:val="0"/>
        <w:adjustRightInd w:val="0"/>
        <w:rPr>
          <w:color w:val="auto"/>
          <w:sz w:val="21"/>
          <w:szCs w:val="21"/>
          <w:highlight w:val="none"/>
        </w:rPr>
      </w:pPr>
    </w:p>
    <w:p w14:paraId="2874C375">
      <w:pPr>
        <w:pStyle w:val="3"/>
        <w:rPr>
          <w:color w:val="auto"/>
          <w:highlight w:val="none"/>
        </w:rPr>
      </w:pPr>
    </w:p>
    <w:p w14:paraId="2085130F">
      <w:pPr>
        <w:autoSpaceDE w:val="0"/>
        <w:autoSpaceDN w:val="0"/>
        <w:adjustRightInd w:val="0"/>
        <w:rPr>
          <w:color w:val="auto"/>
          <w:sz w:val="21"/>
          <w:szCs w:val="21"/>
          <w:highlight w:val="none"/>
        </w:rPr>
      </w:pPr>
    </w:p>
    <w:p w14:paraId="39700BDA">
      <w:pPr>
        <w:autoSpaceDE w:val="0"/>
        <w:autoSpaceDN w:val="0"/>
        <w:adjustRightInd w:val="0"/>
        <w:rPr>
          <w:color w:val="auto"/>
          <w:sz w:val="21"/>
          <w:szCs w:val="21"/>
          <w:highlight w:val="none"/>
        </w:rPr>
      </w:pPr>
    </w:p>
    <w:p w14:paraId="6334E3E2">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5A643116">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2710CA78">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投</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标</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人：</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7A39596D">
      <w:pPr>
        <w:ind w:left="840" w:firstLine="420"/>
        <w:rPr>
          <w:b/>
          <w:bCs/>
          <w:color w:val="auto"/>
          <w:sz w:val="28"/>
          <w:szCs w:val="28"/>
          <w:highlight w:val="none"/>
        </w:rPr>
      </w:pPr>
    </w:p>
    <w:p w14:paraId="528FBB22">
      <w:pPr>
        <w:ind w:left="840" w:firstLine="420"/>
        <w:rPr>
          <w:b/>
          <w:bCs/>
          <w:color w:val="auto"/>
          <w:sz w:val="28"/>
          <w:szCs w:val="28"/>
          <w:highlight w:val="none"/>
        </w:rPr>
      </w:pPr>
    </w:p>
    <w:p w14:paraId="0613F091">
      <w:pPr>
        <w:ind w:left="840" w:firstLine="420"/>
        <w:rPr>
          <w:b/>
          <w:bCs/>
          <w:color w:val="auto"/>
          <w:sz w:val="28"/>
          <w:szCs w:val="28"/>
          <w:highlight w:val="none"/>
        </w:rPr>
      </w:pPr>
    </w:p>
    <w:p w14:paraId="2330D405">
      <w:pPr>
        <w:jc w:val="center"/>
        <w:rPr>
          <w:rFonts w:ascii="黑体" w:hAnsi="黑体" w:eastAsia="黑体"/>
          <w:color w:val="auto"/>
          <w:sz w:val="32"/>
          <w:szCs w:val="32"/>
          <w:highlight w:val="none"/>
        </w:rPr>
      </w:pPr>
      <w:r>
        <w:rPr>
          <w:rFonts w:hint="eastAsia" w:ascii="宋体" w:hAnsi="宋体" w:eastAsia="宋体" w:cs="宋体"/>
          <w:color w:val="auto"/>
          <w:sz w:val="32"/>
          <w:szCs w:val="32"/>
          <w:highlight w:val="none"/>
        </w:rPr>
        <w:t>年   月    日</w:t>
      </w:r>
    </w:p>
    <w:p w14:paraId="6447D651">
      <w:pPr>
        <w:rPr>
          <w:color w:val="auto"/>
          <w:highlight w:val="none"/>
          <w:lang w:val="zh-CN"/>
        </w:rPr>
      </w:pPr>
      <w:r>
        <w:rPr>
          <w:color w:val="auto"/>
          <w:highlight w:val="none"/>
          <w:lang w:val="zh-CN"/>
        </w:rPr>
        <w:br w:type="page"/>
      </w:r>
    </w:p>
    <w:p w14:paraId="6DBE2CDA">
      <w:pPr>
        <w:rPr>
          <w:color w:val="auto"/>
          <w:highlight w:val="none"/>
          <w:lang w:val="zh-CN"/>
        </w:rPr>
      </w:pPr>
    </w:p>
    <w:p w14:paraId="215FC2E3">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606" w:name="_Toc28637"/>
      <w:bookmarkStart w:id="607" w:name="_Toc325"/>
      <w:bookmarkStart w:id="608" w:name="_Toc155185927"/>
      <w:r>
        <w:rPr>
          <w:rFonts w:hint="eastAsia" w:eastAsia="宋体" w:asciiTheme="majorHAnsi" w:hAnsiTheme="majorHAnsi" w:cstheme="majorBidi"/>
          <w:b/>
          <w:bCs/>
          <w:color w:val="auto"/>
          <w:kern w:val="2"/>
          <w:sz w:val="28"/>
          <w:szCs w:val="28"/>
          <w:highlight w:val="none"/>
          <w:lang w:val="en-US" w:eastAsia="zh-CN" w:bidi="ar-SA"/>
        </w:rPr>
        <w:t>一、满足《中华人民共和国政府采购法》第二十二条规定</w:t>
      </w:r>
      <w:bookmarkEnd w:id="606"/>
      <w:bookmarkEnd w:id="607"/>
    </w:p>
    <w:bookmarkEnd w:id="608"/>
    <w:p w14:paraId="4C032460">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（一）法人、其他组织或者自然人的证明文件</w:t>
      </w:r>
    </w:p>
    <w:p w14:paraId="2881C92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1、投标人</w:t>
      </w:r>
      <w:r>
        <w:rPr>
          <w:rFonts w:hint="eastAsia" w:ascii="宋体" w:hAnsi="宋体" w:eastAsia="宋体" w:cs="宋体"/>
          <w:b w:val="0"/>
          <w:bCs w:val="0"/>
          <w:color w:val="auto"/>
          <w:kern w:val="0"/>
          <w:sz w:val="24"/>
          <w:szCs w:val="24"/>
          <w:highlight w:val="none"/>
          <w:lang w:val="en-US" w:eastAsia="zh-CN"/>
        </w:rPr>
        <w:t>为企业（包括合伙企业）的，应提供有效的“营业执照”；</w:t>
      </w:r>
    </w:p>
    <w:p w14:paraId="1CA280B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2、投标人</w:t>
      </w:r>
      <w:r>
        <w:rPr>
          <w:rFonts w:hint="eastAsia" w:ascii="宋体" w:hAnsi="宋体" w:eastAsia="宋体" w:cs="宋体"/>
          <w:b w:val="0"/>
          <w:bCs w:val="0"/>
          <w:color w:val="auto"/>
          <w:kern w:val="0"/>
          <w:sz w:val="24"/>
          <w:szCs w:val="24"/>
          <w:highlight w:val="none"/>
          <w:lang w:val="en-US" w:eastAsia="zh-CN"/>
        </w:rPr>
        <w:t>为事业单位的，应提供有效的“事业单位法人证书”；</w:t>
      </w:r>
    </w:p>
    <w:p w14:paraId="4C09FDB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3、投标人</w:t>
      </w:r>
      <w:r>
        <w:rPr>
          <w:rFonts w:hint="eastAsia" w:ascii="宋体" w:hAnsi="宋体" w:eastAsia="宋体" w:cs="宋体"/>
          <w:b w:val="0"/>
          <w:bCs w:val="0"/>
          <w:color w:val="auto"/>
          <w:kern w:val="0"/>
          <w:sz w:val="24"/>
          <w:szCs w:val="24"/>
          <w:highlight w:val="none"/>
          <w:lang w:val="en-US" w:eastAsia="zh-CN"/>
        </w:rPr>
        <w:t>为非企业机构的，应提供有效的“执业许可证”、“登记证书”等证明文件；</w:t>
      </w:r>
    </w:p>
    <w:p w14:paraId="3239349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4、投标人</w:t>
      </w:r>
      <w:r>
        <w:rPr>
          <w:rFonts w:hint="eastAsia" w:ascii="宋体" w:hAnsi="宋体" w:eastAsia="宋体" w:cs="宋体"/>
          <w:b w:val="0"/>
          <w:bCs w:val="0"/>
          <w:color w:val="auto"/>
          <w:kern w:val="0"/>
          <w:sz w:val="24"/>
          <w:szCs w:val="24"/>
          <w:highlight w:val="none"/>
          <w:lang w:val="en-US" w:eastAsia="zh-CN"/>
        </w:rPr>
        <w:t>是个体工商户的，应提供有效的“个体工商户营业执照”；</w:t>
      </w:r>
    </w:p>
    <w:p w14:paraId="47F836A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5、投标人</w:t>
      </w:r>
      <w:r>
        <w:rPr>
          <w:rFonts w:hint="eastAsia" w:ascii="宋体" w:hAnsi="宋体" w:eastAsia="宋体" w:cs="宋体"/>
          <w:b w:val="0"/>
          <w:bCs w:val="0"/>
          <w:color w:val="auto"/>
          <w:kern w:val="0"/>
          <w:sz w:val="24"/>
          <w:szCs w:val="24"/>
          <w:highlight w:val="none"/>
          <w:lang w:val="en-US" w:eastAsia="zh-CN"/>
        </w:rPr>
        <w:t>是自然人的，应提供有效的自然人身份证明</w:t>
      </w:r>
      <w:r>
        <w:rPr>
          <w:rFonts w:hint="eastAsia" w:cs="宋体"/>
          <w:b w:val="0"/>
          <w:bCs w:val="0"/>
          <w:color w:val="auto"/>
          <w:kern w:val="0"/>
          <w:sz w:val="24"/>
          <w:szCs w:val="24"/>
          <w:highlight w:val="none"/>
          <w:lang w:val="en-US" w:eastAsia="zh-CN"/>
        </w:rPr>
        <w:t>。</w:t>
      </w:r>
    </w:p>
    <w:p w14:paraId="77687BE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p>
    <w:p w14:paraId="2FE2A9CA">
      <w:pP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br w:type="page"/>
      </w:r>
    </w:p>
    <w:p w14:paraId="6FC7F68F">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0" w:leftChars="0" w:firstLine="0" w:firstLineChars="0"/>
        <w:textAlignment w:val="auto"/>
        <w:rPr>
          <w:rFonts w:hint="eastAsia" w:eastAsia="宋体" w:cstheme="majorBidi"/>
          <w:b/>
          <w:bCs/>
          <w:color w:val="auto"/>
          <w:kern w:val="2"/>
          <w:sz w:val="24"/>
          <w:szCs w:val="24"/>
          <w:highlight w:val="none"/>
          <w:lang w:val="en-US" w:eastAsia="zh-CN" w:bidi="ar-SA"/>
        </w:rPr>
      </w:pPr>
      <w:bookmarkStart w:id="609" w:name="_Toc24929"/>
      <w:bookmarkStart w:id="610" w:name="_Toc30693"/>
      <w:r>
        <w:rPr>
          <w:rFonts w:hint="eastAsia" w:eastAsia="宋体" w:cstheme="majorBidi"/>
          <w:b/>
          <w:bCs/>
          <w:color w:val="auto"/>
          <w:kern w:val="2"/>
          <w:sz w:val="24"/>
          <w:szCs w:val="24"/>
          <w:highlight w:val="none"/>
          <w:lang w:val="en-US" w:eastAsia="zh-CN" w:bidi="ar-SA"/>
        </w:rPr>
        <w:t>（二）兵团政府采购供应商信用承诺函</w:t>
      </w:r>
      <w:bookmarkEnd w:id="609"/>
      <w:bookmarkEnd w:id="610"/>
    </w:p>
    <w:p w14:paraId="695B752A">
      <w:pPr>
        <w:spacing w:line="560" w:lineRule="exac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单位名称</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自然人姓名</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1BF1CBCB">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统一社会信用代码</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身份证号码</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314E343E">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负责人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2F4CE840">
      <w:pPr>
        <w:spacing w:line="560" w:lineRule="exact"/>
        <w:ind w:firstLine="480" w:firstLineChars="200"/>
        <w:rPr>
          <w:rFonts w:hint="eastAsia" w:ascii="宋体" w:hAnsi="宋体" w:eastAsia="宋体" w:cs="宋体"/>
          <w:color w:val="auto"/>
          <w:kern w:val="0"/>
          <w:sz w:val="24"/>
          <w:szCs w:val="24"/>
          <w:highlight w:val="none"/>
        </w:rPr>
      </w:pPr>
    </w:p>
    <w:p w14:paraId="776D8704">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我单位</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自愿参加本次政府采购活动，严格遵守《中华人民共和国政府采购法》及相关法律法规，坚守公开、公平、公正和诚实信用等原则，依法诚信经营，并郑重承诺：    </w:t>
      </w:r>
    </w:p>
    <w:p w14:paraId="353CD750">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一、我单位</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符合《中华人民共和国政府采购法》第二十二条规定：</w:t>
      </w:r>
    </w:p>
    <w:p w14:paraId="6C579D2A">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一</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具有独立承担民事责任的能力;</w:t>
      </w:r>
    </w:p>
    <w:p w14:paraId="1253879B">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（二）</w:t>
      </w:r>
      <w:r>
        <w:rPr>
          <w:rFonts w:hint="eastAsia" w:ascii="宋体" w:hAnsi="宋体" w:eastAsia="宋体" w:cs="宋体"/>
          <w:color w:val="auto"/>
          <w:kern w:val="0"/>
          <w:sz w:val="24"/>
          <w:szCs w:val="24"/>
          <w:highlight w:val="none"/>
        </w:rPr>
        <w:t>具有良好的商业信誉和健全的财务会计制度;</w:t>
      </w:r>
    </w:p>
    <w:p w14:paraId="550B1CDF">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（三）</w:t>
      </w:r>
      <w:r>
        <w:rPr>
          <w:rFonts w:hint="eastAsia" w:ascii="宋体" w:hAnsi="宋体" w:eastAsia="宋体" w:cs="宋体"/>
          <w:color w:val="auto"/>
          <w:kern w:val="0"/>
          <w:sz w:val="24"/>
          <w:szCs w:val="24"/>
          <w:highlight w:val="none"/>
        </w:rPr>
        <w:t>具有履行合同所必需的设备和专业技术能力;</w:t>
      </w:r>
    </w:p>
    <w:p w14:paraId="221E549B">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（四）</w:t>
      </w:r>
      <w:r>
        <w:rPr>
          <w:rFonts w:hint="eastAsia" w:ascii="宋体" w:hAnsi="宋体" w:eastAsia="宋体" w:cs="宋体"/>
          <w:color w:val="auto"/>
          <w:kern w:val="0"/>
          <w:sz w:val="24"/>
          <w:szCs w:val="24"/>
          <w:highlight w:val="none"/>
        </w:rPr>
        <w:t>有依法缴纳税收和社会保障资金的良好记录;</w:t>
      </w:r>
    </w:p>
    <w:p w14:paraId="56D831AE">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（五）</w:t>
      </w:r>
      <w:r>
        <w:rPr>
          <w:rFonts w:hint="eastAsia" w:ascii="宋体" w:hAnsi="宋体" w:eastAsia="宋体" w:cs="宋体"/>
          <w:color w:val="auto"/>
          <w:kern w:val="0"/>
          <w:sz w:val="24"/>
          <w:szCs w:val="24"/>
          <w:highlight w:val="none"/>
        </w:rPr>
        <w:t>参加政府采购活动前三年内，在经营活动中没有重大违法记录;</w:t>
      </w:r>
    </w:p>
    <w:p w14:paraId="126A1FC2">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（六）</w:t>
      </w:r>
      <w:r>
        <w:rPr>
          <w:rFonts w:hint="eastAsia" w:ascii="宋体" w:hAnsi="宋体" w:eastAsia="宋体" w:cs="宋体"/>
          <w:color w:val="auto"/>
          <w:kern w:val="0"/>
          <w:sz w:val="24"/>
          <w:szCs w:val="24"/>
          <w:highlight w:val="none"/>
        </w:rPr>
        <w:t>符合法律、行政法规规定的其他条件。</w:t>
      </w:r>
    </w:p>
    <w:p w14:paraId="48BFD221">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二、我单位</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未被列入严重违法失信名单、失信被执行人</w:t>
      </w:r>
      <w:r>
        <w:rPr>
          <w:rFonts w:hint="eastAsia" w:ascii="宋体" w:hAnsi="宋体" w:eastAsia="宋体" w:cs="宋体"/>
          <w:color w:val="auto"/>
          <w:kern w:val="0"/>
          <w:sz w:val="24"/>
          <w:szCs w:val="24"/>
          <w:highlight w:val="none"/>
          <w:lang w:eastAsia="zh-CN"/>
        </w:rPr>
        <w:t>名单</w:t>
      </w:r>
      <w:r>
        <w:rPr>
          <w:rFonts w:hint="eastAsia" w:ascii="宋体" w:hAnsi="宋体" w:eastAsia="宋体" w:cs="宋体"/>
          <w:color w:val="auto"/>
          <w:kern w:val="0"/>
          <w:sz w:val="24"/>
          <w:szCs w:val="24"/>
          <w:highlight w:val="none"/>
        </w:rPr>
        <w:t>、重大税收违法失信主体、政府采购严重违法失信行为记录名</w:t>
      </w:r>
      <w:r>
        <w:rPr>
          <w:rFonts w:hint="eastAsia" w:ascii="宋体" w:hAnsi="宋体" w:eastAsia="宋体" w:cs="宋体"/>
          <w:color w:val="auto"/>
          <w:kern w:val="0"/>
          <w:sz w:val="24"/>
          <w:szCs w:val="24"/>
          <w:highlight w:val="none"/>
          <w:lang w:eastAsia="zh-CN"/>
        </w:rPr>
        <w:t>单</w:t>
      </w:r>
      <w:r>
        <w:rPr>
          <w:rFonts w:hint="eastAsia" w:ascii="宋体" w:hAnsi="宋体" w:eastAsia="宋体" w:cs="宋体"/>
          <w:color w:val="auto"/>
          <w:kern w:val="0"/>
          <w:sz w:val="24"/>
          <w:szCs w:val="24"/>
          <w:highlight w:val="none"/>
        </w:rPr>
        <w:t>。</w:t>
      </w:r>
    </w:p>
    <w:p w14:paraId="30747A83">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三、如果本公司（本人）有幸中标（成交），在合同签订之前，采购单位有权要求本公司（本人）提供资格证明材料原件进行核验。</w:t>
      </w:r>
    </w:p>
    <w:p w14:paraId="663B7525">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四、我单位</w:t>
      </w:r>
      <w:r>
        <w:rPr>
          <w:rFonts w:hint="eastAsia" w:ascii="宋体" w:hAnsi="宋体" w:eastAsia="宋体" w:cs="宋体"/>
          <w:color w:val="auto"/>
          <w:kern w:val="0"/>
          <w:sz w:val="24"/>
          <w:szCs w:val="24"/>
          <w:highlight w:val="none"/>
          <w:lang w:eastAsia="zh-CN"/>
        </w:rPr>
        <w:t>（本人）</w:t>
      </w:r>
      <w:r>
        <w:rPr>
          <w:rFonts w:hint="eastAsia" w:ascii="宋体" w:hAnsi="宋体" w:eastAsia="宋体" w:cs="宋体"/>
          <w:color w:val="auto"/>
          <w:kern w:val="0"/>
          <w:sz w:val="24"/>
          <w:szCs w:val="24"/>
          <w:highlight w:val="none"/>
        </w:rPr>
        <w:t>保证上述承诺事项的真实性。如有弄虚作假或其他违法违规行为，自愿按照规定将违背承诺行为作为失信行为记录到社会信用信息平台，并视同为“提供虚假材料谋取中标、成交”按照</w:t>
      </w:r>
      <w:r>
        <w:rPr>
          <w:rFonts w:hint="eastAsia"/>
          <w:color w:val="auto"/>
          <w:highlight w:val="none"/>
        </w:rPr>
        <w:t>《中华人民共和国政府采购法》</w:t>
      </w:r>
      <w:r>
        <w:rPr>
          <w:rFonts w:hint="eastAsia" w:ascii="宋体" w:hAnsi="宋体" w:eastAsia="宋体" w:cs="宋体"/>
          <w:color w:val="auto"/>
          <w:kern w:val="0"/>
          <w:sz w:val="24"/>
          <w:szCs w:val="24"/>
          <w:highlight w:val="none"/>
        </w:rPr>
        <w:t>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2B6C39AD">
      <w:pPr>
        <w:spacing w:line="560" w:lineRule="exact"/>
        <w:rPr>
          <w:rFonts w:hint="eastAsia" w:ascii="宋体" w:hAnsi="宋体" w:eastAsia="宋体" w:cs="宋体"/>
          <w:color w:val="auto"/>
          <w:kern w:val="0"/>
          <w:sz w:val="24"/>
          <w:szCs w:val="24"/>
          <w:highlight w:val="none"/>
        </w:rPr>
      </w:pPr>
    </w:p>
    <w:p w14:paraId="49F57DB1">
      <w:pPr>
        <w:spacing w:line="560" w:lineRule="exact"/>
        <w:rPr>
          <w:rFonts w:hint="eastAsia" w:ascii="宋体" w:hAnsi="宋体" w:eastAsia="宋体" w:cs="宋体"/>
          <w:color w:val="auto"/>
          <w:kern w:val="0"/>
          <w:sz w:val="24"/>
          <w:szCs w:val="24"/>
          <w:highlight w:val="none"/>
        </w:rPr>
      </w:pPr>
    </w:p>
    <w:p w14:paraId="5AA48816">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w:t>
      </w:r>
      <w:r>
        <w:rPr>
          <w:rFonts w:hint="eastAsia" w:cs="宋体"/>
          <w:color w:val="auto"/>
          <w:kern w:val="0"/>
          <w:sz w:val="24"/>
          <w:szCs w:val="24"/>
          <w:highlight w:val="none"/>
          <w:lang w:val="en-US" w:eastAsia="zh-CN"/>
        </w:rPr>
        <w:t>名称</w:t>
      </w:r>
      <w:r>
        <w:rPr>
          <w:rFonts w:hint="eastAsia" w:ascii="宋体" w:hAnsi="宋体" w:eastAsia="宋体" w:cs="宋体"/>
          <w:color w:val="auto"/>
          <w:kern w:val="0"/>
          <w:sz w:val="24"/>
          <w:szCs w:val="24"/>
          <w:highlight w:val="none"/>
          <w:lang w:eastAsia="zh-CN"/>
        </w:rPr>
        <w:t>（</w:t>
      </w:r>
      <w:r>
        <w:rPr>
          <w:rFonts w:hint="eastAsia" w:cs="宋体"/>
          <w:color w:val="auto"/>
          <w:kern w:val="0"/>
          <w:sz w:val="24"/>
          <w:szCs w:val="24"/>
          <w:highlight w:val="none"/>
          <w:lang w:eastAsia="zh-CN"/>
        </w:rPr>
        <w:t>公章</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45C65A8C">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负责人</w:t>
      </w:r>
      <w:r>
        <w:rPr>
          <w:rFonts w:hint="eastAsia" w:ascii="宋体" w:hAnsi="宋体" w:eastAsia="宋体" w:cs="宋体"/>
          <w:color w:val="auto"/>
          <w:kern w:val="0"/>
          <w:sz w:val="24"/>
          <w:szCs w:val="24"/>
          <w:highlight w:val="none"/>
          <w:lang w:val="en-US" w:eastAsia="zh-CN"/>
        </w:rPr>
        <w:t>或</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或授权代表</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签字或</w:t>
      </w:r>
      <w:r>
        <w:rPr>
          <w:rFonts w:hint="eastAsia" w:cs="宋体"/>
          <w:color w:val="auto"/>
          <w:kern w:val="0"/>
          <w:sz w:val="24"/>
          <w:szCs w:val="24"/>
          <w:highlight w:val="none"/>
          <w:lang w:eastAsia="zh-CN"/>
        </w:rPr>
        <w:t>盖</w:t>
      </w:r>
      <w:r>
        <w:rPr>
          <w:rFonts w:hint="eastAsia" w:ascii="宋体" w:hAnsi="宋体" w:eastAsia="宋体" w:cs="宋体"/>
          <w:color w:val="auto"/>
          <w:kern w:val="0"/>
          <w:sz w:val="24"/>
          <w:szCs w:val="24"/>
          <w:highlight w:val="none"/>
          <w:lang w:eastAsia="zh-CN"/>
        </w:rPr>
        <w:t>章）</w:t>
      </w:r>
      <w:r>
        <w:rPr>
          <w:rFonts w:hint="eastAsia" w:ascii="宋体" w:hAnsi="宋体" w:eastAsia="宋体" w:cs="宋体"/>
          <w:color w:val="auto"/>
          <w:kern w:val="0"/>
          <w:sz w:val="24"/>
          <w:szCs w:val="24"/>
          <w:highlight w:val="none"/>
        </w:rPr>
        <w:t>：</w:t>
      </w:r>
    </w:p>
    <w:p w14:paraId="524E5ADC">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 年 月 日</w:t>
      </w:r>
    </w:p>
    <w:p w14:paraId="2CB41018">
      <w:pPr>
        <w:widowControl/>
        <w:spacing w:line="560" w:lineRule="exact"/>
        <w:ind w:firstLine="630"/>
        <w:jc w:val="left"/>
        <w:rPr>
          <w:rFonts w:hint="eastAsia" w:ascii="宋体" w:hAnsi="宋体" w:eastAsia="宋体" w:cs="宋体"/>
          <w:color w:val="auto"/>
          <w:kern w:val="0"/>
          <w:sz w:val="24"/>
          <w:szCs w:val="24"/>
          <w:highlight w:val="none"/>
        </w:rPr>
      </w:pPr>
    </w:p>
    <w:p w14:paraId="67DF1B87">
      <w:pPr>
        <w:rPr>
          <w:rFonts w:ascii="Arial" w:hAnsi="Arial" w:cs="Arial"/>
          <w:color w:val="auto"/>
          <w:szCs w:val="21"/>
          <w:highlight w:val="none"/>
        </w:rPr>
      </w:pPr>
      <w:r>
        <w:rPr>
          <w:rFonts w:ascii="Arial" w:hAnsi="Arial" w:cs="Arial"/>
          <w:color w:val="auto"/>
          <w:szCs w:val="21"/>
          <w:highlight w:val="none"/>
        </w:rPr>
        <w:br w:type="page"/>
      </w:r>
    </w:p>
    <w:p w14:paraId="70BE810B">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zh-CN" w:eastAsia="zh-CN" w:bidi="ar-SA"/>
        </w:rPr>
      </w:pPr>
      <w:bookmarkStart w:id="611" w:name="_Toc163492923"/>
      <w:bookmarkStart w:id="612" w:name="_Toc109899917"/>
      <w:bookmarkStart w:id="613" w:name="_Toc109899498"/>
      <w:bookmarkStart w:id="614" w:name="_Toc155185930"/>
      <w:bookmarkStart w:id="615" w:name="_Toc109900336"/>
      <w:bookmarkStart w:id="616" w:name="_Toc140132840"/>
      <w:bookmarkStart w:id="617" w:name="_Toc3502"/>
      <w:bookmarkStart w:id="618" w:name="_Toc7882"/>
      <w:r>
        <w:rPr>
          <w:rFonts w:hint="eastAsia" w:cstheme="majorBidi"/>
          <w:b/>
          <w:bCs/>
          <w:color w:val="auto"/>
          <w:kern w:val="2"/>
          <w:sz w:val="28"/>
          <w:szCs w:val="28"/>
          <w:highlight w:val="none"/>
          <w:lang w:val="en-US" w:eastAsia="zh-CN" w:bidi="ar-SA"/>
        </w:rPr>
        <w:t>二</w:t>
      </w:r>
      <w:r>
        <w:rPr>
          <w:rFonts w:hint="eastAsia" w:eastAsia="宋体" w:asciiTheme="majorHAnsi" w:hAnsiTheme="majorHAnsi" w:cstheme="majorBidi"/>
          <w:b/>
          <w:bCs/>
          <w:color w:val="auto"/>
          <w:kern w:val="2"/>
          <w:sz w:val="28"/>
          <w:szCs w:val="28"/>
          <w:highlight w:val="none"/>
          <w:lang w:val="en-US" w:eastAsia="zh-CN" w:bidi="ar-SA"/>
        </w:rPr>
        <w:t>、</w:t>
      </w:r>
      <w:bookmarkEnd w:id="611"/>
      <w:bookmarkEnd w:id="612"/>
      <w:bookmarkEnd w:id="613"/>
      <w:bookmarkEnd w:id="614"/>
      <w:bookmarkEnd w:id="615"/>
      <w:bookmarkEnd w:id="616"/>
      <w:bookmarkStart w:id="619" w:name="_Toc155185931"/>
      <w:r>
        <w:rPr>
          <w:rFonts w:hint="eastAsia" w:eastAsia="宋体" w:asciiTheme="majorHAnsi" w:hAnsiTheme="majorHAnsi" w:cstheme="majorBidi"/>
          <w:b/>
          <w:bCs/>
          <w:color w:val="auto"/>
          <w:kern w:val="2"/>
          <w:sz w:val="28"/>
          <w:szCs w:val="28"/>
          <w:highlight w:val="none"/>
          <w:lang w:val="zh-CN" w:eastAsia="zh-CN" w:bidi="ar-SA"/>
        </w:rPr>
        <w:t>联合体协议书</w:t>
      </w:r>
      <w:bookmarkEnd w:id="619"/>
      <w:r>
        <w:rPr>
          <w:rFonts w:hint="eastAsia" w:ascii="宋体" w:hAnsi="宋体" w:eastAsia="宋体" w:cstheme="minorBidi"/>
          <w:b w:val="0"/>
          <w:bCs w:val="0"/>
          <w:color w:val="auto"/>
          <w:kern w:val="2"/>
          <w:sz w:val="28"/>
          <w:szCs w:val="28"/>
          <w:highlight w:val="none"/>
          <w:lang w:val="zh-CN" w:eastAsia="zh-CN" w:bidi="ar-SA"/>
        </w:rPr>
        <w:t>【如适用】</w:t>
      </w:r>
      <w:bookmarkEnd w:id="617"/>
      <w:bookmarkEnd w:id="618"/>
    </w:p>
    <w:p w14:paraId="39563C7F">
      <w:pPr>
        <w:snapToGrid w:val="0"/>
        <w:spacing w:line="360" w:lineRule="auto"/>
        <w:jc w:val="center"/>
        <w:outlineLvl w:val="0"/>
        <w:rPr>
          <w:rFonts w:hint="eastAsia" w:ascii="宋体" w:hAnsi="宋体" w:cs="宋体"/>
          <w:b/>
          <w:color w:val="auto"/>
          <w:kern w:val="0"/>
          <w:sz w:val="32"/>
          <w:szCs w:val="32"/>
          <w:highlight w:val="none"/>
        </w:rPr>
      </w:pPr>
    </w:p>
    <w:p w14:paraId="23E3BC9F">
      <w:pPr>
        <w:snapToGrid w:val="0"/>
        <w:spacing w:line="360" w:lineRule="auto"/>
        <w:jc w:val="center"/>
        <w:outlineLvl w:val="0"/>
        <w:rPr>
          <w:rFonts w:hint="eastAsia" w:ascii="宋体" w:hAnsi="宋体" w:cs="宋体"/>
          <w:b/>
          <w:color w:val="auto"/>
          <w:kern w:val="0"/>
          <w:sz w:val="32"/>
          <w:szCs w:val="32"/>
          <w:highlight w:val="none"/>
        </w:rPr>
      </w:pPr>
      <w:bookmarkStart w:id="620" w:name="_Toc919"/>
      <w:bookmarkStart w:id="621" w:name="_Toc24531"/>
      <w:r>
        <w:rPr>
          <w:rFonts w:hint="eastAsia" w:ascii="宋体" w:hAnsi="宋体" w:cs="宋体"/>
          <w:b/>
          <w:color w:val="auto"/>
          <w:kern w:val="0"/>
          <w:sz w:val="32"/>
          <w:szCs w:val="32"/>
          <w:highlight w:val="none"/>
        </w:rPr>
        <w:t>联合体协议书</w:t>
      </w:r>
      <w:bookmarkEnd w:id="620"/>
      <w:bookmarkEnd w:id="621"/>
    </w:p>
    <w:p w14:paraId="67954623">
      <w:pPr>
        <w:widowControl/>
        <w:spacing w:line="360" w:lineRule="auto"/>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（以联合体形式投标的，提供联合</w:t>
      </w:r>
      <w:r>
        <w:rPr>
          <w:rFonts w:hint="eastAsia" w:cs="宋体"/>
          <w:b/>
          <w:color w:val="auto"/>
          <w:sz w:val="24"/>
          <w:highlight w:val="none"/>
          <w:lang w:val="en-US" w:eastAsia="zh-CN"/>
        </w:rPr>
        <w:t>体</w:t>
      </w:r>
      <w:r>
        <w:rPr>
          <w:rFonts w:hint="eastAsia" w:ascii="宋体" w:hAnsi="宋体" w:cs="宋体"/>
          <w:b/>
          <w:color w:val="auto"/>
          <w:sz w:val="24"/>
          <w:highlight w:val="none"/>
        </w:rPr>
        <w:t>协议</w:t>
      </w:r>
      <w:r>
        <w:rPr>
          <w:rFonts w:hint="eastAsia" w:cs="宋体"/>
          <w:b/>
          <w:color w:val="auto"/>
          <w:sz w:val="24"/>
          <w:highlight w:val="none"/>
          <w:lang w:val="en-US" w:eastAsia="zh-CN"/>
        </w:rPr>
        <w:t>书</w:t>
      </w:r>
      <w:r>
        <w:rPr>
          <w:rFonts w:hint="eastAsia" w:ascii="宋体" w:hAnsi="宋体" w:cs="宋体"/>
          <w:b/>
          <w:color w:val="auto"/>
          <w:sz w:val="24"/>
          <w:highlight w:val="none"/>
        </w:rPr>
        <w:t>；本项目不接受联合体投标或者投标人不以联合体形式投标的，则不需要提供）</w:t>
      </w:r>
    </w:p>
    <w:p w14:paraId="14187E65">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（联合体所有成员名称）</w:t>
      </w:r>
      <w:r>
        <w:rPr>
          <w:rFonts w:hint="eastAsia" w:ascii="宋体" w:hAnsi="宋体" w:cs="宋体"/>
          <w:color w:val="auto"/>
          <w:kern w:val="0"/>
          <w:sz w:val="24"/>
          <w:highlight w:val="none"/>
        </w:rPr>
        <w:t>自愿</w:t>
      </w:r>
      <w:r>
        <w:rPr>
          <w:rFonts w:hint="eastAsia" w:ascii="宋体" w:hAnsi="宋体" w:cs="宋体"/>
          <w:color w:val="auto"/>
          <w:kern w:val="0"/>
          <w:sz w:val="24"/>
          <w:highlight w:val="none"/>
          <w:lang w:val="zh-CN"/>
        </w:rPr>
        <w:t>组成一个联合体，以一个投标人的身份</w:t>
      </w:r>
      <w:r>
        <w:rPr>
          <w:rFonts w:hint="eastAsia" w:ascii="宋体" w:hAnsi="宋体" w:cs="宋体"/>
          <w:color w:val="auto"/>
          <w:kern w:val="0"/>
          <w:sz w:val="24"/>
          <w:highlight w:val="none"/>
        </w:rPr>
        <w:t>参加</w:t>
      </w:r>
      <w:r>
        <w:rPr>
          <w:rFonts w:hint="eastAsia" w:ascii="宋体" w:hAnsi="宋体" w:cs="宋体"/>
          <w:color w:val="auto"/>
          <w:sz w:val="24"/>
          <w:highlight w:val="none"/>
        </w:rPr>
        <w:t>（项目名称）【</w:t>
      </w:r>
      <w:r>
        <w:rPr>
          <w:rFonts w:hint="eastAsia" w:cs="宋体"/>
          <w:color w:val="auto"/>
          <w:sz w:val="24"/>
          <w:highlight w:val="none"/>
          <w:lang w:val="en-US" w:eastAsia="zh-CN"/>
        </w:rPr>
        <w:t>项目</w:t>
      </w:r>
      <w:r>
        <w:rPr>
          <w:rFonts w:hint="eastAsia" w:ascii="宋体" w:hAnsi="宋体" w:cs="宋体"/>
          <w:color w:val="auto"/>
          <w:sz w:val="24"/>
          <w:highlight w:val="none"/>
        </w:rPr>
        <w:t>编号</w:t>
      </w:r>
      <w:r>
        <w:rPr>
          <w:rFonts w:hint="eastAsia" w:cs="宋体"/>
          <w:color w:val="auto"/>
          <w:sz w:val="24"/>
          <w:highlight w:val="none"/>
          <w:lang w:val="en-US" w:eastAsia="zh-CN"/>
        </w:rPr>
        <w:t>/包号</w:t>
      </w:r>
      <w:r>
        <w:rPr>
          <w:rFonts w:hint="eastAsia" w:ascii="宋体" w:hAnsi="宋体" w:cs="宋体"/>
          <w:color w:val="auto"/>
          <w:sz w:val="24"/>
          <w:highlight w:val="none"/>
        </w:rPr>
        <w:t>：</w:t>
      </w:r>
      <w:r>
        <w:rPr>
          <w:rFonts w:hint="eastAsia" w:cs="宋体"/>
          <w:color w:val="auto"/>
          <w:sz w:val="24"/>
          <w:highlight w:val="none"/>
          <w:lang w:val="en-US" w:eastAsia="zh-CN"/>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 xml:space="preserve">投标。 </w:t>
      </w:r>
    </w:p>
    <w:p w14:paraId="682E8747">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一、各方一致决定，</w:t>
      </w:r>
      <w:r>
        <w:rPr>
          <w:rFonts w:hint="eastAsia" w:ascii="宋体" w:hAnsi="宋体" w:cs="宋体"/>
          <w:color w:val="auto"/>
          <w:kern w:val="0"/>
          <w:sz w:val="24"/>
          <w:highlight w:val="none"/>
          <w:u w:val="single"/>
        </w:rPr>
        <w:t>（某联合体成员名称）</w:t>
      </w:r>
      <w:r>
        <w:rPr>
          <w:rFonts w:hint="eastAsia" w:ascii="宋体" w:hAnsi="宋体" w:cs="宋体"/>
          <w:color w:val="auto"/>
          <w:kern w:val="0"/>
          <w:sz w:val="24"/>
          <w:highlight w:val="none"/>
        </w:rPr>
        <w:t>为联合体</w:t>
      </w:r>
      <w:r>
        <w:rPr>
          <w:rFonts w:hint="eastAsia" w:ascii="宋体" w:hAnsi="宋体" w:cs="宋体"/>
          <w:color w:val="auto"/>
          <w:kern w:val="0"/>
          <w:sz w:val="24"/>
          <w:highlight w:val="none"/>
          <w:lang w:val="zh-CN"/>
        </w:rPr>
        <w:t>牵头人</w:t>
      </w:r>
      <w:r>
        <w:rPr>
          <w:rFonts w:hint="eastAsia" w:ascii="宋体" w:hAnsi="宋体" w:cs="宋体"/>
          <w:color w:val="auto"/>
          <w:sz w:val="24"/>
          <w:highlight w:val="none"/>
        </w:rPr>
        <w:t>，代表所有联合体成员负责投标和合同实施阶段的主办、协调工作</w:t>
      </w:r>
      <w:r>
        <w:rPr>
          <w:rFonts w:hint="eastAsia" w:ascii="宋体" w:hAnsi="宋体" w:cs="宋体"/>
          <w:color w:val="auto"/>
          <w:kern w:val="0"/>
          <w:sz w:val="24"/>
          <w:highlight w:val="none"/>
          <w:lang w:val="zh-CN"/>
        </w:rPr>
        <w:t>。</w:t>
      </w:r>
    </w:p>
    <w:p w14:paraId="2FA3C75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二、</w:t>
      </w:r>
      <w:r>
        <w:rPr>
          <w:rFonts w:hint="eastAsia" w:ascii="宋体" w:hAnsi="宋体" w:cs="宋体"/>
          <w:color w:val="auto"/>
          <w:sz w:val="24"/>
          <w:highlight w:val="none"/>
        </w:rPr>
        <w:t>所有联合体成员各方签署授权书，授权书载明的</w:t>
      </w:r>
      <w:r>
        <w:rPr>
          <w:rFonts w:hint="eastAsia" w:ascii="宋体" w:hAnsi="宋体" w:cs="宋体"/>
          <w:color w:val="auto"/>
          <w:kern w:val="0"/>
          <w:sz w:val="24"/>
          <w:highlight w:val="none"/>
          <w:lang w:val="zh-CN"/>
        </w:rPr>
        <w:t>授权代表根据招标文件规定及投标内容而对采购人、采购代理机构所作的任何合法承诺，包括书面澄清及相应等均对联合投标各方产生约束力。</w:t>
      </w:r>
    </w:p>
    <w:p w14:paraId="794C7560">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三、本次联合投标中，分工如下：</w:t>
      </w:r>
    </w:p>
    <w:p w14:paraId="5742291A">
      <w:pPr>
        <w:snapToGrid w:val="0"/>
        <w:spacing w:line="360" w:lineRule="auto"/>
        <w:ind w:firstLine="576"/>
        <w:rPr>
          <w:rFonts w:ascii="宋体" w:hAnsi="宋体" w:cs="宋体"/>
          <w:color w:val="auto"/>
          <w:kern w:val="0"/>
          <w:sz w:val="24"/>
          <w:highlight w:val="none"/>
          <w:lang w:val="zh-CN"/>
        </w:rPr>
      </w:pPr>
      <w:bookmarkStart w:id="622" w:name="_Hlk101134295"/>
      <w:r>
        <w:rPr>
          <w:rFonts w:hint="eastAsia" w:ascii="宋体" w:hAnsi="宋体" w:cs="宋体"/>
          <w:color w:val="auto"/>
          <w:kern w:val="0"/>
          <w:sz w:val="24"/>
          <w:highlight w:val="none"/>
          <w:u w:val="single"/>
        </w:rPr>
        <w:t>（联合体成员1）</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lang w:val="zh-CN"/>
        </w:rPr>
        <w:t>承担</w:t>
      </w:r>
      <w:r>
        <w:rPr>
          <w:rFonts w:hint="eastAsia" w:ascii="宋体" w:hAnsi="宋体" w:cs="宋体"/>
          <w:color w:val="auto"/>
          <w:kern w:val="0"/>
          <w:sz w:val="24"/>
          <w:highlight w:val="none"/>
          <w:lang w:val="en-US" w:eastAsia="zh-CN"/>
        </w:rPr>
        <w:t>项目采购合同金额的</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u w:val="none"/>
          <w:lang w:val="en-US" w:eastAsia="zh-CN"/>
        </w:rPr>
        <w:t>，负责</w:t>
      </w:r>
      <w:r>
        <w:rPr>
          <w:rFonts w:hint="eastAsia" w:ascii="宋体" w:hAnsi="宋体" w:cs="宋体"/>
          <w:color w:val="auto"/>
          <w:kern w:val="0"/>
          <w:sz w:val="24"/>
          <w:highlight w:val="none"/>
          <w:lang w:val="zh-CN"/>
        </w:rPr>
        <w:t>的工作和义务为：</w:t>
      </w:r>
      <w:r>
        <w:rPr>
          <w:rFonts w:hint="eastAsia" w:ascii="宋体" w:hAnsi="宋体" w:cs="宋体"/>
          <w:color w:val="auto"/>
          <w:highlight w:val="none"/>
          <w:u w:val="single"/>
        </w:rPr>
        <w:t xml:space="preserve">             </w:t>
      </w:r>
      <w:r>
        <w:rPr>
          <w:rFonts w:hint="eastAsia" w:ascii="宋体" w:hAnsi="宋体" w:cs="宋体"/>
          <w:color w:val="auto"/>
          <w:kern w:val="0"/>
          <w:sz w:val="24"/>
          <w:highlight w:val="none"/>
          <w:lang w:val="zh-CN"/>
        </w:rPr>
        <w:t>；</w:t>
      </w:r>
    </w:p>
    <w:p w14:paraId="51F758BD">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（联合体成员</w:t>
      </w:r>
      <w:r>
        <w:rPr>
          <w:rFonts w:ascii="宋体" w:hAnsi="宋体" w:cs="宋体"/>
          <w:color w:val="auto"/>
          <w:kern w:val="0"/>
          <w:sz w:val="24"/>
          <w:highlight w:val="none"/>
          <w:u w:val="single"/>
        </w:rPr>
        <w:t>2</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lang w:val="zh-CN"/>
        </w:rPr>
        <w:t>承担</w:t>
      </w:r>
      <w:r>
        <w:rPr>
          <w:rFonts w:hint="eastAsia" w:ascii="宋体" w:hAnsi="宋体" w:cs="宋体"/>
          <w:color w:val="auto"/>
          <w:kern w:val="0"/>
          <w:sz w:val="24"/>
          <w:highlight w:val="none"/>
          <w:lang w:val="en-US" w:eastAsia="zh-CN"/>
        </w:rPr>
        <w:t>项目采购合同金额的</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u w:val="none"/>
          <w:lang w:val="en-US" w:eastAsia="zh-CN"/>
        </w:rPr>
        <w:t>，负责</w:t>
      </w:r>
      <w:r>
        <w:rPr>
          <w:rFonts w:hint="eastAsia" w:ascii="宋体" w:hAnsi="宋体" w:cs="宋体"/>
          <w:color w:val="auto"/>
          <w:kern w:val="0"/>
          <w:sz w:val="24"/>
          <w:highlight w:val="none"/>
          <w:lang w:val="zh-CN"/>
        </w:rPr>
        <w:t>的工作和义务为：</w:t>
      </w:r>
      <w:r>
        <w:rPr>
          <w:rFonts w:hint="eastAsia" w:ascii="宋体" w:hAnsi="宋体" w:cs="宋体"/>
          <w:color w:val="auto"/>
          <w:highlight w:val="none"/>
          <w:u w:val="single"/>
        </w:rPr>
        <w:t xml:space="preserve">             </w:t>
      </w:r>
      <w:r>
        <w:rPr>
          <w:rFonts w:hint="eastAsia" w:ascii="宋体" w:hAnsi="宋体" w:cs="宋体"/>
          <w:color w:val="auto"/>
          <w:kern w:val="0"/>
          <w:sz w:val="24"/>
          <w:highlight w:val="none"/>
          <w:lang w:val="zh-CN"/>
        </w:rPr>
        <w:t>；</w:t>
      </w:r>
    </w:p>
    <w:p w14:paraId="6E4350A6">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w:t>
      </w:r>
    </w:p>
    <w:bookmarkEnd w:id="622"/>
    <w:p w14:paraId="417425E1">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四、联合体成员中小企业合同份额。</w:t>
      </w:r>
    </w:p>
    <w:p w14:paraId="40493970">
      <w:pPr>
        <w:snapToGrid w:val="0"/>
        <w:spacing w:line="360" w:lineRule="auto"/>
        <w:ind w:firstLine="576"/>
        <w:rPr>
          <w:rFonts w:ascii="宋体" w:hAnsi="宋体" w:cs="宋体"/>
          <w:b/>
          <w:color w:val="auto"/>
          <w:kern w:val="0"/>
          <w:sz w:val="24"/>
          <w:highlight w:val="none"/>
          <w:lang w:val="zh-CN"/>
        </w:rPr>
      </w:pPr>
      <w:r>
        <w:rPr>
          <w:rFonts w:hint="eastAsia" w:ascii="宋体" w:hAnsi="宋体" w:cs="宋体"/>
          <w:color w:val="auto"/>
          <w:kern w:val="0"/>
          <w:sz w:val="24"/>
          <w:highlight w:val="none"/>
          <w:lang w:val="zh-CN"/>
        </w:rPr>
        <w:t>1、</w:t>
      </w:r>
      <w:r>
        <w:rPr>
          <w:rFonts w:hint="eastAsia" w:ascii="宋体" w:hAnsi="宋体" w:cs="宋体"/>
          <w:color w:val="auto"/>
          <w:kern w:val="0"/>
          <w:sz w:val="24"/>
          <w:highlight w:val="none"/>
          <w:u w:val="single"/>
        </w:rPr>
        <w:t>（联合体成员</w:t>
      </w:r>
      <w:r>
        <w:rPr>
          <w:rFonts w:ascii="宋体" w:hAnsi="宋体" w:cs="宋体"/>
          <w:color w:val="auto"/>
          <w:kern w:val="0"/>
          <w:sz w:val="24"/>
          <w:highlight w:val="none"/>
          <w:u w:val="single"/>
        </w:rPr>
        <w:t>X,</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rPr>
        <w:t>提供的全部</w:t>
      </w:r>
      <w:r>
        <w:rPr>
          <w:rFonts w:hint="eastAsia" w:cs="宋体"/>
          <w:color w:val="auto"/>
          <w:kern w:val="0"/>
          <w:sz w:val="24"/>
          <w:highlight w:val="none"/>
          <w:lang w:val="en-US" w:eastAsia="zh-CN"/>
        </w:rPr>
        <w:t>服务及</w:t>
      </w:r>
      <w:r>
        <w:rPr>
          <w:rFonts w:hint="eastAsia" w:ascii="宋体" w:hAnsi="宋体" w:cs="宋体"/>
          <w:color w:val="auto"/>
          <w:kern w:val="0"/>
          <w:sz w:val="24"/>
          <w:highlight w:val="none"/>
        </w:rPr>
        <w:t>货物由小微企业</w:t>
      </w:r>
      <w:r>
        <w:rPr>
          <w:rFonts w:hint="eastAsia" w:cs="宋体"/>
          <w:color w:val="auto"/>
          <w:kern w:val="0"/>
          <w:sz w:val="24"/>
          <w:highlight w:val="none"/>
          <w:lang w:val="en-US" w:eastAsia="zh-CN"/>
        </w:rPr>
        <w:t>提供和</w:t>
      </w:r>
      <w:r>
        <w:rPr>
          <w:rFonts w:hint="eastAsia" w:ascii="宋体" w:hAnsi="宋体" w:cs="宋体"/>
          <w:color w:val="auto"/>
          <w:kern w:val="0"/>
          <w:sz w:val="24"/>
          <w:highlight w:val="none"/>
        </w:rPr>
        <w:t>制造，其合同份额占到合同总金额</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%以上；</w:t>
      </w:r>
      <w:r>
        <w:rPr>
          <w:rFonts w:hint="eastAsia" w:ascii="宋体" w:hAnsi="宋体" w:cs="宋体"/>
          <w:color w:val="auto"/>
          <w:kern w:val="0"/>
          <w:sz w:val="24"/>
          <w:highlight w:val="none"/>
          <w:lang w:val="zh-CN"/>
        </w:rPr>
        <w:t>……。</w:t>
      </w:r>
      <w:r>
        <w:rPr>
          <w:rFonts w:hint="eastAsia" w:ascii="宋体" w:hAnsi="宋体" w:cs="宋体"/>
          <w:b/>
          <w:color w:val="auto"/>
          <w:kern w:val="0"/>
          <w:sz w:val="24"/>
          <w:highlight w:val="none"/>
          <w:lang w:val="zh-CN"/>
        </w:rPr>
        <w:t>（未预留份额专门面向中小企业采购的采购项目，以及预留份额中的非预留部分采购包，接受联合体投标的，联合</w:t>
      </w:r>
      <w:r>
        <w:rPr>
          <w:rFonts w:hint="eastAsia" w:cs="宋体"/>
          <w:b/>
          <w:color w:val="auto"/>
          <w:kern w:val="0"/>
          <w:sz w:val="24"/>
          <w:highlight w:val="none"/>
          <w:lang w:val="en-US" w:eastAsia="zh-CN"/>
        </w:rPr>
        <w:t>体</w:t>
      </w:r>
      <w:r>
        <w:rPr>
          <w:rFonts w:hint="eastAsia" w:ascii="宋体" w:hAnsi="宋体" w:cs="宋体"/>
          <w:b/>
          <w:color w:val="auto"/>
          <w:kern w:val="0"/>
          <w:sz w:val="24"/>
          <w:highlight w:val="none"/>
          <w:lang w:val="zh-CN"/>
        </w:rPr>
        <w:t>协议</w:t>
      </w:r>
      <w:r>
        <w:rPr>
          <w:rFonts w:hint="eastAsia" w:cs="宋体"/>
          <w:b/>
          <w:color w:val="auto"/>
          <w:kern w:val="0"/>
          <w:sz w:val="24"/>
          <w:highlight w:val="none"/>
          <w:lang w:val="en-US" w:eastAsia="zh-CN"/>
        </w:rPr>
        <w:t>书</w:t>
      </w:r>
      <w:r>
        <w:rPr>
          <w:rFonts w:hint="eastAsia" w:ascii="宋体" w:hAnsi="宋体" w:cs="宋体"/>
          <w:b/>
          <w:color w:val="auto"/>
          <w:kern w:val="0"/>
          <w:sz w:val="24"/>
          <w:highlight w:val="none"/>
          <w:lang w:val="zh-CN"/>
        </w:rPr>
        <w:t>约定小微企业的合同份额占到合同总金额30%以上的，对联合体报价按评标标准确定的比例给予扣除。供应商</w:t>
      </w:r>
      <w:r>
        <w:rPr>
          <w:rFonts w:hint="eastAsia" w:ascii="宋体" w:hAnsi="宋体" w:cs="宋体"/>
          <w:b/>
          <w:color w:val="auto"/>
          <w:sz w:val="24"/>
          <w:highlight w:val="none"/>
        </w:rPr>
        <w:t>拟享受以上价格扣除政策的，填写有关内容。</w:t>
      </w:r>
      <w:r>
        <w:rPr>
          <w:rFonts w:hint="eastAsia" w:ascii="宋体" w:hAnsi="宋体" w:cs="宋体"/>
          <w:b/>
          <w:color w:val="auto"/>
          <w:kern w:val="0"/>
          <w:sz w:val="24"/>
          <w:highlight w:val="none"/>
          <w:lang w:val="zh-CN"/>
        </w:rPr>
        <w:t>）</w:t>
      </w:r>
    </w:p>
    <w:p w14:paraId="1C0B640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sz w:val="24"/>
          <w:highlight w:val="none"/>
        </w:rPr>
        <w:t>2、中小企业合同金额达到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%，其中小微企业合同金额达到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w:t>
      </w:r>
      <w:r>
        <w:rPr>
          <w:rFonts w:hint="eastAsia" w:ascii="宋体" w:hAnsi="宋体" w:cs="宋体"/>
          <w:b/>
          <w:bCs/>
          <w:color w:val="auto"/>
          <w:kern w:val="0"/>
          <w:sz w:val="24"/>
          <w:highlight w:val="none"/>
          <w:lang w:val="zh-CN"/>
        </w:rPr>
        <w:t>（</w:t>
      </w:r>
      <w:r>
        <w:rPr>
          <w:rFonts w:hint="eastAsia" w:ascii="宋体" w:hAnsi="宋体" w:cs="宋体"/>
          <w:b/>
          <w:bCs/>
          <w:color w:val="auto"/>
          <w:sz w:val="24"/>
          <w:highlight w:val="none"/>
        </w:rPr>
        <w:t>要求以联合体形式参加的项目或采购包，供应商按招标文件第一部分招标公告申请人的资格要求中规定的联合</w:t>
      </w:r>
      <w:r>
        <w:rPr>
          <w:rFonts w:hint="eastAsia" w:cs="宋体"/>
          <w:b/>
          <w:bCs/>
          <w:color w:val="auto"/>
          <w:sz w:val="24"/>
          <w:highlight w:val="none"/>
          <w:lang w:val="en-US" w:eastAsia="zh-CN"/>
        </w:rPr>
        <w:t>体</w:t>
      </w:r>
      <w:r>
        <w:rPr>
          <w:rFonts w:hint="eastAsia" w:ascii="宋体" w:hAnsi="宋体" w:cs="宋体"/>
          <w:b/>
          <w:bCs/>
          <w:color w:val="auto"/>
          <w:sz w:val="24"/>
          <w:highlight w:val="none"/>
        </w:rPr>
        <w:t>协议</w:t>
      </w:r>
      <w:r>
        <w:rPr>
          <w:rFonts w:hint="eastAsia" w:cs="宋体"/>
          <w:b/>
          <w:bCs/>
          <w:color w:val="auto"/>
          <w:sz w:val="24"/>
          <w:highlight w:val="none"/>
          <w:lang w:val="en-US" w:eastAsia="zh-CN"/>
        </w:rPr>
        <w:t>书</w:t>
      </w:r>
      <w:r>
        <w:rPr>
          <w:rFonts w:hint="eastAsia" w:ascii="宋体" w:hAnsi="宋体" w:cs="宋体"/>
          <w:b/>
          <w:bCs/>
          <w:color w:val="auto"/>
          <w:sz w:val="24"/>
          <w:highlight w:val="none"/>
        </w:rPr>
        <w:t>中中小企业、小微企业合同金额应当达到的比例要求填写。</w:t>
      </w:r>
      <w:r>
        <w:rPr>
          <w:rFonts w:hint="eastAsia" w:ascii="宋体" w:hAnsi="宋体" w:cs="宋体"/>
          <w:b/>
          <w:bCs/>
          <w:color w:val="auto"/>
          <w:kern w:val="0"/>
          <w:sz w:val="24"/>
          <w:highlight w:val="none"/>
          <w:lang w:val="zh-CN"/>
        </w:rPr>
        <w:t>）</w:t>
      </w:r>
    </w:p>
    <w:p w14:paraId="1EC462A4">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五、如果中标，</w:t>
      </w:r>
      <w:r>
        <w:rPr>
          <w:rFonts w:hint="eastAsia" w:ascii="宋体" w:hAnsi="宋体" w:cs="宋体"/>
          <w:color w:val="auto"/>
          <w:sz w:val="24"/>
          <w:highlight w:val="none"/>
        </w:rPr>
        <w:t>联合体各成员方共同与采购人签订</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合同，并就采购合同约定的事项对采购人承担连带责任。</w:t>
      </w:r>
    </w:p>
    <w:p w14:paraId="0B6A82F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六、有关本次联合投标的其他事宜：</w:t>
      </w:r>
    </w:p>
    <w:p w14:paraId="518CE91A">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1、联合体各方不再单独参加或者与其他供应商另外组成联合体参加同一合同项下的政府采购活动。</w:t>
      </w:r>
    </w:p>
    <w:p w14:paraId="23C062C0">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2、联合体中有同类资质的各方按照联合体分工承担相同工作的，按照资质等级较低的供应商确定资质等级。</w:t>
      </w:r>
    </w:p>
    <w:p w14:paraId="0DAC4003">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3、本协议提交采购人、采购代理机构后，联合体各方不得以任何形式对上述内容进行修改或撤销。</w:t>
      </w:r>
    </w:p>
    <w:p w14:paraId="5B293209">
      <w:pPr>
        <w:snapToGrid w:val="0"/>
        <w:spacing w:line="360" w:lineRule="auto"/>
        <w:ind w:firstLine="576"/>
        <w:rPr>
          <w:rFonts w:hint="eastAsia" w:ascii="宋体" w:hAnsi="宋体" w:cs="宋体"/>
          <w:color w:val="auto"/>
          <w:kern w:val="0"/>
          <w:sz w:val="24"/>
          <w:highlight w:val="none"/>
          <w:lang w:val="zh-CN"/>
        </w:rPr>
      </w:pPr>
      <w:r>
        <w:rPr>
          <w:rFonts w:hint="eastAsia" w:cs="宋体"/>
          <w:color w:val="auto"/>
          <w:kern w:val="0"/>
          <w:sz w:val="24"/>
          <w:highlight w:val="none"/>
          <w:lang w:val="en-US" w:eastAsia="zh-CN"/>
        </w:rPr>
        <w:t>4、</w:t>
      </w:r>
      <w:r>
        <w:rPr>
          <w:rFonts w:hint="eastAsia" w:ascii="宋体" w:hAnsi="宋体" w:cs="宋体"/>
          <w:color w:val="auto"/>
          <w:kern w:val="0"/>
          <w:sz w:val="24"/>
          <w:highlight w:val="none"/>
          <w:lang w:val="zh-CN"/>
        </w:rPr>
        <w:t>其他：……</w:t>
      </w:r>
    </w:p>
    <w:p w14:paraId="43009373">
      <w:pPr>
        <w:snapToGrid w:val="0"/>
        <w:spacing w:line="360" w:lineRule="auto"/>
        <w:ind w:firstLine="576"/>
        <w:rPr>
          <w:rFonts w:hint="eastAsia" w:ascii="宋体" w:hAnsi="宋体" w:cs="宋体"/>
          <w:color w:val="auto"/>
          <w:kern w:val="0"/>
          <w:sz w:val="24"/>
          <w:highlight w:val="none"/>
          <w:lang w:val="zh-CN"/>
        </w:rPr>
      </w:pPr>
      <w:r>
        <w:rPr>
          <w:rFonts w:hint="eastAsia" w:cs="宋体"/>
          <w:color w:val="auto"/>
          <w:kern w:val="0"/>
          <w:sz w:val="24"/>
          <w:highlight w:val="none"/>
          <w:lang w:val="en-US" w:eastAsia="zh-CN"/>
        </w:rPr>
        <w:t>5、</w:t>
      </w:r>
      <w:r>
        <w:rPr>
          <w:rFonts w:hint="eastAsia" w:ascii="宋体" w:hAnsi="宋体" w:cs="宋体"/>
          <w:color w:val="auto"/>
          <w:kern w:val="0"/>
          <w:sz w:val="24"/>
          <w:highlight w:val="none"/>
          <w:lang w:val="zh-CN"/>
        </w:rPr>
        <w:t>本协议书自签署之日起生效，若未中标，自本次投标有效期结束后自行失效；若中标，自合同书规定的期限之后自行失效。</w:t>
      </w:r>
    </w:p>
    <w:p w14:paraId="580F475F">
      <w:pPr>
        <w:snapToGrid w:val="0"/>
        <w:spacing w:line="360" w:lineRule="auto"/>
        <w:ind w:firstLine="576"/>
        <w:rPr>
          <w:rFonts w:hint="eastAsia" w:ascii="宋体" w:hAnsi="宋体" w:cs="宋体"/>
          <w:color w:val="auto"/>
          <w:kern w:val="0"/>
          <w:sz w:val="24"/>
          <w:highlight w:val="none"/>
          <w:lang w:val="zh-CN"/>
        </w:rPr>
      </w:pPr>
      <w:r>
        <w:rPr>
          <w:rFonts w:hint="eastAsia" w:cs="宋体"/>
          <w:color w:val="auto"/>
          <w:kern w:val="0"/>
          <w:sz w:val="24"/>
          <w:highlight w:val="none"/>
          <w:lang w:val="en-US" w:eastAsia="zh-CN"/>
        </w:rPr>
        <w:t>6、</w:t>
      </w:r>
      <w:r>
        <w:rPr>
          <w:rFonts w:hint="eastAsia" w:ascii="宋体" w:hAnsi="宋体" w:cs="宋体"/>
          <w:color w:val="auto"/>
          <w:kern w:val="0"/>
          <w:sz w:val="24"/>
          <w:highlight w:val="none"/>
          <w:lang w:val="zh-CN"/>
        </w:rPr>
        <w:t>本协议书正本一式</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份，联合体成员各执</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份；副本一式</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份，联合体成员各执</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份。</w:t>
      </w:r>
    </w:p>
    <w:p w14:paraId="75ABC4BD">
      <w:pPr>
        <w:snapToGrid w:val="0"/>
        <w:spacing w:line="360" w:lineRule="auto"/>
        <w:ind w:firstLine="576"/>
        <w:rPr>
          <w:rFonts w:hint="eastAsia" w:ascii="宋体" w:hAnsi="宋体" w:cs="宋体"/>
          <w:color w:val="auto"/>
          <w:kern w:val="0"/>
          <w:sz w:val="24"/>
          <w:highlight w:val="none"/>
          <w:lang w:val="zh-CN"/>
        </w:rPr>
      </w:pPr>
    </w:p>
    <w:p w14:paraId="4D791421">
      <w:pPr>
        <w:snapToGrid w:val="0"/>
        <w:spacing w:line="360" w:lineRule="auto"/>
        <w:ind w:firstLine="576"/>
        <w:rPr>
          <w:rFonts w:hint="eastAsia" w:ascii="宋体" w:hAnsi="宋体" w:cs="宋体"/>
          <w:color w:val="auto"/>
          <w:kern w:val="0"/>
          <w:sz w:val="24"/>
          <w:highlight w:val="none"/>
          <w:lang w:val="zh-CN"/>
        </w:rPr>
      </w:pPr>
    </w:p>
    <w:p w14:paraId="1BE31DA1">
      <w:pPr>
        <w:snapToGrid w:val="0"/>
        <w:spacing w:line="360" w:lineRule="auto"/>
        <w:ind w:firstLine="3840" w:firstLineChars="16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lang w:val="zh-CN"/>
        </w:rPr>
        <w:t>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p>
    <w:p w14:paraId="0F946487">
      <w:pPr>
        <w:snapToGrid w:val="0"/>
        <w:spacing w:line="360" w:lineRule="auto"/>
        <w:ind w:firstLine="3840" w:firstLineChars="16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w:t>
      </w: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lang w:val="zh-CN"/>
        </w:rPr>
        <w:t>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p>
    <w:p w14:paraId="2C01AA77">
      <w:pPr>
        <w:snapToGrid w:val="0"/>
        <w:spacing w:line="360" w:lineRule="auto"/>
        <w:ind w:right="960"/>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p>
    <w:p w14:paraId="64D03F6B">
      <w:pPr>
        <w:snapToGrid w:val="0"/>
        <w:spacing w:line="360" w:lineRule="auto"/>
        <w:jc w:val="righ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日期：  年  月   日</w:t>
      </w:r>
    </w:p>
    <w:p w14:paraId="69BB115A">
      <w:pPr>
        <w:spacing w:line="360" w:lineRule="auto"/>
        <w:ind w:right="420"/>
        <w:rPr>
          <w:rFonts w:ascii="宋体" w:hAnsi="宋体" w:cs="宋体"/>
          <w:color w:val="auto"/>
          <w:sz w:val="21"/>
          <w:szCs w:val="21"/>
          <w:highlight w:val="none"/>
        </w:rPr>
      </w:pPr>
      <w:r>
        <w:rPr>
          <w:rFonts w:hint="eastAsia" w:ascii="宋体" w:hAnsi="宋体" w:cs="宋体"/>
          <w:color w:val="auto"/>
          <w:sz w:val="21"/>
          <w:szCs w:val="21"/>
          <w:highlight w:val="none"/>
        </w:rPr>
        <w:t>注：按本格式和要求提供。</w:t>
      </w:r>
    </w:p>
    <w:p w14:paraId="68A2ACB2">
      <w:pPr>
        <w:keepNext w:val="0"/>
        <w:keepLines w:val="0"/>
        <w:pageBreakBefore w:val="0"/>
        <w:kinsoku/>
        <w:overflowPunct/>
        <w:topLinePunct w:val="0"/>
        <w:autoSpaceDE/>
        <w:autoSpaceDN/>
        <w:bidi w:val="0"/>
        <w:spacing w:before="157" w:beforeLines="50" w:after="157" w:afterLines="50"/>
        <w:ind w:left="2520" w:leftChars="1050"/>
        <w:textAlignment w:val="auto"/>
        <w:rPr>
          <w:rFonts w:cs="Tahoma"/>
          <w:color w:val="auto"/>
          <w:highlight w:val="none"/>
          <w:u w:val="single"/>
        </w:rPr>
      </w:pPr>
      <w:r>
        <w:rPr>
          <w:rFonts w:cs="Tahoma"/>
          <w:color w:val="auto"/>
          <w:highlight w:val="none"/>
          <w:u w:val="single"/>
        </w:rPr>
        <w:br w:type="page"/>
      </w:r>
    </w:p>
    <w:p w14:paraId="054D30BD">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zh-CN" w:eastAsia="zh-CN" w:bidi="ar-SA"/>
        </w:rPr>
      </w:pPr>
      <w:bookmarkStart w:id="623" w:name="_Toc25467"/>
      <w:bookmarkStart w:id="624" w:name="_Toc20320"/>
      <w:bookmarkStart w:id="625" w:name="_Toc162299566"/>
      <w:bookmarkStart w:id="626" w:name="_Toc156490356"/>
      <w:bookmarkStart w:id="627" w:name="_Hlk101169080"/>
      <w:r>
        <w:rPr>
          <w:rFonts w:hint="eastAsia" w:cstheme="majorBidi"/>
          <w:b/>
          <w:bCs/>
          <w:color w:val="auto"/>
          <w:kern w:val="2"/>
          <w:sz w:val="28"/>
          <w:szCs w:val="28"/>
          <w:highlight w:val="none"/>
          <w:lang w:val="en-US" w:eastAsia="zh-CN" w:bidi="ar-SA"/>
        </w:rPr>
        <w:t>三</w:t>
      </w:r>
      <w:r>
        <w:rPr>
          <w:rFonts w:hint="eastAsia" w:eastAsia="宋体" w:asciiTheme="majorHAnsi" w:hAnsiTheme="majorHAnsi" w:cstheme="majorBidi"/>
          <w:b/>
          <w:bCs/>
          <w:color w:val="auto"/>
          <w:kern w:val="2"/>
          <w:sz w:val="28"/>
          <w:szCs w:val="28"/>
          <w:highlight w:val="none"/>
          <w:lang w:val="en-US" w:eastAsia="zh-CN" w:bidi="ar-SA"/>
        </w:rPr>
        <w:t>、</w:t>
      </w:r>
      <w:r>
        <w:rPr>
          <w:rFonts w:hint="eastAsia" w:eastAsia="宋体" w:asciiTheme="majorHAnsi" w:hAnsiTheme="majorHAnsi" w:cstheme="majorBidi"/>
          <w:b/>
          <w:bCs/>
          <w:color w:val="auto"/>
          <w:kern w:val="2"/>
          <w:sz w:val="28"/>
          <w:szCs w:val="28"/>
          <w:highlight w:val="none"/>
          <w:lang w:val="zh-CN" w:eastAsia="zh-CN" w:bidi="ar-SA"/>
        </w:rPr>
        <w:t>分包意向协议书</w:t>
      </w:r>
      <w:r>
        <w:rPr>
          <w:rFonts w:hint="eastAsia" w:ascii="宋体" w:hAnsi="宋体" w:eastAsia="宋体" w:cstheme="minorBidi"/>
          <w:b w:val="0"/>
          <w:bCs w:val="0"/>
          <w:color w:val="auto"/>
          <w:kern w:val="2"/>
          <w:sz w:val="28"/>
          <w:szCs w:val="28"/>
          <w:highlight w:val="none"/>
          <w:lang w:val="zh-CN" w:eastAsia="zh-CN" w:bidi="ar-SA"/>
        </w:rPr>
        <w:t>【如适用】</w:t>
      </w:r>
      <w:bookmarkEnd w:id="623"/>
      <w:bookmarkEnd w:id="624"/>
      <w:bookmarkEnd w:id="625"/>
      <w:bookmarkEnd w:id="626"/>
    </w:p>
    <w:p w14:paraId="72EF9FB2">
      <w:pPr>
        <w:snapToGrid w:val="0"/>
        <w:spacing w:line="360" w:lineRule="auto"/>
        <w:jc w:val="center"/>
        <w:outlineLvl w:val="0"/>
        <w:rPr>
          <w:rFonts w:hint="eastAsia" w:ascii="宋体" w:hAnsi="宋体" w:cs="宋体"/>
          <w:b/>
          <w:color w:val="auto"/>
          <w:kern w:val="0"/>
          <w:sz w:val="32"/>
          <w:szCs w:val="32"/>
          <w:highlight w:val="none"/>
        </w:rPr>
      </w:pPr>
    </w:p>
    <w:p w14:paraId="7214AD2B">
      <w:pPr>
        <w:snapToGrid w:val="0"/>
        <w:spacing w:line="360" w:lineRule="auto"/>
        <w:jc w:val="center"/>
        <w:outlineLvl w:val="0"/>
        <w:rPr>
          <w:rFonts w:hint="eastAsia" w:ascii="宋体" w:hAnsi="宋体" w:eastAsia="宋体" w:cs="宋体"/>
          <w:b/>
          <w:color w:val="auto"/>
          <w:kern w:val="0"/>
          <w:sz w:val="32"/>
          <w:szCs w:val="32"/>
          <w:highlight w:val="none"/>
          <w:lang w:val="en-US" w:eastAsia="zh-CN"/>
        </w:rPr>
      </w:pPr>
      <w:bookmarkStart w:id="628" w:name="_Toc3174"/>
      <w:bookmarkStart w:id="629" w:name="_Toc18859"/>
      <w:r>
        <w:rPr>
          <w:rFonts w:hint="eastAsia" w:ascii="宋体" w:hAnsi="宋体" w:cs="宋体"/>
          <w:b/>
          <w:color w:val="auto"/>
          <w:kern w:val="0"/>
          <w:sz w:val="32"/>
          <w:szCs w:val="32"/>
          <w:highlight w:val="none"/>
        </w:rPr>
        <w:t>分包意向协议</w:t>
      </w:r>
      <w:r>
        <w:rPr>
          <w:rFonts w:hint="eastAsia" w:ascii="宋体" w:hAnsi="宋体" w:cs="宋体"/>
          <w:b/>
          <w:color w:val="auto"/>
          <w:kern w:val="0"/>
          <w:sz w:val="32"/>
          <w:szCs w:val="32"/>
          <w:highlight w:val="none"/>
          <w:lang w:val="en-US" w:eastAsia="zh-CN"/>
        </w:rPr>
        <w:t>书</w:t>
      </w:r>
      <w:bookmarkEnd w:id="628"/>
      <w:bookmarkEnd w:id="629"/>
    </w:p>
    <w:p w14:paraId="4E9F0BF4">
      <w:pPr>
        <w:widowControl/>
        <w:spacing w:line="360" w:lineRule="auto"/>
        <w:ind w:firstLine="120" w:firstLineChars="50"/>
        <w:jc w:val="left"/>
        <w:rPr>
          <w:rFonts w:hint="eastAsia" w:ascii="宋体" w:hAnsi="宋体" w:eastAsia="宋体" w:cs="宋体"/>
          <w:color w:val="auto"/>
          <w:sz w:val="24"/>
          <w:highlight w:val="none"/>
          <w:lang w:eastAsia="zh-CN"/>
        </w:rPr>
      </w:pPr>
      <w:r>
        <w:rPr>
          <w:rFonts w:hint="eastAsia" w:cs="宋体"/>
          <w:color w:val="auto"/>
          <w:sz w:val="24"/>
          <w:highlight w:val="none"/>
          <w:lang w:eastAsia="zh-CN"/>
        </w:rPr>
        <w:t>【</w:t>
      </w:r>
      <w:r>
        <w:rPr>
          <w:rFonts w:hint="eastAsia" w:ascii="宋体" w:hAnsi="宋体" w:cs="宋体"/>
          <w:b/>
          <w:color w:val="auto"/>
          <w:sz w:val="24"/>
          <w:highlight w:val="none"/>
        </w:rPr>
        <w:t>中标后以分包方式履行合同的，提供分包意向协议</w:t>
      </w:r>
      <w:r>
        <w:rPr>
          <w:rFonts w:hint="eastAsia" w:cs="宋体"/>
          <w:b/>
          <w:color w:val="auto"/>
          <w:sz w:val="24"/>
          <w:highlight w:val="none"/>
          <w:lang w:val="en-US" w:eastAsia="zh-CN"/>
        </w:rPr>
        <w:t>书</w:t>
      </w:r>
      <w:r>
        <w:rPr>
          <w:rFonts w:hint="eastAsia" w:ascii="宋体" w:hAnsi="宋体" w:cs="宋体"/>
          <w:b/>
          <w:color w:val="auto"/>
          <w:sz w:val="24"/>
          <w:highlight w:val="none"/>
        </w:rPr>
        <w:t>；采购人不同意分包或者投标人中标后不以分包方式履行合同的，则不需要提供。</w:t>
      </w:r>
      <w:r>
        <w:rPr>
          <w:rFonts w:hint="eastAsia" w:cs="宋体"/>
          <w:color w:val="auto"/>
          <w:sz w:val="24"/>
          <w:highlight w:val="none"/>
          <w:lang w:eastAsia="zh-CN"/>
        </w:rPr>
        <w:t>】</w:t>
      </w:r>
    </w:p>
    <w:p w14:paraId="5791A450">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（投标人名称）</w:t>
      </w:r>
      <w:r>
        <w:rPr>
          <w:rFonts w:hint="eastAsia" w:ascii="宋体" w:hAnsi="宋体" w:cs="宋体"/>
          <w:color w:val="auto"/>
          <w:kern w:val="0"/>
          <w:sz w:val="24"/>
          <w:highlight w:val="none"/>
          <w:lang w:val="zh-CN"/>
        </w:rPr>
        <w:t>若成为</w:t>
      </w:r>
      <w:r>
        <w:rPr>
          <w:rFonts w:hint="eastAsia" w:ascii="宋体" w:hAnsi="宋体" w:cs="宋体"/>
          <w:color w:val="auto"/>
          <w:sz w:val="24"/>
          <w:highlight w:val="none"/>
        </w:rPr>
        <w:t>（项目名称）【</w:t>
      </w:r>
      <w:r>
        <w:rPr>
          <w:rFonts w:hint="eastAsia" w:cs="宋体"/>
          <w:color w:val="auto"/>
          <w:sz w:val="24"/>
          <w:highlight w:val="none"/>
          <w:lang w:val="en-US" w:eastAsia="zh-CN"/>
        </w:rPr>
        <w:t>项目</w:t>
      </w:r>
      <w:r>
        <w:rPr>
          <w:rFonts w:hint="eastAsia" w:ascii="宋体" w:hAnsi="宋体" w:cs="宋体"/>
          <w:color w:val="auto"/>
          <w:sz w:val="24"/>
          <w:highlight w:val="none"/>
        </w:rPr>
        <w:t>编号</w:t>
      </w:r>
      <w:r>
        <w:rPr>
          <w:rFonts w:hint="eastAsia" w:cs="宋体"/>
          <w:color w:val="auto"/>
          <w:sz w:val="24"/>
          <w:highlight w:val="none"/>
          <w:lang w:val="en-US" w:eastAsia="zh-CN"/>
        </w:rPr>
        <w:t>/包号</w:t>
      </w:r>
      <w:r>
        <w:rPr>
          <w:rFonts w:hint="eastAsia" w:ascii="宋体" w:hAnsi="宋体" w:cs="宋体"/>
          <w:color w:val="auto"/>
          <w:sz w:val="24"/>
          <w:highlight w:val="none"/>
        </w:rPr>
        <w:t>：</w:t>
      </w:r>
      <w:r>
        <w:rPr>
          <w:rFonts w:hint="eastAsia" w:cs="宋体"/>
          <w:color w:val="auto"/>
          <w:sz w:val="24"/>
          <w:highlight w:val="none"/>
          <w:lang w:val="en-US" w:eastAsia="zh-CN"/>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的中标供应商，将依法采取分包方式履行合同。</w:t>
      </w:r>
      <w:r>
        <w:rPr>
          <w:rFonts w:hint="eastAsia" w:ascii="宋体" w:hAnsi="宋体" w:cs="宋体"/>
          <w:color w:val="auto"/>
          <w:kern w:val="0"/>
          <w:sz w:val="24"/>
          <w:highlight w:val="none"/>
          <w:u w:val="single"/>
        </w:rPr>
        <w:t>（投标人名称）</w:t>
      </w:r>
      <w:r>
        <w:rPr>
          <w:rFonts w:hint="eastAsia" w:ascii="宋体" w:hAnsi="宋体" w:cs="宋体"/>
          <w:color w:val="auto"/>
          <w:kern w:val="0"/>
          <w:sz w:val="24"/>
          <w:highlight w:val="none"/>
        </w:rPr>
        <w:t>与</w:t>
      </w:r>
      <w:r>
        <w:rPr>
          <w:rFonts w:hint="eastAsia" w:ascii="宋体" w:hAnsi="宋体" w:cs="宋体"/>
          <w:color w:val="auto"/>
          <w:kern w:val="0"/>
          <w:sz w:val="24"/>
          <w:highlight w:val="none"/>
          <w:u w:val="single"/>
        </w:rPr>
        <w:t>（所有分包供应商名称）</w:t>
      </w:r>
      <w:r>
        <w:rPr>
          <w:rFonts w:hint="eastAsia" w:ascii="宋体" w:hAnsi="宋体" w:cs="宋体"/>
          <w:color w:val="auto"/>
          <w:kern w:val="0"/>
          <w:sz w:val="24"/>
          <w:highlight w:val="none"/>
        </w:rPr>
        <w:t>达成分包意向协议</w:t>
      </w:r>
      <w:r>
        <w:rPr>
          <w:rFonts w:hint="eastAsia" w:cs="宋体"/>
          <w:color w:val="auto"/>
          <w:kern w:val="0"/>
          <w:sz w:val="24"/>
          <w:highlight w:val="none"/>
          <w:lang w:val="en-US" w:eastAsia="zh-CN"/>
        </w:rPr>
        <w:t>书</w:t>
      </w:r>
      <w:r>
        <w:rPr>
          <w:rFonts w:hint="eastAsia" w:ascii="宋体" w:hAnsi="宋体" w:cs="宋体"/>
          <w:color w:val="auto"/>
          <w:kern w:val="0"/>
          <w:sz w:val="24"/>
          <w:highlight w:val="none"/>
          <w:lang w:val="zh-CN"/>
        </w:rPr>
        <w:t xml:space="preserve">。 </w:t>
      </w:r>
    </w:p>
    <w:p w14:paraId="545E9079">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一、分包标的及数量</w:t>
      </w:r>
    </w:p>
    <w:p w14:paraId="5E087378">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（投标人名称）</w:t>
      </w:r>
      <w:r>
        <w:rPr>
          <w:rFonts w:hint="eastAsia" w:ascii="宋体" w:hAnsi="宋体" w:cs="宋体"/>
          <w:color w:val="auto"/>
          <w:kern w:val="0"/>
          <w:sz w:val="24"/>
          <w:highlight w:val="none"/>
          <w:lang w:val="zh-CN"/>
        </w:rPr>
        <w:t>将</w:t>
      </w:r>
      <w:r>
        <w:rPr>
          <w:rFonts w:hint="eastAsia" w:ascii="宋体" w:hAnsi="宋体" w:cs="宋体"/>
          <w:color w:val="auto"/>
          <w:highlight w:val="none"/>
          <w:u w:val="single"/>
        </w:rPr>
        <w:t xml:space="preserve"> </w:t>
      </w:r>
      <w:r>
        <w:rPr>
          <w:rFonts w:ascii="宋体" w:hAnsi="宋体" w:cs="宋体"/>
          <w:color w:val="auto"/>
          <w:kern w:val="0"/>
          <w:sz w:val="24"/>
          <w:highlight w:val="none"/>
          <w:u w:val="single"/>
        </w:rPr>
        <w:t xml:space="preserve">  XX工作内容   </w:t>
      </w:r>
      <w:r>
        <w:rPr>
          <w:rFonts w:hint="eastAsia" w:ascii="宋体" w:hAnsi="宋体" w:cs="宋体"/>
          <w:color w:val="auto"/>
          <w:sz w:val="24"/>
          <w:highlight w:val="none"/>
        </w:rPr>
        <w:t>分包给</w:t>
      </w:r>
      <w:r>
        <w:rPr>
          <w:rFonts w:hint="eastAsia" w:ascii="宋体" w:hAnsi="宋体" w:cs="宋体"/>
          <w:color w:val="auto"/>
          <w:kern w:val="0"/>
          <w:sz w:val="24"/>
          <w:highlight w:val="none"/>
          <w:u w:val="single"/>
        </w:rPr>
        <w:t>（分包供应商1名称）</w:t>
      </w:r>
      <w:r>
        <w:rPr>
          <w:rFonts w:hint="eastAsia" w:ascii="宋体" w:hAnsi="宋体" w:cs="宋体"/>
          <w:color w:val="auto"/>
          <w:kern w:val="0"/>
          <w:sz w:val="24"/>
          <w:highlight w:val="none"/>
          <w:lang w:val="zh-CN"/>
        </w:rPr>
        <w:t>，</w:t>
      </w:r>
      <w:r>
        <w:rPr>
          <w:rFonts w:hint="eastAsia" w:ascii="宋体" w:hAnsi="宋体" w:cs="宋体"/>
          <w:color w:val="auto"/>
          <w:kern w:val="0"/>
          <w:sz w:val="24"/>
          <w:highlight w:val="none"/>
          <w:u w:val="single"/>
        </w:rPr>
        <w:t>（分包供应商1名称），</w:t>
      </w:r>
      <w:r>
        <w:rPr>
          <w:rFonts w:hint="eastAsia" w:ascii="宋体" w:hAnsi="宋体" w:cs="宋体"/>
          <w:color w:val="auto"/>
          <w:kern w:val="0"/>
          <w:sz w:val="24"/>
          <w:highlight w:val="none"/>
          <w:lang w:val="zh-CN"/>
        </w:rPr>
        <w:t>具备承</w:t>
      </w:r>
      <w:r>
        <w:rPr>
          <w:rFonts w:hint="eastAsia" w:ascii="宋体" w:hAnsi="宋体" w:cs="宋体"/>
          <w:color w:val="auto"/>
          <w:kern w:val="0"/>
          <w:sz w:val="24"/>
          <w:highlight w:val="none"/>
        </w:rPr>
        <w:t>担</w:t>
      </w:r>
      <w:r>
        <w:rPr>
          <w:rFonts w:hint="eastAsia" w:ascii="宋体" w:hAnsi="宋体" w:cs="宋体"/>
          <w:color w:val="auto"/>
          <w:kern w:val="0"/>
          <w:sz w:val="24"/>
          <w:highlight w:val="none"/>
          <w:u w:val="single"/>
          <w:lang w:val="zh-CN"/>
        </w:rPr>
        <w:t>XX工作内容</w:t>
      </w:r>
      <w:r>
        <w:rPr>
          <w:rFonts w:hint="eastAsia" w:ascii="宋体" w:hAnsi="宋体" w:cs="宋体"/>
          <w:color w:val="auto"/>
          <w:kern w:val="0"/>
          <w:sz w:val="24"/>
          <w:highlight w:val="none"/>
          <w:lang w:val="zh-CN"/>
        </w:rPr>
        <w:t>相应资质条件且不得再次分包；</w:t>
      </w:r>
    </w:p>
    <w:p w14:paraId="37B916C5">
      <w:pPr>
        <w:pStyle w:val="3"/>
        <w:tabs>
          <w:tab w:val="left" w:pos="432"/>
        </w:tabs>
        <w:ind w:left="758" w:leftChars="316" w:firstLine="229" w:firstLineChars="95"/>
        <w:rPr>
          <w:rFonts w:ascii="宋体" w:hAnsi="宋体" w:eastAsia="宋体" w:cs="宋体"/>
          <w:color w:val="auto"/>
          <w:kern w:val="0"/>
          <w:sz w:val="24"/>
          <w:szCs w:val="24"/>
          <w:highlight w:val="none"/>
        </w:rPr>
      </w:pPr>
      <w:bookmarkStart w:id="630" w:name="_Toc20300"/>
      <w:bookmarkStart w:id="631" w:name="_Toc7532"/>
      <w:r>
        <w:rPr>
          <w:rFonts w:hint="eastAsia" w:ascii="宋体" w:hAnsi="宋体" w:eastAsia="宋体" w:cs="宋体"/>
          <w:color w:val="auto"/>
          <w:kern w:val="0"/>
          <w:sz w:val="24"/>
          <w:szCs w:val="24"/>
          <w:highlight w:val="none"/>
        </w:rPr>
        <w:t>……</w:t>
      </w:r>
      <w:bookmarkEnd w:id="630"/>
      <w:bookmarkEnd w:id="631"/>
    </w:p>
    <w:p w14:paraId="04268894">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二、分包供应商中小企业合同份额</w:t>
      </w:r>
    </w:p>
    <w:p w14:paraId="188898B5">
      <w:pPr>
        <w:snapToGrid w:val="0"/>
        <w:spacing w:line="360" w:lineRule="auto"/>
        <w:ind w:firstLine="576"/>
        <w:rPr>
          <w:rFonts w:ascii="宋体" w:hAnsi="宋体" w:cs="宋体"/>
          <w:b/>
          <w:color w:val="auto"/>
          <w:kern w:val="0"/>
          <w:sz w:val="24"/>
          <w:highlight w:val="none"/>
          <w:lang w:val="zh-CN"/>
        </w:rPr>
      </w:pPr>
      <w:r>
        <w:rPr>
          <w:rFonts w:ascii="宋体" w:hAnsi="宋体" w:cs="宋体"/>
          <w:color w:val="auto"/>
          <w:kern w:val="0"/>
          <w:sz w:val="24"/>
          <w:highlight w:val="none"/>
        </w:rPr>
        <w:t>1、</w:t>
      </w:r>
      <w:r>
        <w:rPr>
          <w:rFonts w:hint="eastAsia" w:ascii="宋体" w:hAnsi="宋体" w:cs="宋体"/>
          <w:color w:val="auto"/>
          <w:kern w:val="0"/>
          <w:sz w:val="24"/>
          <w:highlight w:val="none"/>
          <w:u w:val="single"/>
        </w:rPr>
        <w:t>（分包供应商X</w:t>
      </w:r>
      <w:r>
        <w:rPr>
          <w:rFonts w:ascii="宋体" w:hAnsi="宋体" w:cs="宋体"/>
          <w:color w:val="auto"/>
          <w:kern w:val="0"/>
          <w:sz w:val="24"/>
          <w:highlight w:val="none"/>
          <w:u w:val="single"/>
        </w:rPr>
        <w:t>,</w:t>
      </w:r>
      <w:r>
        <w:rPr>
          <w:rFonts w:hint="eastAsia" w:ascii="宋体" w:hAnsi="宋体" w:cs="宋体"/>
          <w:color w:val="auto"/>
          <w:kern w:val="0"/>
          <w:sz w:val="24"/>
          <w:highlight w:val="none"/>
          <w:u w:val="single"/>
        </w:rPr>
        <w:t>……）提供的</w:t>
      </w:r>
      <w:r>
        <w:rPr>
          <w:rFonts w:hint="eastAsia" w:cs="宋体"/>
          <w:color w:val="auto"/>
          <w:kern w:val="0"/>
          <w:sz w:val="24"/>
          <w:highlight w:val="none"/>
          <w:u w:val="single"/>
          <w:lang w:val="en-US" w:eastAsia="zh-CN"/>
        </w:rPr>
        <w:t>服务</w:t>
      </w:r>
      <w:r>
        <w:rPr>
          <w:rFonts w:hint="eastAsia" w:ascii="宋体" w:hAnsi="宋体" w:cs="宋体"/>
          <w:color w:val="auto"/>
          <w:kern w:val="0"/>
          <w:sz w:val="24"/>
          <w:highlight w:val="none"/>
          <w:u w:val="single"/>
        </w:rPr>
        <w:t>全部由小微企业</w:t>
      </w:r>
      <w:r>
        <w:rPr>
          <w:rFonts w:hint="eastAsia" w:cs="宋体"/>
          <w:color w:val="auto"/>
          <w:kern w:val="0"/>
          <w:sz w:val="24"/>
          <w:highlight w:val="none"/>
          <w:u w:val="single"/>
          <w:lang w:val="en-US" w:eastAsia="zh-CN"/>
        </w:rPr>
        <w:t>承担</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rPr>
        <w:t>其合同份额占到合同总金额</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%以上</w:t>
      </w:r>
      <w:r>
        <w:rPr>
          <w:rFonts w:hint="eastAsia" w:ascii="宋体" w:hAnsi="宋体" w:cs="宋体"/>
          <w:color w:val="auto"/>
          <w:highlight w:val="none"/>
        </w:rPr>
        <w:t>。</w:t>
      </w:r>
      <w:r>
        <w:rPr>
          <w:rFonts w:hint="eastAsia" w:ascii="宋体" w:hAnsi="宋体" w:cs="宋体"/>
          <w:b/>
          <w:color w:val="auto"/>
          <w:kern w:val="0"/>
          <w:sz w:val="24"/>
          <w:highlight w:val="none"/>
          <w:lang w:val="zh-CN"/>
        </w:rPr>
        <w:t>（未预留份额专门面向中小企业采购的采购项目，以及预留份额中的非预留部分采购包，允许分包的，分包意向协议</w:t>
      </w:r>
      <w:r>
        <w:rPr>
          <w:rFonts w:hint="eastAsia" w:cs="宋体"/>
          <w:b/>
          <w:color w:val="auto"/>
          <w:kern w:val="0"/>
          <w:sz w:val="24"/>
          <w:highlight w:val="none"/>
          <w:lang w:val="en-US" w:eastAsia="zh-CN"/>
        </w:rPr>
        <w:t>书</w:t>
      </w:r>
      <w:r>
        <w:rPr>
          <w:rFonts w:hint="eastAsia" w:ascii="宋体" w:hAnsi="宋体" w:cs="宋体"/>
          <w:b/>
          <w:color w:val="auto"/>
          <w:kern w:val="0"/>
          <w:sz w:val="24"/>
          <w:highlight w:val="none"/>
          <w:lang w:val="zh-CN"/>
        </w:rPr>
        <w:t>约定小微企业的合同份额占到合同总金额30%以上的，对大中型企业的报价按评标标准确定的比例给予扣除。供应商</w:t>
      </w:r>
      <w:r>
        <w:rPr>
          <w:rFonts w:hint="eastAsia" w:ascii="宋体" w:hAnsi="宋体" w:cs="宋体"/>
          <w:b/>
          <w:color w:val="auto"/>
          <w:sz w:val="24"/>
          <w:highlight w:val="none"/>
        </w:rPr>
        <w:t>拟享受以上价格扣除政策的，填写有关内容。</w:t>
      </w:r>
      <w:r>
        <w:rPr>
          <w:rFonts w:hint="eastAsia" w:ascii="宋体" w:hAnsi="宋体" w:cs="宋体"/>
          <w:b/>
          <w:color w:val="auto"/>
          <w:kern w:val="0"/>
          <w:sz w:val="24"/>
          <w:highlight w:val="none"/>
          <w:lang w:val="zh-CN"/>
        </w:rPr>
        <w:t>）</w:t>
      </w:r>
    </w:p>
    <w:p w14:paraId="145FF207">
      <w:pPr>
        <w:spacing w:line="360" w:lineRule="auto"/>
        <w:ind w:firstLine="480" w:firstLineChars="200"/>
        <w:rPr>
          <w:rFonts w:ascii="宋体" w:hAnsi="宋体" w:cs="宋体"/>
          <w:b/>
          <w:bCs/>
          <w:color w:val="auto"/>
          <w:kern w:val="0"/>
          <w:sz w:val="24"/>
          <w:highlight w:val="none"/>
          <w:lang w:val="zh-CN"/>
        </w:rPr>
      </w:pPr>
      <w:r>
        <w:rPr>
          <w:rFonts w:hint="eastAsia" w:ascii="宋体" w:hAnsi="宋体" w:cs="宋体"/>
          <w:color w:val="auto"/>
          <w:sz w:val="24"/>
          <w:highlight w:val="none"/>
        </w:rPr>
        <w:t>2、</w:t>
      </w:r>
      <w:bookmarkStart w:id="632" w:name="_Hlk101133173"/>
      <w:r>
        <w:rPr>
          <w:rFonts w:hint="eastAsia" w:ascii="宋体" w:hAnsi="宋体" w:cs="宋体"/>
          <w:color w:val="auto"/>
          <w:sz w:val="24"/>
          <w:highlight w:val="none"/>
        </w:rPr>
        <w:t>中小企业合同金额达到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%，其中小微企业合同金额达到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w:t>
      </w:r>
      <w:r>
        <w:rPr>
          <w:rFonts w:hint="eastAsia" w:ascii="宋体" w:hAnsi="宋体" w:cs="宋体"/>
          <w:b/>
          <w:bCs/>
          <w:color w:val="auto"/>
          <w:kern w:val="0"/>
          <w:sz w:val="24"/>
          <w:highlight w:val="none"/>
          <w:lang w:val="zh-CN"/>
        </w:rPr>
        <w:t>（</w:t>
      </w:r>
      <w:r>
        <w:rPr>
          <w:rFonts w:hint="eastAsia" w:ascii="宋体" w:hAnsi="宋体" w:cs="宋体"/>
          <w:b/>
          <w:bCs/>
          <w:color w:val="auto"/>
          <w:sz w:val="24"/>
          <w:highlight w:val="none"/>
        </w:rPr>
        <w:t>要求合同分包形式参加的项目或采购包，供应商按招标文件第一部分招标公告申请人的资格要求中规定的</w:t>
      </w:r>
      <w:r>
        <w:rPr>
          <w:rFonts w:hint="eastAsia" w:ascii="宋体" w:hAnsi="宋体" w:cs="宋体"/>
          <w:b/>
          <w:color w:val="auto"/>
          <w:kern w:val="0"/>
          <w:sz w:val="24"/>
          <w:highlight w:val="none"/>
          <w:lang w:val="zh-CN"/>
        </w:rPr>
        <w:t>分包意向协议</w:t>
      </w:r>
      <w:r>
        <w:rPr>
          <w:rFonts w:hint="eastAsia" w:cs="宋体"/>
          <w:b/>
          <w:color w:val="auto"/>
          <w:kern w:val="0"/>
          <w:sz w:val="24"/>
          <w:highlight w:val="none"/>
          <w:lang w:val="en-US" w:eastAsia="zh-CN"/>
        </w:rPr>
        <w:t>书</w:t>
      </w:r>
      <w:r>
        <w:rPr>
          <w:rFonts w:hint="eastAsia" w:ascii="宋体" w:hAnsi="宋体" w:cs="宋体"/>
          <w:b/>
          <w:bCs/>
          <w:color w:val="auto"/>
          <w:sz w:val="24"/>
          <w:highlight w:val="none"/>
        </w:rPr>
        <w:t>中中小企业、小微企业合同金额应当达到的比例要求填写。</w:t>
      </w:r>
      <w:r>
        <w:rPr>
          <w:rFonts w:hint="eastAsia" w:ascii="宋体" w:hAnsi="宋体" w:cs="宋体"/>
          <w:b/>
          <w:bCs/>
          <w:color w:val="auto"/>
          <w:kern w:val="0"/>
          <w:sz w:val="24"/>
          <w:highlight w:val="none"/>
          <w:lang w:val="zh-CN"/>
        </w:rPr>
        <w:t>）</w:t>
      </w:r>
      <w:bookmarkEnd w:id="632"/>
    </w:p>
    <w:p w14:paraId="51C56E71">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三、分包工作履行期限、地点、方式</w:t>
      </w:r>
    </w:p>
    <w:p w14:paraId="7F26E4A3">
      <w:pPr>
        <w:snapToGrid w:val="0"/>
        <w:spacing w:line="360" w:lineRule="auto"/>
        <w:ind w:firstLine="576"/>
        <w:rPr>
          <w:rFonts w:ascii="宋体" w:hAnsi="宋体" w:cs="宋体"/>
          <w:color w:val="auto"/>
          <w:highlight w:val="none"/>
          <w:u w:val="single"/>
        </w:rPr>
      </w:pPr>
      <w:r>
        <w:rPr>
          <w:rFonts w:hint="eastAsia" w:ascii="宋体" w:hAnsi="宋体" w:cs="宋体"/>
          <w:color w:val="auto"/>
          <w:highlight w:val="none"/>
          <w:u w:val="single"/>
        </w:rPr>
        <w:t xml:space="preserve">                                                                                  </w:t>
      </w:r>
    </w:p>
    <w:p w14:paraId="7925029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四、质量</w:t>
      </w:r>
    </w:p>
    <w:p w14:paraId="7369B1B5">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0E7AB092">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五、价款或者报酬</w:t>
      </w:r>
    </w:p>
    <w:p w14:paraId="632B92C8">
      <w:pPr>
        <w:snapToGrid w:val="0"/>
        <w:spacing w:line="360" w:lineRule="auto"/>
        <w:ind w:left="655" w:leftChars="273"/>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0C79FAF7">
      <w:pPr>
        <w:snapToGrid w:val="0"/>
        <w:spacing w:line="360" w:lineRule="auto"/>
        <w:ind w:left="655" w:leftChars="273"/>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六、违约责任</w:t>
      </w:r>
    </w:p>
    <w:p w14:paraId="17F77B90">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22CBB9BB">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七、争议解决的办法</w:t>
      </w:r>
    </w:p>
    <w:p w14:paraId="5D83C451">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2DC21D17">
      <w:pPr>
        <w:snapToGrid w:val="0"/>
        <w:spacing w:line="360" w:lineRule="auto"/>
        <w:ind w:left="5861" w:leftChars="342" w:hanging="5040" w:hangingChars="21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r>
        <w:rPr>
          <w:rFonts w:hint="eastAsia" w:cs="宋体"/>
          <w:color w:val="auto"/>
          <w:kern w:val="0"/>
          <w:sz w:val="24"/>
          <w:highlight w:val="none"/>
          <w:lang w:val="en-US" w:eastAsia="zh-CN"/>
        </w:rPr>
        <w:t xml:space="preserve">     </w:t>
      </w:r>
      <w:r>
        <w:rPr>
          <w:rFonts w:hint="eastAsia" w:ascii="宋体" w:hAnsi="宋体" w:cs="宋体"/>
          <w:color w:val="auto"/>
          <w:kern w:val="0"/>
          <w:sz w:val="24"/>
          <w:highlight w:val="none"/>
          <w:lang w:val="zh-CN"/>
        </w:rPr>
        <w:t xml:space="preserve">  投标人名称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p>
    <w:p w14:paraId="02869108">
      <w:pPr>
        <w:snapToGrid w:val="0"/>
        <w:spacing w:line="360" w:lineRule="auto"/>
        <w:jc w:val="righ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分包供应商名称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p>
    <w:p w14:paraId="63AD0D69">
      <w:pPr>
        <w:snapToGrid w:val="0"/>
        <w:spacing w:line="360" w:lineRule="auto"/>
        <w:jc w:val="right"/>
        <w:rPr>
          <w:rFonts w:ascii="宋体" w:hAnsi="宋体" w:cs="宋体"/>
          <w:color w:val="auto"/>
          <w:kern w:val="0"/>
          <w:sz w:val="24"/>
          <w:highlight w:val="none"/>
          <w:lang w:val="zh-CN"/>
        </w:rPr>
      </w:pPr>
    </w:p>
    <w:p w14:paraId="102F6BD9">
      <w:pPr>
        <w:snapToGrid w:val="0"/>
        <w:spacing w:line="360" w:lineRule="auto"/>
        <w:ind w:firstLine="5760" w:firstLineChars="2400"/>
        <w:rPr>
          <w:rFonts w:ascii="宋体" w:hAnsi="宋体" w:cs="宋体"/>
          <w:color w:val="auto"/>
          <w:highlight w:val="none"/>
        </w:rPr>
      </w:pPr>
      <w:r>
        <w:rPr>
          <w:rFonts w:hint="eastAsia" w:ascii="宋体" w:hAnsi="宋体" w:cs="宋体"/>
          <w:color w:val="auto"/>
          <w:kern w:val="0"/>
          <w:sz w:val="24"/>
          <w:highlight w:val="none"/>
          <w:lang w:val="zh-CN"/>
        </w:rPr>
        <w:t>……</w:t>
      </w:r>
    </w:p>
    <w:p w14:paraId="22C38D7A">
      <w:pPr>
        <w:spacing w:line="360" w:lineRule="auto"/>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  年  月   日</w:t>
      </w:r>
    </w:p>
    <w:p w14:paraId="49A2F910">
      <w:pPr>
        <w:spacing w:line="360" w:lineRule="auto"/>
        <w:ind w:right="420"/>
        <w:rPr>
          <w:rFonts w:ascii="宋体" w:hAnsi="宋体" w:cs="宋体"/>
          <w:color w:val="auto"/>
          <w:sz w:val="24"/>
          <w:highlight w:val="none"/>
        </w:rPr>
      </w:pPr>
      <w:r>
        <w:rPr>
          <w:rFonts w:hint="eastAsia" w:ascii="宋体" w:hAnsi="宋体" w:cs="宋体"/>
          <w:color w:val="auto"/>
          <w:sz w:val="21"/>
          <w:szCs w:val="21"/>
          <w:highlight w:val="none"/>
        </w:rPr>
        <w:t>注：按本格式和要求提供。</w:t>
      </w:r>
    </w:p>
    <w:p w14:paraId="7F0D76CC">
      <w:pPr>
        <w:topLinePunct/>
        <w:ind w:firstLine="480" w:firstLineChars="200"/>
        <w:rPr>
          <w:rFonts w:hint="eastAsia"/>
          <w:color w:val="auto"/>
          <w:szCs w:val="32"/>
          <w:highlight w:val="none"/>
        </w:rPr>
      </w:pPr>
    </w:p>
    <w:p w14:paraId="5F400CB9">
      <w:pPr>
        <w:topLinePunct/>
        <w:ind w:firstLine="480" w:firstLineChars="200"/>
        <w:rPr>
          <w:rFonts w:hint="eastAsia"/>
          <w:color w:val="auto"/>
          <w:szCs w:val="32"/>
          <w:highlight w:val="none"/>
        </w:rPr>
      </w:pPr>
    </w:p>
    <w:p w14:paraId="11CAF290">
      <w:pPr>
        <w:topLinePunct/>
        <w:ind w:firstLine="480" w:firstLineChars="200"/>
        <w:rPr>
          <w:rFonts w:hint="eastAsia"/>
          <w:color w:val="auto"/>
          <w:szCs w:val="32"/>
          <w:highlight w:val="none"/>
        </w:rPr>
      </w:pPr>
    </w:p>
    <w:p w14:paraId="35CFE103">
      <w:pPr>
        <w:topLinePunct/>
        <w:ind w:firstLine="480" w:firstLineChars="200"/>
        <w:rPr>
          <w:rFonts w:hint="eastAsia"/>
          <w:color w:val="auto"/>
          <w:szCs w:val="32"/>
          <w:highlight w:val="none"/>
        </w:rPr>
      </w:pPr>
    </w:p>
    <w:bookmarkEnd w:id="627"/>
    <w:p w14:paraId="5775F461">
      <w:pPr>
        <w:ind w:left="2520" w:leftChars="1050"/>
        <w:rPr>
          <w:color w:val="auto"/>
          <w:highlight w:val="none"/>
        </w:rPr>
      </w:pPr>
      <w:r>
        <w:rPr>
          <w:rFonts w:cs="Courier New"/>
          <w:color w:val="auto"/>
          <w:szCs w:val="24"/>
          <w:highlight w:val="none"/>
        </w:rPr>
        <w:br w:type="page"/>
      </w:r>
    </w:p>
    <w:p w14:paraId="6C745F3D">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633" w:name="_Toc163492926"/>
      <w:bookmarkStart w:id="634" w:name="_Toc155185932"/>
      <w:bookmarkStart w:id="635" w:name="_Toc4279"/>
      <w:bookmarkStart w:id="636" w:name="_Toc30866"/>
      <w:r>
        <w:rPr>
          <w:rFonts w:hint="eastAsia" w:cstheme="majorBidi"/>
          <w:b/>
          <w:bCs/>
          <w:color w:val="auto"/>
          <w:kern w:val="2"/>
          <w:sz w:val="28"/>
          <w:szCs w:val="28"/>
          <w:highlight w:val="none"/>
          <w:lang w:val="en-US" w:eastAsia="zh-CN" w:bidi="ar-SA"/>
        </w:rPr>
        <w:t>四</w:t>
      </w:r>
      <w:r>
        <w:rPr>
          <w:rFonts w:hint="eastAsia" w:eastAsia="宋体" w:asciiTheme="majorHAnsi" w:hAnsiTheme="majorHAnsi" w:cstheme="majorBidi"/>
          <w:b/>
          <w:bCs/>
          <w:color w:val="auto"/>
          <w:kern w:val="2"/>
          <w:sz w:val="28"/>
          <w:szCs w:val="28"/>
          <w:highlight w:val="none"/>
          <w:lang w:val="en-US" w:eastAsia="zh-CN" w:bidi="ar-SA"/>
        </w:rPr>
        <w:t>、</w:t>
      </w:r>
      <w:bookmarkEnd w:id="633"/>
      <w:bookmarkEnd w:id="634"/>
      <w:r>
        <w:rPr>
          <w:rFonts w:hint="eastAsia" w:eastAsia="宋体" w:asciiTheme="majorHAnsi" w:hAnsiTheme="majorHAnsi" w:cstheme="majorBidi"/>
          <w:b/>
          <w:bCs/>
          <w:color w:val="auto"/>
          <w:kern w:val="2"/>
          <w:sz w:val="28"/>
          <w:szCs w:val="28"/>
          <w:highlight w:val="none"/>
          <w:lang w:val="en-US" w:eastAsia="zh-CN" w:bidi="ar-SA"/>
        </w:rPr>
        <w:t>落实政府采购政策相关证明文件</w:t>
      </w:r>
      <w:bookmarkEnd w:id="635"/>
      <w:bookmarkEnd w:id="636"/>
    </w:p>
    <w:p w14:paraId="0076F407">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637" w:name="_Toc163492938"/>
      <w:bookmarkStart w:id="638" w:name="_Toc18227"/>
      <w:r>
        <w:rPr>
          <w:rFonts w:hint="eastAsia" w:ascii="宋体" w:hAnsi="宋体" w:eastAsia="宋体" w:cs="宋体"/>
          <w:b/>
          <w:bCs/>
          <w:color w:val="auto"/>
          <w:kern w:val="2"/>
          <w:sz w:val="24"/>
          <w:szCs w:val="24"/>
          <w:highlight w:val="none"/>
          <w:lang w:val="en-US" w:eastAsia="zh-CN" w:bidi="ar-SA"/>
        </w:rPr>
        <w:t>（一）节能环保产品清单及证明材料</w:t>
      </w:r>
      <w:r>
        <w:rPr>
          <w:rFonts w:hint="eastAsia" w:ascii="宋体" w:hAnsi="宋体" w:eastAsia="宋体" w:cs="宋体"/>
          <w:b w:val="0"/>
          <w:bCs w:val="0"/>
          <w:color w:val="auto"/>
          <w:kern w:val="2"/>
          <w:sz w:val="24"/>
          <w:szCs w:val="24"/>
          <w:highlight w:val="none"/>
          <w:lang w:val="en-US" w:eastAsia="zh-CN" w:bidi="ar-SA"/>
        </w:rPr>
        <w:t>【如适用】</w:t>
      </w:r>
      <w:bookmarkEnd w:id="637"/>
      <w:bookmarkEnd w:id="638"/>
    </w:p>
    <w:p w14:paraId="129366EF">
      <w:pPr>
        <w:spacing w:line="30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val="en-US" w:eastAsia="zh-CN"/>
        </w:rPr>
        <w:t>/包号</w:t>
      </w:r>
      <w:r>
        <w:rPr>
          <w:rFonts w:hint="eastAsia" w:ascii="宋体" w:hAnsi="宋体" w:eastAsia="宋体" w:cs="宋体"/>
          <w:color w:val="auto"/>
          <w:sz w:val="24"/>
          <w:szCs w:val="24"/>
          <w:highlight w:val="none"/>
        </w:rPr>
        <w:t>：</w:t>
      </w:r>
    </w:p>
    <w:p w14:paraId="51FADA0E">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节能产品</w:t>
      </w:r>
    </w:p>
    <w:tbl>
      <w:tblPr>
        <w:tblStyle w:val="29"/>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57"/>
        <w:gridCol w:w="1147"/>
        <w:gridCol w:w="972"/>
        <w:gridCol w:w="792"/>
        <w:gridCol w:w="696"/>
        <w:gridCol w:w="648"/>
        <w:gridCol w:w="1128"/>
        <w:gridCol w:w="1224"/>
        <w:gridCol w:w="1582"/>
      </w:tblGrid>
      <w:tr w14:paraId="214BE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19BA53A1">
            <w:pPr>
              <w:pStyle w:val="48"/>
              <w:jc w:val="center"/>
              <w:rPr>
                <w:color w:val="auto"/>
                <w:sz w:val="21"/>
                <w:szCs w:val="21"/>
                <w:highlight w:val="none"/>
              </w:rPr>
            </w:pPr>
            <w:r>
              <w:rPr>
                <w:rFonts w:hint="eastAsia"/>
                <w:color w:val="auto"/>
                <w:sz w:val="21"/>
                <w:szCs w:val="21"/>
                <w:highlight w:val="none"/>
              </w:rPr>
              <w:t>序号</w:t>
            </w:r>
          </w:p>
        </w:tc>
        <w:tc>
          <w:tcPr>
            <w:tcW w:w="1147" w:type="dxa"/>
            <w:tcBorders>
              <w:top w:val="single" w:color="auto" w:sz="4" w:space="0"/>
              <w:left w:val="single" w:color="auto" w:sz="4" w:space="0"/>
              <w:bottom w:val="single" w:color="auto" w:sz="4" w:space="0"/>
              <w:right w:val="single" w:color="auto" w:sz="4" w:space="0"/>
            </w:tcBorders>
            <w:vAlign w:val="center"/>
          </w:tcPr>
          <w:p w14:paraId="33C66ABB">
            <w:pPr>
              <w:pStyle w:val="48"/>
              <w:jc w:val="center"/>
              <w:rPr>
                <w:color w:val="auto"/>
                <w:sz w:val="21"/>
                <w:szCs w:val="21"/>
                <w:highlight w:val="none"/>
              </w:rPr>
            </w:pPr>
            <w:r>
              <w:rPr>
                <w:rFonts w:hint="eastAsia"/>
                <w:color w:val="auto"/>
                <w:sz w:val="21"/>
                <w:szCs w:val="21"/>
                <w:highlight w:val="none"/>
              </w:rPr>
              <w:t>设备名称</w:t>
            </w:r>
          </w:p>
        </w:tc>
        <w:tc>
          <w:tcPr>
            <w:tcW w:w="972" w:type="dxa"/>
            <w:tcBorders>
              <w:top w:val="single" w:color="auto" w:sz="4" w:space="0"/>
              <w:left w:val="single" w:color="auto" w:sz="4" w:space="0"/>
              <w:bottom w:val="single" w:color="auto" w:sz="4" w:space="0"/>
              <w:right w:val="single" w:color="auto" w:sz="4" w:space="0"/>
            </w:tcBorders>
            <w:vAlign w:val="center"/>
          </w:tcPr>
          <w:p w14:paraId="0A6767B6">
            <w:pPr>
              <w:pStyle w:val="48"/>
              <w:jc w:val="center"/>
              <w:rPr>
                <w:color w:val="auto"/>
                <w:sz w:val="21"/>
                <w:szCs w:val="21"/>
                <w:highlight w:val="none"/>
              </w:rPr>
            </w:pPr>
            <w:r>
              <w:rPr>
                <w:rFonts w:hint="eastAsia"/>
                <w:color w:val="auto"/>
                <w:sz w:val="21"/>
                <w:szCs w:val="21"/>
                <w:highlight w:val="none"/>
              </w:rPr>
              <w:t>制造商名称</w:t>
            </w:r>
          </w:p>
        </w:tc>
        <w:tc>
          <w:tcPr>
            <w:tcW w:w="792" w:type="dxa"/>
            <w:tcBorders>
              <w:top w:val="single" w:color="auto" w:sz="4" w:space="0"/>
              <w:left w:val="single" w:color="auto" w:sz="4" w:space="0"/>
              <w:bottom w:val="single" w:color="auto" w:sz="4" w:space="0"/>
              <w:right w:val="single" w:color="auto" w:sz="4" w:space="0"/>
            </w:tcBorders>
            <w:vAlign w:val="center"/>
          </w:tcPr>
          <w:p w14:paraId="31DEE91E">
            <w:pPr>
              <w:pStyle w:val="48"/>
              <w:jc w:val="center"/>
              <w:rPr>
                <w:color w:val="auto"/>
                <w:sz w:val="21"/>
                <w:szCs w:val="21"/>
                <w:highlight w:val="none"/>
              </w:rPr>
            </w:pPr>
            <w:r>
              <w:rPr>
                <w:rFonts w:hint="eastAsia"/>
                <w:color w:val="auto"/>
                <w:sz w:val="21"/>
                <w:szCs w:val="21"/>
                <w:highlight w:val="none"/>
              </w:rPr>
              <w:t>品牌</w:t>
            </w:r>
          </w:p>
        </w:tc>
        <w:tc>
          <w:tcPr>
            <w:tcW w:w="696" w:type="dxa"/>
            <w:tcBorders>
              <w:top w:val="single" w:color="auto" w:sz="4" w:space="0"/>
              <w:left w:val="single" w:color="auto" w:sz="4" w:space="0"/>
              <w:bottom w:val="single" w:color="auto" w:sz="4" w:space="0"/>
              <w:right w:val="single" w:color="auto" w:sz="4" w:space="0"/>
            </w:tcBorders>
            <w:vAlign w:val="center"/>
          </w:tcPr>
          <w:p w14:paraId="5BB11F42">
            <w:pPr>
              <w:pStyle w:val="48"/>
              <w:jc w:val="center"/>
              <w:rPr>
                <w:color w:val="auto"/>
                <w:sz w:val="21"/>
                <w:szCs w:val="21"/>
                <w:highlight w:val="none"/>
              </w:rPr>
            </w:pPr>
            <w:r>
              <w:rPr>
                <w:rFonts w:hint="eastAsia"/>
                <w:color w:val="auto"/>
                <w:sz w:val="21"/>
                <w:szCs w:val="21"/>
                <w:highlight w:val="none"/>
              </w:rPr>
              <w:t>型号</w:t>
            </w:r>
          </w:p>
        </w:tc>
        <w:tc>
          <w:tcPr>
            <w:tcW w:w="648" w:type="dxa"/>
            <w:tcBorders>
              <w:top w:val="single" w:color="auto" w:sz="4" w:space="0"/>
              <w:left w:val="single" w:color="auto" w:sz="4" w:space="0"/>
              <w:bottom w:val="single" w:color="auto" w:sz="4" w:space="0"/>
              <w:right w:val="single" w:color="auto" w:sz="4" w:space="0"/>
            </w:tcBorders>
            <w:vAlign w:val="center"/>
          </w:tcPr>
          <w:p w14:paraId="146CD78D">
            <w:pPr>
              <w:pStyle w:val="48"/>
              <w:jc w:val="center"/>
              <w:rPr>
                <w:color w:val="auto"/>
                <w:sz w:val="21"/>
                <w:szCs w:val="21"/>
                <w:highlight w:val="none"/>
              </w:rPr>
            </w:pPr>
            <w:r>
              <w:rPr>
                <w:rFonts w:hint="eastAsia"/>
                <w:color w:val="auto"/>
                <w:sz w:val="21"/>
                <w:szCs w:val="21"/>
                <w:highlight w:val="none"/>
              </w:rPr>
              <w:t>数量</w:t>
            </w:r>
          </w:p>
        </w:tc>
        <w:tc>
          <w:tcPr>
            <w:tcW w:w="1128" w:type="dxa"/>
            <w:tcBorders>
              <w:top w:val="single" w:color="auto" w:sz="4" w:space="0"/>
              <w:left w:val="single" w:color="auto" w:sz="4" w:space="0"/>
              <w:bottom w:val="single" w:color="auto" w:sz="4" w:space="0"/>
              <w:right w:val="single" w:color="auto" w:sz="4" w:space="0"/>
            </w:tcBorders>
            <w:vAlign w:val="center"/>
          </w:tcPr>
          <w:p w14:paraId="52ABF9B6">
            <w:pPr>
              <w:pStyle w:val="48"/>
              <w:jc w:val="center"/>
              <w:rPr>
                <w:color w:val="auto"/>
                <w:sz w:val="21"/>
                <w:szCs w:val="21"/>
                <w:highlight w:val="none"/>
              </w:rPr>
            </w:pPr>
            <w:r>
              <w:rPr>
                <w:rFonts w:hint="eastAsia"/>
                <w:color w:val="auto"/>
                <w:sz w:val="21"/>
                <w:szCs w:val="21"/>
                <w:highlight w:val="none"/>
              </w:rPr>
              <w:t>单价</w:t>
            </w:r>
          </w:p>
          <w:p w14:paraId="022A35EE">
            <w:pPr>
              <w:pStyle w:val="48"/>
              <w:jc w:val="center"/>
              <w:rPr>
                <w:color w:val="auto"/>
                <w:sz w:val="21"/>
                <w:szCs w:val="21"/>
                <w:highlight w:val="none"/>
              </w:rPr>
            </w:pPr>
            <w:r>
              <w:rPr>
                <w:rFonts w:hint="eastAsia"/>
                <w:color w:val="auto"/>
                <w:sz w:val="21"/>
                <w:szCs w:val="21"/>
                <w:highlight w:val="none"/>
              </w:rPr>
              <w:t>（万元）</w:t>
            </w:r>
          </w:p>
        </w:tc>
        <w:tc>
          <w:tcPr>
            <w:tcW w:w="1224" w:type="dxa"/>
            <w:tcBorders>
              <w:top w:val="single" w:color="auto" w:sz="4" w:space="0"/>
              <w:left w:val="single" w:color="auto" w:sz="4" w:space="0"/>
              <w:bottom w:val="single" w:color="auto" w:sz="4" w:space="0"/>
              <w:right w:val="single" w:color="auto" w:sz="4" w:space="0"/>
            </w:tcBorders>
            <w:vAlign w:val="center"/>
          </w:tcPr>
          <w:p w14:paraId="47F9C89C">
            <w:pPr>
              <w:pStyle w:val="48"/>
              <w:jc w:val="center"/>
              <w:rPr>
                <w:color w:val="auto"/>
                <w:sz w:val="21"/>
                <w:szCs w:val="21"/>
                <w:highlight w:val="none"/>
              </w:rPr>
            </w:pPr>
            <w:r>
              <w:rPr>
                <w:rFonts w:hint="eastAsia"/>
                <w:color w:val="auto"/>
                <w:sz w:val="21"/>
                <w:szCs w:val="21"/>
                <w:highlight w:val="none"/>
              </w:rPr>
              <w:t>总价</w:t>
            </w:r>
          </w:p>
          <w:p w14:paraId="13E39665">
            <w:pPr>
              <w:pStyle w:val="48"/>
              <w:jc w:val="center"/>
              <w:rPr>
                <w:color w:val="auto"/>
                <w:sz w:val="21"/>
                <w:szCs w:val="21"/>
                <w:highlight w:val="none"/>
              </w:rPr>
            </w:pPr>
            <w:r>
              <w:rPr>
                <w:rFonts w:hint="eastAsia"/>
                <w:color w:val="auto"/>
                <w:sz w:val="21"/>
                <w:szCs w:val="21"/>
                <w:highlight w:val="none"/>
              </w:rPr>
              <w:t>（万元）</w:t>
            </w:r>
          </w:p>
        </w:tc>
        <w:tc>
          <w:tcPr>
            <w:tcW w:w="1582" w:type="dxa"/>
            <w:tcBorders>
              <w:top w:val="single" w:color="auto" w:sz="4" w:space="0"/>
              <w:left w:val="single" w:color="auto" w:sz="4" w:space="0"/>
              <w:bottom w:val="single" w:color="auto" w:sz="4" w:space="0"/>
              <w:right w:val="single" w:color="auto" w:sz="4" w:space="0"/>
            </w:tcBorders>
            <w:vAlign w:val="center"/>
          </w:tcPr>
          <w:p w14:paraId="5EF1CA54">
            <w:pPr>
              <w:pStyle w:val="48"/>
              <w:jc w:val="center"/>
              <w:rPr>
                <w:color w:val="auto"/>
                <w:sz w:val="21"/>
                <w:szCs w:val="21"/>
                <w:highlight w:val="none"/>
              </w:rPr>
            </w:pPr>
            <w:r>
              <w:rPr>
                <w:rFonts w:hint="eastAsia"/>
                <w:color w:val="auto"/>
                <w:sz w:val="21"/>
                <w:szCs w:val="21"/>
                <w:highlight w:val="none"/>
              </w:rPr>
              <w:t>属强制采购或优先采购</w:t>
            </w:r>
          </w:p>
        </w:tc>
      </w:tr>
      <w:tr w14:paraId="2E907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6ADB00D2">
            <w:pPr>
              <w:pStyle w:val="48"/>
              <w:numPr>
                <w:ilvl w:val="0"/>
                <w:numId w:val="3"/>
              </w:numPr>
              <w:jc w:val="center"/>
              <w:rPr>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53FEE94B">
            <w:pPr>
              <w:pStyle w:val="48"/>
              <w:jc w:val="center"/>
              <w:rPr>
                <w:color w:val="auto"/>
                <w:sz w:val="21"/>
                <w:szCs w:val="21"/>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510BB06E">
            <w:pPr>
              <w:pStyle w:val="48"/>
              <w:jc w:val="center"/>
              <w:rPr>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6C5A5920">
            <w:pPr>
              <w:pStyle w:val="48"/>
              <w:jc w:val="center"/>
              <w:rPr>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35E1910D">
            <w:pPr>
              <w:pStyle w:val="48"/>
              <w:jc w:val="center"/>
              <w:rPr>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2648ECA9">
            <w:pPr>
              <w:pStyle w:val="48"/>
              <w:jc w:val="center"/>
              <w:rPr>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264C2E61">
            <w:pPr>
              <w:pStyle w:val="48"/>
              <w:jc w:val="center"/>
              <w:rPr>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725FE785">
            <w:pPr>
              <w:pStyle w:val="48"/>
              <w:jc w:val="center"/>
              <w:rPr>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464D763D">
            <w:pPr>
              <w:pStyle w:val="48"/>
              <w:jc w:val="center"/>
              <w:rPr>
                <w:color w:val="auto"/>
                <w:sz w:val="21"/>
                <w:szCs w:val="21"/>
                <w:highlight w:val="none"/>
              </w:rPr>
            </w:pPr>
          </w:p>
        </w:tc>
      </w:tr>
      <w:tr w14:paraId="37C9C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2FEF61DD">
            <w:pPr>
              <w:pStyle w:val="48"/>
              <w:numPr>
                <w:ilvl w:val="0"/>
                <w:numId w:val="3"/>
              </w:numPr>
              <w:jc w:val="center"/>
              <w:rPr>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0416B1F1">
            <w:pPr>
              <w:pStyle w:val="48"/>
              <w:jc w:val="center"/>
              <w:rPr>
                <w:color w:val="auto"/>
                <w:sz w:val="21"/>
                <w:szCs w:val="21"/>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2C36B510">
            <w:pPr>
              <w:pStyle w:val="48"/>
              <w:jc w:val="center"/>
              <w:rPr>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50AC0C7C">
            <w:pPr>
              <w:pStyle w:val="48"/>
              <w:jc w:val="center"/>
              <w:rPr>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567CCBE2">
            <w:pPr>
              <w:pStyle w:val="48"/>
              <w:jc w:val="center"/>
              <w:rPr>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2BBEE273">
            <w:pPr>
              <w:pStyle w:val="48"/>
              <w:jc w:val="center"/>
              <w:rPr>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0202F913">
            <w:pPr>
              <w:pStyle w:val="48"/>
              <w:jc w:val="center"/>
              <w:rPr>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4965158B">
            <w:pPr>
              <w:pStyle w:val="48"/>
              <w:jc w:val="center"/>
              <w:rPr>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4778C7D9">
            <w:pPr>
              <w:pStyle w:val="48"/>
              <w:jc w:val="center"/>
              <w:rPr>
                <w:color w:val="auto"/>
                <w:sz w:val="21"/>
                <w:szCs w:val="21"/>
                <w:highlight w:val="none"/>
              </w:rPr>
            </w:pPr>
          </w:p>
        </w:tc>
      </w:tr>
      <w:tr w14:paraId="54DDF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648CCAB2">
            <w:pPr>
              <w:pStyle w:val="48"/>
              <w:numPr>
                <w:ilvl w:val="0"/>
                <w:numId w:val="3"/>
              </w:numPr>
              <w:jc w:val="center"/>
              <w:rPr>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525CCB97">
            <w:pPr>
              <w:pStyle w:val="48"/>
              <w:jc w:val="center"/>
              <w:rPr>
                <w:color w:val="auto"/>
                <w:sz w:val="21"/>
                <w:szCs w:val="21"/>
                <w:highlight w:val="none"/>
              </w:rPr>
            </w:pPr>
            <w:r>
              <w:rPr>
                <w:color w:val="auto"/>
                <w:sz w:val="21"/>
                <w:szCs w:val="21"/>
                <w:highlight w:val="none"/>
              </w:rPr>
              <w:t>……</w:t>
            </w:r>
          </w:p>
        </w:tc>
        <w:tc>
          <w:tcPr>
            <w:tcW w:w="972" w:type="dxa"/>
            <w:tcBorders>
              <w:top w:val="single" w:color="auto" w:sz="4" w:space="0"/>
              <w:left w:val="single" w:color="auto" w:sz="4" w:space="0"/>
              <w:bottom w:val="single" w:color="auto" w:sz="4" w:space="0"/>
              <w:right w:val="single" w:color="auto" w:sz="4" w:space="0"/>
            </w:tcBorders>
            <w:vAlign w:val="center"/>
          </w:tcPr>
          <w:p w14:paraId="20FBEE7F">
            <w:pPr>
              <w:pStyle w:val="48"/>
              <w:jc w:val="center"/>
              <w:rPr>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2FABF0FD">
            <w:pPr>
              <w:pStyle w:val="48"/>
              <w:jc w:val="center"/>
              <w:rPr>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641EE4F1">
            <w:pPr>
              <w:pStyle w:val="48"/>
              <w:jc w:val="center"/>
              <w:rPr>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34758BE8">
            <w:pPr>
              <w:pStyle w:val="48"/>
              <w:jc w:val="center"/>
              <w:rPr>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4A503622">
            <w:pPr>
              <w:pStyle w:val="48"/>
              <w:jc w:val="center"/>
              <w:rPr>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73CD9502">
            <w:pPr>
              <w:pStyle w:val="48"/>
              <w:jc w:val="center"/>
              <w:rPr>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51E5F4FE">
            <w:pPr>
              <w:pStyle w:val="48"/>
              <w:jc w:val="center"/>
              <w:rPr>
                <w:color w:val="auto"/>
                <w:sz w:val="21"/>
                <w:szCs w:val="21"/>
                <w:highlight w:val="none"/>
              </w:rPr>
            </w:pPr>
          </w:p>
        </w:tc>
      </w:tr>
    </w:tbl>
    <w:p w14:paraId="0BF4E52B">
      <w:pPr>
        <w:spacing w:line="300" w:lineRule="auto"/>
        <w:rPr>
          <w:rFonts w:ascii="Arial" w:hAnsi="Arial" w:cs="Arial"/>
          <w:color w:val="auto"/>
          <w:szCs w:val="21"/>
          <w:highlight w:val="none"/>
        </w:rPr>
      </w:pPr>
    </w:p>
    <w:p w14:paraId="37B13C23">
      <w:pPr>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环保产品</w:t>
      </w:r>
    </w:p>
    <w:tbl>
      <w:tblPr>
        <w:tblStyle w:val="29"/>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76"/>
        <w:gridCol w:w="1140"/>
        <w:gridCol w:w="1272"/>
        <w:gridCol w:w="816"/>
        <w:gridCol w:w="816"/>
        <w:gridCol w:w="1032"/>
        <w:gridCol w:w="1380"/>
        <w:gridCol w:w="1714"/>
      </w:tblGrid>
      <w:tr w14:paraId="75A58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0E1C37F0">
            <w:pPr>
              <w:pStyle w:val="48"/>
              <w:jc w:val="center"/>
              <w:rPr>
                <w:color w:val="auto"/>
                <w:sz w:val="21"/>
                <w:szCs w:val="21"/>
                <w:highlight w:val="none"/>
              </w:rPr>
            </w:pPr>
            <w:r>
              <w:rPr>
                <w:rFonts w:hint="eastAsia"/>
                <w:color w:val="auto"/>
                <w:sz w:val="21"/>
                <w:szCs w:val="21"/>
                <w:highlight w:val="none"/>
              </w:rPr>
              <w:t>序号</w:t>
            </w:r>
          </w:p>
        </w:tc>
        <w:tc>
          <w:tcPr>
            <w:tcW w:w="1140" w:type="dxa"/>
            <w:tcBorders>
              <w:top w:val="single" w:color="auto" w:sz="4" w:space="0"/>
              <w:left w:val="single" w:color="auto" w:sz="4" w:space="0"/>
              <w:bottom w:val="single" w:color="auto" w:sz="4" w:space="0"/>
              <w:right w:val="single" w:color="auto" w:sz="4" w:space="0"/>
            </w:tcBorders>
            <w:vAlign w:val="center"/>
          </w:tcPr>
          <w:p w14:paraId="61FD081C">
            <w:pPr>
              <w:pStyle w:val="48"/>
              <w:jc w:val="center"/>
              <w:rPr>
                <w:color w:val="auto"/>
                <w:sz w:val="21"/>
                <w:szCs w:val="21"/>
                <w:highlight w:val="none"/>
              </w:rPr>
            </w:pPr>
            <w:r>
              <w:rPr>
                <w:rFonts w:hint="eastAsia"/>
                <w:color w:val="auto"/>
                <w:sz w:val="21"/>
                <w:szCs w:val="21"/>
                <w:highlight w:val="none"/>
              </w:rPr>
              <w:t>设备名称</w:t>
            </w:r>
          </w:p>
        </w:tc>
        <w:tc>
          <w:tcPr>
            <w:tcW w:w="1272" w:type="dxa"/>
            <w:tcBorders>
              <w:top w:val="single" w:color="auto" w:sz="4" w:space="0"/>
              <w:left w:val="single" w:color="auto" w:sz="4" w:space="0"/>
              <w:bottom w:val="single" w:color="auto" w:sz="4" w:space="0"/>
              <w:right w:val="single" w:color="auto" w:sz="4" w:space="0"/>
            </w:tcBorders>
            <w:vAlign w:val="center"/>
          </w:tcPr>
          <w:p w14:paraId="29856322">
            <w:pPr>
              <w:pStyle w:val="48"/>
              <w:jc w:val="center"/>
              <w:rPr>
                <w:color w:val="auto"/>
                <w:sz w:val="21"/>
                <w:szCs w:val="21"/>
                <w:highlight w:val="none"/>
              </w:rPr>
            </w:pPr>
            <w:r>
              <w:rPr>
                <w:rFonts w:hint="eastAsia"/>
                <w:color w:val="auto"/>
                <w:sz w:val="21"/>
                <w:szCs w:val="21"/>
                <w:highlight w:val="none"/>
              </w:rPr>
              <w:t>制造商</w:t>
            </w:r>
          </w:p>
          <w:p w14:paraId="43D7ECA8">
            <w:pPr>
              <w:pStyle w:val="48"/>
              <w:jc w:val="center"/>
              <w:rPr>
                <w:color w:val="auto"/>
                <w:sz w:val="21"/>
                <w:szCs w:val="21"/>
                <w:highlight w:val="none"/>
              </w:rPr>
            </w:pPr>
            <w:r>
              <w:rPr>
                <w:rFonts w:hint="eastAsia"/>
                <w:color w:val="auto"/>
                <w:sz w:val="21"/>
                <w:szCs w:val="21"/>
                <w:highlight w:val="none"/>
              </w:rPr>
              <w:t>名称</w:t>
            </w:r>
          </w:p>
        </w:tc>
        <w:tc>
          <w:tcPr>
            <w:tcW w:w="816" w:type="dxa"/>
            <w:tcBorders>
              <w:top w:val="single" w:color="auto" w:sz="4" w:space="0"/>
              <w:left w:val="single" w:color="auto" w:sz="4" w:space="0"/>
              <w:bottom w:val="single" w:color="auto" w:sz="4" w:space="0"/>
              <w:right w:val="single" w:color="auto" w:sz="4" w:space="0"/>
            </w:tcBorders>
            <w:vAlign w:val="center"/>
          </w:tcPr>
          <w:p w14:paraId="3DA2F666">
            <w:pPr>
              <w:pStyle w:val="48"/>
              <w:jc w:val="center"/>
              <w:rPr>
                <w:color w:val="auto"/>
                <w:sz w:val="21"/>
                <w:szCs w:val="21"/>
                <w:highlight w:val="none"/>
              </w:rPr>
            </w:pPr>
            <w:r>
              <w:rPr>
                <w:rFonts w:hint="eastAsia"/>
                <w:color w:val="auto"/>
                <w:sz w:val="21"/>
                <w:szCs w:val="21"/>
                <w:highlight w:val="none"/>
              </w:rPr>
              <w:t>品牌</w:t>
            </w:r>
          </w:p>
        </w:tc>
        <w:tc>
          <w:tcPr>
            <w:tcW w:w="816" w:type="dxa"/>
            <w:tcBorders>
              <w:top w:val="single" w:color="auto" w:sz="4" w:space="0"/>
              <w:left w:val="single" w:color="auto" w:sz="4" w:space="0"/>
              <w:bottom w:val="single" w:color="auto" w:sz="4" w:space="0"/>
              <w:right w:val="single" w:color="auto" w:sz="4" w:space="0"/>
            </w:tcBorders>
            <w:vAlign w:val="center"/>
          </w:tcPr>
          <w:p w14:paraId="4C041C3A">
            <w:pPr>
              <w:pStyle w:val="48"/>
              <w:jc w:val="center"/>
              <w:rPr>
                <w:color w:val="auto"/>
                <w:sz w:val="21"/>
                <w:szCs w:val="21"/>
                <w:highlight w:val="none"/>
              </w:rPr>
            </w:pPr>
            <w:r>
              <w:rPr>
                <w:rFonts w:hint="eastAsia"/>
                <w:color w:val="auto"/>
                <w:sz w:val="21"/>
                <w:szCs w:val="21"/>
                <w:highlight w:val="none"/>
              </w:rPr>
              <w:t>型号</w:t>
            </w:r>
          </w:p>
        </w:tc>
        <w:tc>
          <w:tcPr>
            <w:tcW w:w="1032" w:type="dxa"/>
            <w:tcBorders>
              <w:top w:val="single" w:color="auto" w:sz="4" w:space="0"/>
              <w:left w:val="single" w:color="auto" w:sz="4" w:space="0"/>
              <w:bottom w:val="single" w:color="auto" w:sz="4" w:space="0"/>
              <w:right w:val="single" w:color="auto" w:sz="4" w:space="0"/>
            </w:tcBorders>
            <w:vAlign w:val="center"/>
          </w:tcPr>
          <w:p w14:paraId="5EC682A5">
            <w:pPr>
              <w:pStyle w:val="48"/>
              <w:jc w:val="center"/>
              <w:rPr>
                <w:color w:val="auto"/>
                <w:sz w:val="21"/>
                <w:szCs w:val="21"/>
                <w:highlight w:val="none"/>
              </w:rPr>
            </w:pPr>
            <w:r>
              <w:rPr>
                <w:rFonts w:hint="eastAsia"/>
                <w:color w:val="auto"/>
                <w:sz w:val="21"/>
                <w:szCs w:val="21"/>
                <w:highlight w:val="none"/>
              </w:rPr>
              <w:t>数量</w:t>
            </w:r>
          </w:p>
        </w:tc>
        <w:tc>
          <w:tcPr>
            <w:tcW w:w="1380" w:type="dxa"/>
            <w:tcBorders>
              <w:top w:val="single" w:color="auto" w:sz="4" w:space="0"/>
              <w:left w:val="single" w:color="auto" w:sz="4" w:space="0"/>
              <w:bottom w:val="single" w:color="auto" w:sz="4" w:space="0"/>
              <w:right w:val="single" w:color="auto" w:sz="4" w:space="0"/>
            </w:tcBorders>
            <w:vAlign w:val="center"/>
          </w:tcPr>
          <w:p w14:paraId="5112D1F1">
            <w:pPr>
              <w:pStyle w:val="48"/>
              <w:jc w:val="center"/>
              <w:rPr>
                <w:color w:val="auto"/>
                <w:sz w:val="21"/>
                <w:szCs w:val="21"/>
                <w:highlight w:val="none"/>
              </w:rPr>
            </w:pPr>
            <w:r>
              <w:rPr>
                <w:rFonts w:hint="eastAsia"/>
                <w:color w:val="auto"/>
                <w:sz w:val="21"/>
                <w:szCs w:val="21"/>
                <w:highlight w:val="none"/>
              </w:rPr>
              <w:t>单价</w:t>
            </w:r>
          </w:p>
          <w:p w14:paraId="0270B2E8">
            <w:pPr>
              <w:pStyle w:val="48"/>
              <w:jc w:val="center"/>
              <w:rPr>
                <w:color w:val="auto"/>
                <w:sz w:val="21"/>
                <w:szCs w:val="21"/>
                <w:highlight w:val="none"/>
              </w:rPr>
            </w:pPr>
            <w:r>
              <w:rPr>
                <w:rFonts w:hint="eastAsia"/>
                <w:color w:val="auto"/>
                <w:sz w:val="21"/>
                <w:szCs w:val="21"/>
                <w:highlight w:val="none"/>
              </w:rPr>
              <w:t>（万元）</w:t>
            </w:r>
          </w:p>
        </w:tc>
        <w:tc>
          <w:tcPr>
            <w:tcW w:w="1714" w:type="dxa"/>
            <w:tcBorders>
              <w:top w:val="single" w:color="auto" w:sz="4" w:space="0"/>
              <w:left w:val="single" w:color="auto" w:sz="4" w:space="0"/>
              <w:bottom w:val="single" w:color="auto" w:sz="4" w:space="0"/>
              <w:right w:val="single" w:color="auto" w:sz="4" w:space="0"/>
            </w:tcBorders>
            <w:vAlign w:val="center"/>
          </w:tcPr>
          <w:p w14:paraId="52D01C53">
            <w:pPr>
              <w:pStyle w:val="48"/>
              <w:jc w:val="center"/>
              <w:rPr>
                <w:color w:val="auto"/>
                <w:sz w:val="21"/>
                <w:szCs w:val="21"/>
                <w:highlight w:val="none"/>
              </w:rPr>
            </w:pPr>
            <w:r>
              <w:rPr>
                <w:rFonts w:hint="eastAsia"/>
                <w:color w:val="auto"/>
                <w:sz w:val="21"/>
                <w:szCs w:val="21"/>
                <w:highlight w:val="none"/>
              </w:rPr>
              <w:t>总价</w:t>
            </w:r>
          </w:p>
          <w:p w14:paraId="461D4258">
            <w:pPr>
              <w:pStyle w:val="48"/>
              <w:jc w:val="center"/>
              <w:rPr>
                <w:color w:val="auto"/>
                <w:sz w:val="21"/>
                <w:szCs w:val="21"/>
                <w:highlight w:val="none"/>
              </w:rPr>
            </w:pPr>
            <w:r>
              <w:rPr>
                <w:rFonts w:hint="eastAsia"/>
                <w:color w:val="auto"/>
                <w:sz w:val="21"/>
                <w:szCs w:val="21"/>
                <w:highlight w:val="none"/>
              </w:rPr>
              <w:t>（万元）</w:t>
            </w:r>
          </w:p>
        </w:tc>
      </w:tr>
      <w:tr w14:paraId="3C064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67FEDD7F">
            <w:pPr>
              <w:pStyle w:val="48"/>
              <w:numPr>
                <w:ilvl w:val="0"/>
                <w:numId w:val="4"/>
              </w:numPr>
              <w:jc w:val="center"/>
              <w:rPr>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5E411FCE">
            <w:pPr>
              <w:pStyle w:val="48"/>
              <w:jc w:val="center"/>
              <w:rPr>
                <w:color w:val="auto"/>
                <w:sz w:val="21"/>
                <w:szCs w:val="21"/>
                <w:highlight w:val="none"/>
              </w:rPr>
            </w:pPr>
          </w:p>
        </w:tc>
        <w:tc>
          <w:tcPr>
            <w:tcW w:w="1272" w:type="dxa"/>
            <w:tcBorders>
              <w:top w:val="single" w:color="auto" w:sz="4" w:space="0"/>
              <w:left w:val="single" w:color="auto" w:sz="4" w:space="0"/>
              <w:bottom w:val="single" w:color="auto" w:sz="4" w:space="0"/>
              <w:right w:val="single" w:color="auto" w:sz="4" w:space="0"/>
            </w:tcBorders>
            <w:vAlign w:val="center"/>
          </w:tcPr>
          <w:p w14:paraId="7F21DE2B">
            <w:pPr>
              <w:pStyle w:val="48"/>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7C5EDF09">
            <w:pPr>
              <w:pStyle w:val="48"/>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2D72516A">
            <w:pPr>
              <w:pStyle w:val="48"/>
              <w:jc w:val="center"/>
              <w:rPr>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16E3E6DE">
            <w:pPr>
              <w:pStyle w:val="48"/>
              <w:jc w:val="center"/>
              <w:rPr>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58F18718">
            <w:pPr>
              <w:pStyle w:val="48"/>
              <w:jc w:val="center"/>
              <w:rPr>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44FAA2A4">
            <w:pPr>
              <w:pStyle w:val="48"/>
              <w:jc w:val="center"/>
              <w:rPr>
                <w:color w:val="auto"/>
                <w:sz w:val="21"/>
                <w:szCs w:val="21"/>
                <w:highlight w:val="none"/>
              </w:rPr>
            </w:pPr>
          </w:p>
        </w:tc>
      </w:tr>
      <w:tr w14:paraId="507C4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1CEE92A2">
            <w:pPr>
              <w:pStyle w:val="48"/>
              <w:numPr>
                <w:ilvl w:val="0"/>
                <w:numId w:val="4"/>
              </w:numPr>
              <w:jc w:val="center"/>
              <w:rPr>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37004DF9">
            <w:pPr>
              <w:pStyle w:val="48"/>
              <w:jc w:val="center"/>
              <w:rPr>
                <w:color w:val="auto"/>
                <w:sz w:val="21"/>
                <w:szCs w:val="21"/>
                <w:highlight w:val="none"/>
              </w:rPr>
            </w:pPr>
          </w:p>
        </w:tc>
        <w:tc>
          <w:tcPr>
            <w:tcW w:w="1272" w:type="dxa"/>
            <w:tcBorders>
              <w:top w:val="single" w:color="auto" w:sz="4" w:space="0"/>
              <w:left w:val="single" w:color="auto" w:sz="4" w:space="0"/>
              <w:bottom w:val="single" w:color="auto" w:sz="4" w:space="0"/>
              <w:right w:val="single" w:color="auto" w:sz="4" w:space="0"/>
            </w:tcBorders>
            <w:vAlign w:val="center"/>
          </w:tcPr>
          <w:p w14:paraId="07819FE1">
            <w:pPr>
              <w:pStyle w:val="48"/>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3DD8FC99">
            <w:pPr>
              <w:pStyle w:val="48"/>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7FB45CEE">
            <w:pPr>
              <w:pStyle w:val="48"/>
              <w:jc w:val="center"/>
              <w:rPr>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5552F00C">
            <w:pPr>
              <w:pStyle w:val="48"/>
              <w:jc w:val="center"/>
              <w:rPr>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50679DB2">
            <w:pPr>
              <w:pStyle w:val="48"/>
              <w:jc w:val="center"/>
              <w:rPr>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4241F95D">
            <w:pPr>
              <w:pStyle w:val="48"/>
              <w:jc w:val="center"/>
              <w:rPr>
                <w:color w:val="auto"/>
                <w:sz w:val="21"/>
                <w:szCs w:val="21"/>
                <w:highlight w:val="none"/>
              </w:rPr>
            </w:pPr>
          </w:p>
        </w:tc>
      </w:tr>
      <w:tr w14:paraId="57577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0FF9C542">
            <w:pPr>
              <w:pStyle w:val="48"/>
              <w:numPr>
                <w:ilvl w:val="0"/>
                <w:numId w:val="4"/>
              </w:numPr>
              <w:jc w:val="center"/>
              <w:rPr>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256190D9">
            <w:pPr>
              <w:pStyle w:val="48"/>
              <w:jc w:val="center"/>
              <w:rPr>
                <w:color w:val="auto"/>
                <w:sz w:val="21"/>
                <w:szCs w:val="21"/>
                <w:highlight w:val="none"/>
              </w:rPr>
            </w:pPr>
            <w:r>
              <w:rPr>
                <w:color w:val="auto"/>
                <w:sz w:val="21"/>
                <w:szCs w:val="21"/>
                <w:highlight w:val="none"/>
              </w:rPr>
              <w:t>……</w:t>
            </w:r>
          </w:p>
        </w:tc>
        <w:tc>
          <w:tcPr>
            <w:tcW w:w="1272" w:type="dxa"/>
            <w:tcBorders>
              <w:top w:val="single" w:color="auto" w:sz="4" w:space="0"/>
              <w:left w:val="single" w:color="auto" w:sz="4" w:space="0"/>
              <w:bottom w:val="single" w:color="auto" w:sz="4" w:space="0"/>
              <w:right w:val="single" w:color="auto" w:sz="4" w:space="0"/>
            </w:tcBorders>
            <w:vAlign w:val="center"/>
          </w:tcPr>
          <w:p w14:paraId="329185C8">
            <w:pPr>
              <w:pStyle w:val="48"/>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7278FA62">
            <w:pPr>
              <w:pStyle w:val="48"/>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6DC75679">
            <w:pPr>
              <w:pStyle w:val="48"/>
              <w:jc w:val="center"/>
              <w:rPr>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7EAC5B30">
            <w:pPr>
              <w:pStyle w:val="48"/>
              <w:jc w:val="center"/>
              <w:rPr>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78F02ED0">
            <w:pPr>
              <w:pStyle w:val="48"/>
              <w:jc w:val="center"/>
              <w:rPr>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61916AC5">
            <w:pPr>
              <w:pStyle w:val="48"/>
              <w:jc w:val="center"/>
              <w:rPr>
                <w:color w:val="auto"/>
                <w:sz w:val="21"/>
                <w:szCs w:val="21"/>
                <w:highlight w:val="none"/>
              </w:rPr>
            </w:pPr>
          </w:p>
        </w:tc>
      </w:tr>
    </w:tbl>
    <w:p w14:paraId="04CE5F65">
      <w:pPr>
        <w:spacing w:line="300" w:lineRule="auto"/>
        <w:rPr>
          <w:rFonts w:ascii="Arial" w:hAnsi="Arial" w:cs="Arial"/>
          <w:color w:val="auto"/>
          <w:szCs w:val="21"/>
          <w:highlight w:val="none"/>
        </w:rPr>
      </w:pPr>
    </w:p>
    <w:p w14:paraId="4FDC8CEF">
      <w:pPr>
        <w:rPr>
          <w:rFonts w:ascii="Arial" w:hAnsi="Arial" w:cs="Arial"/>
          <w:b/>
          <w:color w:val="auto"/>
          <w:sz w:val="21"/>
          <w:szCs w:val="21"/>
          <w:highlight w:val="none"/>
        </w:rPr>
      </w:pPr>
      <w:r>
        <w:rPr>
          <w:rFonts w:hint="eastAsia" w:ascii="Arial" w:hAnsi="Arial" w:cs="Arial"/>
          <w:b/>
          <w:color w:val="auto"/>
          <w:sz w:val="21"/>
          <w:szCs w:val="21"/>
          <w:highlight w:val="none"/>
        </w:rPr>
        <w:t>特别说明：投标人应将所投产品中节能、环保产品分别列入上表中，并按本招标文件</w:t>
      </w:r>
      <w:r>
        <w:rPr>
          <w:rFonts w:hint="eastAsia" w:ascii="Arial" w:hAnsi="Arial" w:cs="Arial"/>
          <w:b/>
          <w:color w:val="auto"/>
          <w:sz w:val="21"/>
          <w:szCs w:val="21"/>
          <w:highlight w:val="none"/>
          <w:lang w:val="en-US" w:eastAsia="zh-CN"/>
        </w:rPr>
        <w:t>“</w:t>
      </w:r>
      <w:r>
        <w:rPr>
          <w:rFonts w:hint="eastAsia" w:ascii="Arial" w:hAnsi="Arial" w:cs="Arial"/>
          <w:b/>
          <w:color w:val="auto"/>
          <w:sz w:val="21"/>
          <w:szCs w:val="21"/>
          <w:highlight w:val="none"/>
        </w:rPr>
        <w:t>第二章</w:t>
      </w:r>
      <w:r>
        <w:rPr>
          <w:rFonts w:hint="eastAsia" w:ascii="Arial" w:hAnsi="Arial" w:cs="Arial"/>
          <w:b/>
          <w:color w:val="auto"/>
          <w:sz w:val="21"/>
          <w:szCs w:val="21"/>
          <w:highlight w:val="none"/>
          <w:lang w:val="en-US" w:eastAsia="zh-CN"/>
        </w:rPr>
        <w:t>投标人须知”</w:t>
      </w:r>
      <w:r>
        <w:rPr>
          <w:rFonts w:hint="eastAsia" w:ascii="Arial" w:hAnsi="Arial" w:cs="Arial"/>
          <w:b/>
          <w:color w:val="auto"/>
          <w:sz w:val="21"/>
          <w:szCs w:val="21"/>
          <w:highlight w:val="none"/>
        </w:rPr>
        <w:t>提供相关证明材料，未填写本表或未提供有效认证证书</w:t>
      </w:r>
      <w:r>
        <w:rPr>
          <w:rFonts w:ascii="Arial" w:hAnsi="Arial" w:cs="Arial"/>
          <w:b/>
          <w:color w:val="auto"/>
          <w:sz w:val="21"/>
          <w:szCs w:val="21"/>
          <w:highlight w:val="none"/>
        </w:rPr>
        <w:t>的</w:t>
      </w:r>
      <w:r>
        <w:rPr>
          <w:rFonts w:hint="eastAsia" w:ascii="Arial" w:hAnsi="Arial" w:cs="Arial"/>
          <w:b/>
          <w:color w:val="auto"/>
          <w:sz w:val="21"/>
          <w:szCs w:val="21"/>
          <w:highlight w:val="none"/>
        </w:rPr>
        <w:t>不给予</w:t>
      </w:r>
      <w:r>
        <w:rPr>
          <w:rFonts w:hint="eastAsia" w:ascii="Arial" w:hAnsi="Arial" w:cs="Arial"/>
          <w:b/>
          <w:color w:val="auto"/>
          <w:sz w:val="21"/>
          <w:szCs w:val="21"/>
          <w:highlight w:val="none"/>
          <w:lang w:val="en-US" w:eastAsia="zh-CN"/>
        </w:rPr>
        <w:t>评审优惠</w:t>
      </w:r>
      <w:r>
        <w:rPr>
          <w:rFonts w:hint="eastAsia" w:ascii="Arial" w:hAnsi="Arial" w:cs="Arial"/>
          <w:b/>
          <w:color w:val="auto"/>
          <w:sz w:val="21"/>
          <w:szCs w:val="21"/>
          <w:highlight w:val="none"/>
        </w:rPr>
        <w:t>。</w:t>
      </w:r>
    </w:p>
    <w:p w14:paraId="4AE49928">
      <w:pPr>
        <w:spacing w:line="300" w:lineRule="auto"/>
        <w:rPr>
          <w:rFonts w:ascii="Arial" w:hAnsi="Arial" w:cs="Arial"/>
          <w:color w:val="auto"/>
          <w:szCs w:val="21"/>
          <w:highlight w:val="none"/>
        </w:rPr>
      </w:pPr>
    </w:p>
    <w:p w14:paraId="054561CD">
      <w:pPr>
        <w:spacing w:line="300" w:lineRule="auto"/>
        <w:rPr>
          <w:rFonts w:ascii="Arial" w:hAnsi="Arial" w:cs="Arial"/>
          <w:color w:val="auto"/>
          <w:szCs w:val="21"/>
          <w:highlight w:val="none"/>
        </w:rPr>
      </w:pPr>
      <w:r>
        <w:rPr>
          <w:rFonts w:ascii="Arial" w:hAnsi="Arial" w:cs="Arial"/>
          <w:color w:val="auto"/>
          <w:szCs w:val="21"/>
          <w:highlight w:val="none"/>
        </w:rPr>
        <w:t>投标人名称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ascii="Arial" w:hAnsi="Arial" w:cs="Arial"/>
          <w:color w:val="auto"/>
          <w:szCs w:val="21"/>
          <w:highlight w:val="none"/>
        </w:rPr>
        <w:t>：</w:t>
      </w:r>
    </w:p>
    <w:p w14:paraId="31A4D567">
      <w:pPr>
        <w:rPr>
          <w:rFonts w:ascii="Arial" w:hAnsi="Arial" w:cs="Arial"/>
          <w:color w:val="auto"/>
          <w:szCs w:val="21"/>
          <w:highlight w:val="none"/>
        </w:rPr>
      </w:pPr>
      <w:r>
        <w:rPr>
          <w:rFonts w:ascii="Arial" w:hAnsi="Arial" w:cs="Arial"/>
          <w:color w:val="auto"/>
          <w:szCs w:val="21"/>
          <w:highlight w:val="none"/>
        </w:rPr>
        <w:t>日期：</w:t>
      </w:r>
    </w:p>
    <w:p w14:paraId="0A67E61C">
      <w:pPr>
        <w:rPr>
          <w:rFonts w:ascii="Arial" w:hAnsi="Arial" w:cs="Arial"/>
          <w:color w:val="auto"/>
          <w:szCs w:val="21"/>
          <w:highlight w:val="none"/>
        </w:rPr>
      </w:pPr>
    </w:p>
    <w:p w14:paraId="70617D68">
      <w:pPr>
        <w:rPr>
          <w:rFonts w:ascii="Arial" w:hAnsi="Arial" w:cs="Arial"/>
          <w:color w:val="auto"/>
          <w:szCs w:val="21"/>
          <w:highlight w:val="none"/>
        </w:rPr>
      </w:pPr>
      <w:r>
        <w:rPr>
          <w:rFonts w:ascii="Arial" w:hAnsi="Arial" w:cs="Arial"/>
          <w:color w:val="auto"/>
          <w:szCs w:val="21"/>
          <w:highlight w:val="none"/>
        </w:rPr>
        <w:br w:type="page"/>
      </w:r>
    </w:p>
    <w:p w14:paraId="2A9F81A4">
      <w:pPr>
        <w:pStyle w:val="4"/>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rPr>
          <w:rFonts w:hint="eastAsia" w:ascii="宋体" w:hAnsi="宋体" w:eastAsia="宋体" w:cstheme="minorBidi"/>
          <w:b/>
          <w:bCs/>
          <w:color w:val="auto"/>
          <w:kern w:val="2"/>
          <w:sz w:val="24"/>
          <w:szCs w:val="24"/>
          <w:highlight w:val="none"/>
          <w:lang w:val="en-US" w:eastAsia="zh-CN" w:bidi="ar-SA"/>
        </w:rPr>
      </w:pPr>
      <w:bookmarkStart w:id="639" w:name="_Toc20772"/>
      <w:bookmarkStart w:id="640" w:name="_Toc163492939"/>
      <w:r>
        <w:rPr>
          <w:rFonts w:hint="eastAsia" w:ascii="宋体" w:hAnsi="宋体" w:eastAsia="宋体" w:cstheme="minorBidi"/>
          <w:b/>
          <w:bCs/>
          <w:color w:val="auto"/>
          <w:kern w:val="2"/>
          <w:sz w:val="24"/>
          <w:szCs w:val="24"/>
          <w:highlight w:val="none"/>
          <w:lang w:val="en-US" w:eastAsia="zh-CN" w:bidi="ar-SA"/>
        </w:rPr>
        <w:t>（二）中小企业声明函</w:t>
      </w:r>
      <w:r>
        <w:rPr>
          <w:rFonts w:hint="eastAsia" w:ascii="宋体" w:hAnsi="宋体" w:eastAsia="宋体" w:cstheme="minorBidi"/>
          <w:b w:val="0"/>
          <w:bCs w:val="0"/>
          <w:color w:val="auto"/>
          <w:kern w:val="2"/>
          <w:sz w:val="24"/>
          <w:szCs w:val="24"/>
          <w:highlight w:val="none"/>
          <w:lang w:val="en-US" w:eastAsia="zh-CN" w:bidi="ar-SA"/>
        </w:rPr>
        <w:t>【</w:t>
      </w:r>
      <w:r>
        <w:rPr>
          <w:rFonts w:hint="eastAsia" w:cstheme="minorBidi"/>
          <w:b w:val="0"/>
          <w:bCs w:val="0"/>
          <w:i w:val="0"/>
          <w:iCs w:val="0"/>
          <w:color w:val="auto"/>
          <w:kern w:val="2"/>
          <w:sz w:val="24"/>
          <w:szCs w:val="24"/>
          <w:highlight w:val="none"/>
          <w:lang w:val="en-US" w:eastAsia="zh-CN" w:bidi="ar-SA"/>
        </w:rPr>
        <w:t>如专门面向中小企业采购的项目，此函可放于此处，否则，应后置于“其他资格证明文件”</w:t>
      </w:r>
      <w:r>
        <w:rPr>
          <w:rFonts w:hint="eastAsia" w:ascii="宋体" w:hAnsi="宋体" w:eastAsia="宋体" w:cstheme="minorBidi"/>
          <w:b w:val="0"/>
          <w:bCs w:val="0"/>
          <w:color w:val="auto"/>
          <w:kern w:val="2"/>
          <w:sz w:val="24"/>
          <w:szCs w:val="24"/>
          <w:highlight w:val="none"/>
          <w:lang w:val="en-US" w:eastAsia="zh-CN" w:bidi="ar-SA"/>
        </w:rPr>
        <w:t>】</w:t>
      </w:r>
      <w:bookmarkEnd w:id="639"/>
      <w:bookmarkEnd w:id="640"/>
    </w:p>
    <w:p w14:paraId="16CFCD4A">
      <w:pPr>
        <w:pStyle w:val="38"/>
        <w:keepNext w:val="0"/>
        <w:keepLines w:val="0"/>
        <w:pageBreakBefore w:val="0"/>
        <w:widowControl w:val="0"/>
        <w:numPr>
          <w:ilvl w:val="0"/>
          <w:numId w:val="0"/>
        </w:numPr>
        <w:kinsoku/>
        <w:wordWrap/>
        <w:overflowPunct/>
        <w:topLinePunct w:val="0"/>
        <w:autoSpaceDE/>
        <w:autoSpaceDN/>
        <w:bidi w:val="0"/>
        <w:adjustRightInd/>
        <w:snapToGrid/>
        <w:spacing w:line="300" w:lineRule="exact"/>
        <w:ind w:left="420" w:leftChars="0" w:hanging="420" w:firstLineChars="0"/>
        <w:jc w:val="center"/>
        <w:textAlignment w:val="auto"/>
        <w:rPr>
          <w:rFonts w:hint="eastAsia"/>
          <w:b/>
          <w:bCs/>
          <w:color w:val="auto"/>
          <w:sz w:val="32"/>
          <w:szCs w:val="32"/>
          <w:highlight w:val="none"/>
        </w:rPr>
      </w:pPr>
    </w:p>
    <w:p w14:paraId="0D7CD940">
      <w:pPr>
        <w:pStyle w:val="38"/>
        <w:numPr>
          <w:ilvl w:val="0"/>
          <w:numId w:val="0"/>
        </w:numPr>
        <w:ind w:left="420" w:leftChars="0" w:hanging="420" w:firstLineChars="0"/>
        <w:jc w:val="center"/>
        <w:rPr>
          <w:b/>
          <w:bCs/>
          <w:color w:val="auto"/>
          <w:sz w:val="32"/>
          <w:szCs w:val="32"/>
          <w:highlight w:val="none"/>
        </w:rPr>
      </w:pPr>
      <w:r>
        <w:rPr>
          <w:rFonts w:hint="eastAsia"/>
          <w:b/>
          <w:bCs/>
          <w:color w:val="auto"/>
          <w:sz w:val="32"/>
          <w:szCs w:val="32"/>
          <w:highlight w:val="none"/>
        </w:rPr>
        <w:t>中小企业声明函</w:t>
      </w:r>
    </w:p>
    <w:p w14:paraId="5688740A">
      <w:pPr>
        <w:ind w:firstLine="504" w:firstLineChars="200"/>
        <w:rPr>
          <w:rFonts w:hint="eastAsia" w:cs="宋体"/>
          <w:color w:val="auto"/>
          <w:spacing w:val="6"/>
          <w:szCs w:val="24"/>
          <w:highlight w:val="none"/>
        </w:rPr>
      </w:pPr>
      <w:r>
        <w:rPr>
          <w:rFonts w:hint="eastAsia" w:cs="宋体"/>
          <w:color w:val="auto"/>
          <w:spacing w:val="6"/>
          <w:szCs w:val="24"/>
          <w:highlight w:val="none"/>
        </w:rPr>
        <w:t>本公司（联合体）郑重声明，根据《政府采购促进中小企业发展管理办法》（财库﹝2020﹞46 号）的规定，本公司（联合体）参加</w:t>
      </w:r>
      <w:r>
        <w:rPr>
          <w:rFonts w:hint="eastAsia" w:cs="宋体"/>
          <w:color w:val="auto"/>
          <w:spacing w:val="6"/>
          <w:szCs w:val="24"/>
          <w:highlight w:val="none"/>
          <w:u w:val="single"/>
        </w:rPr>
        <w:t xml:space="preserve"> （单位名称）</w:t>
      </w:r>
      <w:r>
        <w:rPr>
          <w:rFonts w:hint="eastAsia" w:cs="宋体"/>
          <w:color w:val="auto"/>
          <w:spacing w:val="6"/>
          <w:szCs w:val="24"/>
          <w:highlight w:val="none"/>
        </w:rPr>
        <w:t xml:space="preserve"> 的</w:t>
      </w:r>
      <w:r>
        <w:rPr>
          <w:rFonts w:hint="eastAsia" w:cs="宋体"/>
          <w:color w:val="auto"/>
          <w:spacing w:val="6"/>
          <w:szCs w:val="24"/>
          <w:highlight w:val="none"/>
          <w:u w:val="single"/>
        </w:rPr>
        <w:t xml:space="preserve"> （项目名称） </w:t>
      </w:r>
      <w:r>
        <w:rPr>
          <w:rFonts w:hint="eastAsia" w:cs="宋体"/>
          <w:color w:val="auto"/>
          <w:spacing w:val="6"/>
          <w:szCs w:val="24"/>
          <w:highlight w:val="none"/>
        </w:rPr>
        <w:t>采购活动，服务全部由符合政策要求的中小企业承接。相关企业（含联合体中的中小企业、签订分包意向协议的中小企业）的具体情况如下：</w:t>
      </w:r>
    </w:p>
    <w:p w14:paraId="57A088DF">
      <w:pPr>
        <w:ind w:firstLine="504" w:firstLineChars="200"/>
        <w:rPr>
          <w:rFonts w:hint="eastAsia" w:cs="宋体"/>
          <w:color w:val="auto"/>
          <w:spacing w:val="6"/>
          <w:szCs w:val="24"/>
          <w:highlight w:val="none"/>
        </w:rPr>
      </w:pPr>
      <w:r>
        <w:rPr>
          <w:rFonts w:hint="eastAsia" w:cs="宋体"/>
          <w:color w:val="auto"/>
          <w:spacing w:val="6"/>
          <w:szCs w:val="24"/>
          <w:highlight w:val="none"/>
        </w:rPr>
        <w:t xml:space="preserve">1. </w:t>
      </w:r>
      <w:r>
        <w:rPr>
          <w:rFonts w:hint="eastAsia" w:cs="宋体"/>
          <w:color w:val="auto"/>
          <w:spacing w:val="6"/>
          <w:szCs w:val="24"/>
          <w:highlight w:val="none"/>
          <w:u w:val="single"/>
        </w:rPr>
        <w:t xml:space="preserve">（标的名称） </w:t>
      </w:r>
      <w:r>
        <w:rPr>
          <w:rFonts w:hint="eastAsia" w:cs="宋体"/>
          <w:color w:val="auto"/>
          <w:spacing w:val="6"/>
          <w:szCs w:val="24"/>
          <w:highlight w:val="none"/>
        </w:rPr>
        <w:t>，属于</w:t>
      </w:r>
      <w:r>
        <w:rPr>
          <w:rFonts w:hint="eastAsia" w:cs="宋体"/>
          <w:color w:val="auto"/>
          <w:spacing w:val="6"/>
          <w:szCs w:val="24"/>
          <w:highlight w:val="none"/>
          <w:u w:val="single"/>
        </w:rPr>
        <w:t xml:space="preserve"> （采购文件中明确的所属行业） </w:t>
      </w:r>
      <w:r>
        <w:rPr>
          <w:rFonts w:hint="eastAsia" w:cs="宋体"/>
          <w:color w:val="auto"/>
          <w:spacing w:val="6"/>
          <w:szCs w:val="24"/>
          <w:highlight w:val="none"/>
        </w:rPr>
        <w:t>；承接企业为</w:t>
      </w:r>
      <w:r>
        <w:rPr>
          <w:rFonts w:hint="eastAsia" w:cs="宋体"/>
          <w:color w:val="auto"/>
          <w:spacing w:val="6"/>
          <w:szCs w:val="24"/>
          <w:highlight w:val="none"/>
          <w:u w:val="single"/>
        </w:rPr>
        <w:t xml:space="preserve"> （企业名称）  </w:t>
      </w:r>
      <w:r>
        <w:rPr>
          <w:rFonts w:hint="eastAsia" w:cs="宋体"/>
          <w:color w:val="auto"/>
          <w:spacing w:val="6"/>
          <w:szCs w:val="24"/>
          <w:highlight w:val="none"/>
        </w:rPr>
        <w:t>，从业人员</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人，营业收入为</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万元，资产总额为</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万元，属于</w:t>
      </w:r>
      <w:r>
        <w:rPr>
          <w:rFonts w:hint="eastAsia" w:cs="宋体"/>
          <w:color w:val="auto"/>
          <w:spacing w:val="6"/>
          <w:szCs w:val="24"/>
          <w:highlight w:val="none"/>
          <w:u w:val="single"/>
        </w:rPr>
        <w:t>（中型企业、小型企业、微型企业）</w:t>
      </w:r>
      <w:r>
        <w:rPr>
          <w:rFonts w:hint="eastAsia" w:cs="宋体"/>
          <w:color w:val="auto"/>
          <w:spacing w:val="6"/>
          <w:szCs w:val="24"/>
          <w:highlight w:val="none"/>
        </w:rPr>
        <w:t>；</w:t>
      </w:r>
    </w:p>
    <w:p w14:paraId="222AFB4D">
      <w:pPr>
        <w:ind w:firstLine="504" w:firstLineChars="200"/>
        <w:rPr>
          <w:rFonts w:hint="eastAsia" w:cs="宋体"/>
          <w:color w:val="auto"/>
          <w:spacing w:val="6"/>
          <w:szCs w:val="24"/>
          <w:highlight w:val="none"/>
        </w:rPr>
      </w:pPr>
      <w:r>
        <w:rPr>
          <w:rFonts w:hint="eastAsia" w:cs="宋体"/>
          <w:color w:val="auto"/>
          <w:spacing w:val="6"/>
          <w:szCs w:val="24"/>
          <w:highlight w:val="none"/>
        </w:rPr>
        <w:t>2.</w:t>
      </w:r>
      <w:r>
        <w:rPr>
          <w:rFonts w:hint="eastAsia" w:cs="宋体"/>
          <w:color w:val="auto"/>
          <w:spacing w:val="6"/>
          <w:szCs w:val="24"/>
          <w:highlight w:val="none"/>
          <w:u w:val="single"/>
        </w:rPr>
        <w:t xml:space="preserve"> （标的名称）</w:t>
      </w:r>
      <w:r>
        <w:rPr>
          <w:rFonts w:hint="eastAsia" w:cs="宋体"/>
          <w:color w:val="auto"/>
          <w:spacing w:val="6"/>
          <w:szCs w:val="24"/>
          <w:highlight w:val="none"/>
        </w:rPr>
        <w:t xml:space="preserve"> ，属于</w:t>
      </w:r>
      <w:r>
        <w:rPr>
          <w:rFonts w:hint="eastAsia" w:cs="宋体"/>
          <w:color w:val="auto"/>
          <w:spacing w:val="6"/>
          <w:szCs w:val="24"/>
          <w:highlight w:val="none"/>
          <w:u w:val="single"/>
        </w:rPr>
        <w:t xml:space="preserve"> （采购文件中明确的所属行业） </w:t>
      </w:r>
      <w:r>
        <w:rPr>
          <w:rFonts w:hint="eastAsia" w:cs="宋体"/>
          <w:color w:val="auto"/>
          <w:spacing w:val="6"/>
          <w:szCs w:val="24"/>
          <w:highlight w:val="none"/>
        </w:rPr>
        <w:t>；承接企业为</w:t>
      </w:r>
      <w:r>
        <w:rPr>
          <w:rFonts w:hint="eastAsia" w:cs="宋体"/>
          <w:color w:val="auto"/>
          <w:spacing w:val="6"/>
          <w:szCs w:val="24"/>
          <w:highlight w:val="none"/>
          <w:u w:val="single"/>
        </w:rPr>
        <w:t xml:space="preserve"> （企业名称）  </w:t>
      </w:r>
      <w:r>
        <w:rPr>
          <w:rFonts w:hint="eastAsia" w:cs="宋体"/>
          <w:color w:val="auto"/>
          <w:spacing w:val="6"/>
          <w:szCs w:val="24"/>
          <w:highlight w:val="none"/>
        </w:rPr>
        <w:t>，从业人员</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人，营业收入为</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万元，资产总额为</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万元，属于</w:t>
      </w:r>
      <w:r>
        <w:rPr>
          <w:rFonts w:hint="eastAsia" w:cs="宋体"/>
          <w:color w:val="auto"/>
          <w:spacing w:val="6"/>
          <w:szCs w:val="24"/>
          <w:highlight w:val="none"/>
          <w:u w:val="single"/>
        </w:rPr>
        <w:t>（中型企业、小型企业、微型企业）</w:t>
      </w:r>
      <w:r>
        <w:rPr>
          <w:rFonts w:hint="eastAsia" w:cs="宋体"/>
          <w:color w:val="auto"/>
          <w:spacing w:val="6"/>
          <w:szCs w:val="24"/>
          <w:highlight w:val="none"/>
        </w:rPr>
        <w:t>；</w:t>
      </w:r>
    </w:p>
    <w:p w14:paraId="39DCDC52">
      <w:pPr>
        <w:ind w:firstLine="504" w:firstLineChars="200"/>
        <w:rPr>
          <w:rFonts w:hint="eastAsia" w:cs="宋体"/>
          <w:color w:val="auto"/>
          <w:spacing w:val="6"/>
          <w:szCs w:val="24"/>
          <w:highlight w:val="none"/>
        </w:rPr>
      </w:pPr>
      <w:r>
        <w:rPr>
          <w:rFonts w:hint="eastAsia" w:cs="宋体"/>
          <w:color w:val="auto"/>
          <w:spacing w:val="6"/>
          <w:szCs w:val="24"/>
          <w:highlight w:val="none"/>
        </w:rPr>
        <w:t>……</w:t>
      </w:r>
    </w:p>
    <w:p w14:paraId="708F1D10">
      <w:pPr>
        <w:ind w:firstLine="504" w:firstLineChars="200"/>
        <w:rPr>
          <w:rFonts w:hint="eastAsia" w:cs="宋体"/>
          <w:color w:val="auto"/>
          <w:spacing w:val="6"/>
          <w:szCs w:val="24"/>
          <w:highlight w:val="none"/>
        </w:rPr>
      </w:pPr>
      <w:r>
        <w:rPr>
          <w:rFonts w:hint="eastAsia" w:cs="宋体"/>
          <w:color w:val="auto"/>
          <w:spacing w:val="6"/>
          <w:szCs w:val="24"/>
          <w:highlight w:val="none"/>
        </w:rPr>
        <w:t>以上企业，不属于大企业的分支机构，不存在控股股东为大企业的情形，也不存在与大企业的负责人为同一人的情形。</w:t>
      </w:r>
    </w:p>
    <w:p w14:paraId="02D6F1D3">
      <w:pPr>
        <w:ind w:firstLine="504" w:firstLineChars="200"/>
        <w:rPr>
          <w:rFonts w:hint="eastAsia" w:cs="宋体"/>
          <w:color w:val="auto"/>
          <w:spacing w:val="6"/>
          <w:szCs w:val="24"/>
          <w:highlight w:val="none"/>
        </w:rPr>
      </w:pPr>
      <w:r>
        <w:rPr>
          <w:rFonts w:hint="eastAsia" w:cs="宋体"/>
          <w:color w:val="auto"/>
          <w:spacing w:val="6"/>
          <w:szCs w:val="24"/>
          <w:highlight w:val="none"/>
        </w:rPr>
        <w:t>本企业对上述声明内容的真实性负责。如有虚假，将依法承担相应责任。</w:t>
      </w:r>
    </w:p>
    <w:p w14:paraId="1ADB2C8D">
      <w:pPr>
        <w:ind w:firstLine="504" w:firstLineChars="200"/>
        <w:rPr>
          <w:rFonts w:cs="宋体"/>
          <w:color w:val="auto"/>
          <w:spacing w:val="6"/>
          <w:szCs w:val="24"/>
          <w:highlight w:val="none"/>
        </w:rPr>
      </w:pPr>
    </w:p>
    <w:p w14:paraId="5A6D844B">
      <w:pPr>
        <w:ind w:right="1008" w:firstLine="4788" w:firstLineChars="1900"/>
        <w:rPr>
          <w:rFonts w:cs="宋体"/>
          <w:color w:val="auto"/>
          <w:spacing w:val="6"/>
          <w:szCs w:val="24"/>
          <w:highlight w:val="none"/>
        </w:rPr>
      </w:pPr>
    </w:p>
    <w:p w14:paraId="165AEE2D">
      <w:pPr>
        <w:ind w:right="1008" w:firstLine="4284" w:firstLineChars="1700"/>
        <w:rPr>
          <w:rFonts w:cs="宋体"/>
          <w:color w:val="auto"/>
          <w:spacing w:val="6"/>
          <w:szCs w:val="24"/>
          <w:highlight w:val="none"/>
        </w:rPr>
      </w:pPr>
      <w:r>
        <w:rPr>
          <w:rFonts w:hint="eastAsia" w:cs="宋体"/>
          <w:color w:val="auto"/>
          <w:spacing w:val="6"/>
          <w:szCs w:val="24"/>
          <w:highlight w:val="none"/>
          <w:lang w:val="en-US" w:eastAsia="zh-CN"/>
        </w:rPr>
        <w:t>投标人</w:t>
      </w:r>
      <w:r>
        <w:rPr>
          <w:rFonts w:hint="eastAsia" w:cs="宋体"/>
          <w:color w:val="auto"/>
          <w:spacing w:val="6"/>
          <w:szCs w:val="24"/>
          <w:highlight w:val="none"/>
        </w:rPr>
        <w:t>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hint="eastAsia" w:cs="宋体"/>
          <w:color w:val="auto"/>
          <w:spacing w:val="6"/>
          <w:szCs w:val="24"/>
          <w:highlight w:val="none"/>
        </w:rPr>
        <w:t>：</w:t>
      </w:r>
    </w:p>
    <w:p w14:paraId="5183E380">
      <w:pPr>
        <w:ind w:right="1008" w:firstLine="4284" w:firstLineChars="1700"/>
        <w:rPr>
          <w:rFonts w:hint="default" w:eastAsia="宋体" w:cs="宋体"/>
          <w:color w:val="auto"/>
          <w:spacing w:val="6"/>
          <w:szCs w:val="24"/>
          <w:highlight w:val="none"/>
          <w:lang w:val="en-US" w:eastAsia="zh-CN"/>
        </w:rPr>
      </w:pPr>
      <w:r>
        <w:rPr>
          <w:rFonts w:hint="eastAsia" w:cs="宋体"/>
          <w:color w:val="auto"/>
          <w:spacing w:val="6"/>
          <w:szCs w:val="24"/>
          <w:highlight w:val="none"/>
        </w:rPr>
        <w:t>日期：</w:t>
      </w:r>
      <w:r>
        <w:rPr>
          <w:rFonts w:hint="eastAsia" w:cs="宋体"/>
          <w:color w:val="auto"/>
          <w:spacing w:val="6"/>
          <w:szCs w:val="24"/>
          <w:highlight w:val="none"/>
          <w:lang w:val="en-US" w:eastAsia="zh-CN"/>
        </w:rPr>
        <w:t xml:space="preserve">   年  月  日</w:t>
      </w:r>
    </w:p>
    <w:p w14:paraId="7BA8C73B">
      <w:pPr>
        <w:ind w:firstLine="504" w:firstLineChars="200"/>
        <w:rPr>
          <w:rFonts w:cs="宋体"/>
          <w:color w:val="auto"/>
          <w:spacing w:val="6"/>
          <w:szCs w:val="24"/>
          <w:highlight w:val="none"/>
        </w:rPr>
      </w:pPr>
    </w:p>
    <w:p w14:paraId="748B4DD4">
      <w:pPr>
        <w:rPr>
          <w:rFonts w:hint="default" w:cs="宋体"/>
          <w:b/>
          <w:bCs/>
          <w:color w:val="auto"/>
          <w:spacing w:val="6"/>
          <w:sz w:val="21"/>
          <w:szCs w:val="21"/>
          <w:highlight w:val="none"/>
          <w:lang w:val="en-US" w:eastAsia="zh-CN"/>
        </w:rPr>
      </w:pPr>
      <w:r>
        <w:rPr>
          <w:rFonts w:hint="eastAsia" w:cs="宋体"/>
          <w:b/>
          <w:bCs/>
          <w:color w:val="auto"/>
          <w:spacing w:val="6"/>
          <w:sz w:val="21"/>
          <w:szCs w:val="21"/>
          <w:highlight w:val="none"/>
        </w:rPr>
        <w:t>说明：</w:t>
      </w:r>
      <w:r>
        <w:rPr>
          <w:rFonts w:hint="eastAsia" w:cs="宋体"/>
          <w:b/>
          <w:bCs/>
          <w:color w:val="auto"/>
          <w:spacing w:val="6"/>
          <w:sz w:val="21"/>
          <w:szCs w:val="21"/>
          <w:highlight w:val="none"/>
          <w:lang w:val="en-US" w:eastAsia="zh-CN"/>
        </w:rPr>
        <w:t>1.重要提示：供应商应仔细阅读本函附件1关于“中小企业声明函”的填写要求及提交要求，否则，因填写或提交等产生的一切不利后果，须自行承担。</w:t>
      </w:r>
    </w:p>
    <w:p w14:paraId="126DF3AF">
      <w:pPr>
        <w:ind w:firstLine="668" w:firstLineChars="300"/>
        <w:rPr>
          <w:rFonts w:cs="宋体"/>
          <w:color w:val="auto"/>
          <w:spacing w:val="6"/>
          <w:sz w:val="21"/>
          <w:szCs w:val="21"/>
          <w:highlight w:val="none"/>
        </w:rPr>
      </w:pPr>
      <w:r>
        <w:rPr>
          <w:rFonts w:hint="eastAsia" w:cs="宋体"/>
          <w:b/>
          <w:bCs/>
          <w:color w:val="auto"/>
          <w:spacing w:val="6"/>
          <w:sz w:val="21"/>
          <w:szCs w:val="21"/>
          <w:highlight w:val="none"/>
          <w:lang w:val="en-US" w:eastAsia="zh-CN"/>
        </w:rPr>
        <w:t>2.</w:t>
      </w:r>
      <w:r>
        <w:rPr>
          <w:rFonts w:hint="eastAsia" w:cs="宋体"/>
          <w:color w:val="auto"/>
          <w:spacing w:val="6"/>
          <w:sz w:val="21"/>
          <w:szCs w:val="21"/>
          <w:highlight w:val="none"/>
        </w:rPr>
        <w:t>从业人员、营业收入、资产总额填报上一年度数据，无上一年度数据的新成立企业可不填报。</w:t>
      </w:r>
    </w:p>
    <w:p w14:paraId="13E0A52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color w:val="auto"/>
          <w:highlight w:val="none"/>
          <w:lang w:val="en-US" w:eastAsia="zh-CN"/>
        </w:rPr>
      </w:pPr>
    </w:p>
    <w:p w14:paraId="7EA8D882">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color w:val="auto"/>
          <w:highlight w:val="none"/>
          <w:lang w:val="en-US" w:eastAsia="zh-CN"/>
        </w:rPr>
      </w:pPr>
    </w:p>
    <w:p w14:paraId="3EF0BAEB">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color w:val="auto"/>
          <w:highlight w:val="none"/>
          <w:lang w:val="en-US" w:eastAsia="zh-CN"/>
        </w:rPr>
      </w:pPr>
    </w:p>
    <w:p w14:paraId="3EAEDF6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color w:val="auto"/>
          <w:highlight w:val="none"/>
          <w:lang w:val="en-US" w:eastAsia="zh-CN"/>
        </w:rPr>
      </w:pPr>
    </w:p>
    <w:p w14:paraId="5190A2DB">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b/>
          <w:bCs/>
          <w:color w:val="auto"/>
          <w:highlight w:val="none"/>
          <w:lang w:val="en-US" w:eastAsia="zh-CN"/>
        </w:rPr>
      </w:pPr>
      <w:r>
        <w:rPr>
          <w:rFonts w:hint="eastAsia"/>
          <w:b/>
          <w:bCs/>
          <w:color w:val="auto"/>
          <w:highlight w:val="none"/>
          <w:lang w:val="en-US" w:eastAsia="zh-CN"/>
        </w:rPr>
        <w:t xml:space="preserve">附件1 </w:t>
      </w:r>
    </w:p>
    <w:p w14:paraId="5E2CB0B5">
      <w:pPr>
        <w:keepNext w:val="0"/>
        <w:keepLines w:val="0"/>
        <w:widowControl/>
        <w:suppressLineNumbers w:val="0"/>
        <w:ind w:firstLine="562" w:firstLineChars="200"/>
        <w:jc w:val="left"/>
        <w:rPr>
          <w:rStyle w:val="32"/>
          <w:rFonts w:hint="eastAsia" w:ascii="宋体" w:hAnsi="宋体" w:eastAsia="宋体" w:cs="宋体"/>
          <w:color w:val="auto"/>
          <w:kern w:val="0"/>
          <w:sz w:val="28"/>
          <w:szCs w:val="28"/>
          <w:highlight w:val="none"/>
          <w:lang w:val="en-US" w:eastAsia="zh-CN" w:bidi="ar"/>
        </w:rPr>
      </w:pPr>
    </w:p>
    <w:p w14:paraId="62EF0AA4">
      <w:pPr>
        <w:keepNext w:val="0"/>
        <w:keepLines w:val="0"/>
        <w:widowControl/>
        <w:suppressLineNumbers w:val="0"/>
        <w:ind w:firstLine="482" w:firstLineChars="200"/>
        <w:jc w:val="left"/>
        <w:rPr>
          <w:rStyle w:val="32"/>
          <w:rFonts w:hint="eastAsia" w:ascii="宋体" w:hAnsi="宋体" w:eastAsia="宋体" w:cs="宋体"/>
          <w:color w:val="auto"/>
          <w:kern w:val="0"/>
          <w:sz w:val="28"/>
          <w:szCs w:val="28"/>
          <w:highlight w:val="none"/>
          <w:lang w:val="en-US" w:eastAsia="zh-CN" w:bidi="ar"/>
        </w:rPr>
      </w:pPr>
      <w:r>
        <w:rPr>
          <w:rStyle w:val="32"/>
          <w:rFonts w:hint="eastAsia" w:ascii="宋体" w:hAnsi="宋体" w:eastAsia="宋体" w:cs="宋体"/>
          <w:color w:val="auto"/>
          <w:kern w:val="0"/>
          <w:sz w:val="24"/>
          <w:szCs w:val="24"/>
          <w:highlight w:val="none"/>
          <w:lang w:val="en-US" w:eastAsia="zh-CN" w:bidi="ar"/>
        </w:rPr>
        <w:t>（一）关于</w:t>
      </w:r>
      <w:r>
        <w:rPr>
          <w:rStyle w:val="32"/>
          <w:rFonts w:hint="eastAsia" w:cs="宋体"/>
          <w:color w:val="auto"/>
          <w:kern w:val="0"/>
          <w:sz w:val="24"/>
          <w:szCs w:val="24"/>
          <w:highlight w:val="none"/>
          <w:lang w:val="en-US" w:eastAsia="zh-CN" w:bidi="ar"/>
        </w:rPr>
        <w:t>“</w:t>
      </w:r>
      <w:r>
        <w:rPr>
          <w:rStyle w:val="32"/>
          <w:rFonts w:hint="eastAsia" w:ascii="宋体" w:hAnsi="宋体" w:eastAsia="宋体" w:cs="宋体"/>
          <w:color w:val="auto"/>
          <w:kern w:val="0"/>
          <w:sz w:val="24"/>
          <w:szCs w:val="24"/>
          <w:highlight w:val="none"/>
          <w:lang w:val="en-US" w:eastAsia="zh-CN" w:bidi="ar"/>
        </w:rPr>
        <w:t>中小企业声明函</w:t>
      </w:r>
      <w:r>
        <w:rPr>
          <w:rStyle w:val="32"/>
          <w:rFonts w:hint="eastAsia" w:cs="宋体"/>
          <w:color w:val="auto"/>
          <w:kern w:val="0"/>
          <w:sz w:val="24"/>
          <w:szCs w:val="24"/>
          <w:highlight w:val="none"/>
          <w:lang w:val="en-US" w:eastAsia="zh-CN" w:bidi="ar"/>
        </w:rPr>
        <w:t>”</w:t>
      </w:r>
      <w:r>
        <w:rPr>
          <w:rStyle w:val="32"/>
          <w:rFonts w:hint="eastAsia" w:ascii="宋体" w:hAnsi="宋体" w:eastAsia="宋体" w:cs="宋体"/>
          <w:color w:val="auto"/>
          <w:kern w:val="0"/>
          <w:sz w:val="24"/>
          <w:szCs w:val="24"/>
          <w:highlight w:val="none"/>
          <w:lang w:val="en-US" w:eastAsia="zh-CN" w:bidi="ar"/>
        </w:rPr>
        <w:t>的填写要求</w:t>
      </w:r>
    </w:p>
    <w:p w14:paraId="6BC4DFB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中小企业声明函</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具体填写要求如下：</w:t>
      </w:r>
    </w:p>
    <w:p w14:paraId="414BDEE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1.“单位名称”应填写采购人名称。</w:t>
      </w:r>
    </w:p>
    <w:p w14:paraId="3C11145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2.“项目名称”应按照采购文件中确定的项目名称填写。对于分包方式面向中小企业采购的项目，应标明中小企业的具体分包内容；对于以联合体方式面向中小企业采购的项目，应标明联合体中中小企业所承担的具体内容。</w:t>
      </w:r>
    </w:p>
    <w:p w14:paraId="02B61C1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3.“标的名称”应填写采购文件中细化载明的采购标的名称。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29C8232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4.“采购文件中明确的所属行业”应填写采购文件中明确的采购标的所属行业，并应确保与采购标的涉及的货物制造商/服务承接商/工程承建商（根据项目属性确定）本身的所属行业保持一致。</w:t>
      </w:r>
    </w:p>
    <w:p w14:paraId="634D661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对于分包方式面向中小企业采购的项目，“采购文件中明确的所属行业”应按照采购文件中注明的分包给中小企业的采购标的所属行业填写，并应确保与该分包部分采购标的涉及的货物制造商/服务承接商/工程承建商（根据项目属性确定）本身的所属行业保持一致。</w:t>
      </w:r>
    </w:p>
    <w:p w14:paraId="3941B3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对于以联合体方式面向中小企业采购的项目，“采购文件中明确的所属行业”应按照采购文件中注明的联合体中中小企业承担的采购标的所属行业填写，并应确保与该承担部分采购标的涉及的货物制造商/服务承接商/工程承建商（根据项目属性确定）本身的所属行业保持一致。</w:t>
      </w:r>
    </w:p>
    <w:p w14:paraId="3C9C37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5.“企业名称”应填写投标（响应）的货物制造商/服务承接商/工程承建商（根据项目属性确定）。</w:t>
      </w:r>
    </w:p>
    <w:p w14:paraId="1A04AFA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对于分包方式面向中小企业采购的项目，“企业名称”应填写分包部分采购标的对应的货物制造商/服务承接商/工程承建商（根据项目属性确定）。</w:t>
      </w:r>
    </w:p>
    <w:p w14:paraId="67D0083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对于以联合体方式面向中小企业采购的项目，“企业名称”应填写联合体中中小企业承担采购标的对应的货物制造商/服务承接商/工程承建商（根据项目属性确定）。</w:t>
      </w:r>
    </w:p>
    <w:p w14:paraId="47482C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6.从业人员、资产总额指标以上年度末数据为依据，营业收入指标以上年度累计数据为依据。无上年度数据的新成立企业可不填报。</w:t>
      </w:r>
    </w:p>
    <w:p w14:paraId="417BBFD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7.“中型企业/小型企业/微型企业”部分，供应商应依据企业上年度从业人员、营业收入、资产总额等指标，按照《中小企业划型标准规定》（工信部联企业〔2011〕300号）、《金融业企业划型标准规定》（银发〔2015〕309号），判断</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中小企业声明函</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载明的货物制造商/服务承接商/工程承建商（根据项目属性确定）是否属于采购文件所属行业的中型企业/小型企业/微型企业。</w:t>
      </w:r>
    </w:p>
    <w:p w14:paraId="0A3DD53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8.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7BA9439A">
      <w:pPr>
        <w:keepNext w:val="0"/>
        <w:keepLines w:val="0"/>
        <w:widowControl/>
        <w:suppressLineNumbers w:val="0"/>
        <w:ind w:firstLine="482" w:firstLineChars="200"/>
        <w:jc w:val="left"/>
        <w:rPr>
          <w:rStyle w:val="32"/>
          <w:rFonts w:hint="eastAsia" w:ascii="宋体" w:hAnsi="宋体" w:eastAsia="宋体" w:cs="宋体"/>
          <w:color w:val="auto"/>
          <w:kern w:val="0"/>
          <w:sz w:val="24"/>
          <w:szCs w:val="24"/>
          <w:highlight w:val="none"/>
          <w:lang w:val="en-US" w:eastAsia="zh-CN" w:bidi="ar"/>
        </w:rPr>
      </w:pPr>
      <w:r>
        <w:rPr>
          <w:rStyle w:val="32"/>
          <w:rFonts w:hint="eastAsia" w:ascii="宋体" w:hAnsi="宋体" w:eastAsia="宋体" w:cs="宋体"/>
          <w:color w:val="auto"/>
          <w:kern w:val="0"/>
          <w:sz w:val="24"/>
          <w:szCs w:val="24"/>
          <w:highlight w:val="none"/>
          <w:lang w:val="en-US" w:eastAsia="zh-CN" w:bidi="ar"/>
        </w:rPr>
        <w:t>（二）关于“中小企业声明函”的提交要求</w:t>
      </w:r>
    </w:p>
    <w:p w14:paraId="5F29A0D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1.投标（响应）供应商对</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中小企业声明函</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的真实性负责。投标（响应）供应商应当核实投标（响应）的货物制造商/服务承接商/工程承建商（根据项目属性确定）的相关信息，如对相关信息了解不充分，或者不能确定相关信息真实、准确的，不建议出具</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中小企业声明函</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w:t>
      </w:r>
    </w:p>
    <w:p w14:paraId="49FFD35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2.鼓励供应商在投标（响应）时一并提供对货物制造商、服务承接商、工程承建商相关信息的核实核验情况以及其他佐证材料。</w:t>
      </w:r>
    </w:p>
    <w:p w14:paraId="15483C2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3.如供应商提供的</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中小企业声明函</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存在按采购文件所属行业划型不实的，属于提供虚假材料谋取中标、成交，依照《中华人民共和国政府采购法》第七十七条的规定，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6E224C04">
      <w:pPr>
        <w:rPr>
          <w:rFonts w:cs="宋体"/>
          <w:color w:val="auto"/>
          <w:spacing w:val="6"/>
          <w:sz w:val="21"/>
          <w:szCs w:val="21"/>
          <w:highlight w:val="none"/>
        </w:rPr>
      </w:pPr>
    </w:p>
    <w:p w14:paraId="6B42F924">
      <w:pPr>
        <w:rPr>
          <w:rFonts w:cs="宋体"/>
          <w:color w:val="auto"/>
          <w:spacing w:val="6"/>
          <w:sz w:val="21"/>
          <w:szCs w:val="21"/>
          <w:highlight w:val="none"/>
        </w:rPr>
      </w:pPr>
    </w:p>
    <w:p w14:paraId="511B2BB4">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eastAsia="宋体"/>
          <w:b/>
          <w:bCs/>
          <w:color w:val="auto"/>
          <w:highlight w:val="none"/>
          <w:lang w:val="en-US" w:eastAsia="zh-CN"/>
        </w:rPr>
      </w:pPr>
      <w:r>
        <w:rPr>
          <w:rFonts w:hint="eastAsia"/>
          <w:b/>
          <w:bCs/>
          <w:color w:val="auto"/>
          <w:highlight w:val="none"/>
          <w:lang w:val="en-US" w:eastAsia="zh-CN"/>
        </w:rPr>
        <w:t>附件2：</w:t>
      </w:r>
    </w:p>
    <w:p w14:paraId="639A9CC2">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关于印发中小企业划型标准规定的通知</w:t>
      </w:r>
    </w:p>
    <w:p w14:paraId="2592204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Style w:val="32"/>
          <w:rFonts w:hint="eastAsia" w:ascii="宋体" w:hAnsi="宋体" w:eastAsia="宋体" w:cs="宋体"/>
          <w:b w:val="0"/>
          <w:color w:val="auto"/>
          <w:sz w:val="24"/>
          <w:szCs w:val="24"/>
          <w:highlight w:val="none"/>
        </w:rPr>
      </w:pPr>
      <w:r>
        <w:rPr>
          <w:rStyle w:val="32"/>
          <w:rFonts w:hint="eastAsia" w:ascii="宋体" w:hAnsi="宋体" w:eastAsia="宋体" w:cs="宋体"/>
          <w:b w:val="0"/>
          <w:color w:val="auto"/>
          <w:sz w:val="24"/>
          <w:szCs w:val="24"/>
          <w:highlight w:val="none"/>
        </w:rPr>
        <w:t>工信部联企业〔2011〕300号</w:t>
      </w:r>
    </w:p>
    <w:p w14:paraId="0E959BE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Style w:val="32"/>
          <w:rFonts w:hint="eastAsia" w:ascii="宋体" w:hAnsi="宋体" w:eastAsia="宋体" w:cs="宋体"/>
          <w:b w:val="0"/>
          <w:color w:val="auto"/>
          <w:sz w:val="24"/>
          <w:szCs w:val="24"/>
          <w:highlight w:val="none"/>
        </w:rPr>
      </w:pPr>
    </w:p>
    <w:p w14:paraId="289C59A7">
      <w:pPr>
        <w:keepNext w:val="0"/>
        <w:keepLines w:val="0"/>
        <w:pageBreakBefore w:val="0"/>
        <w:widowControl w:val="0"/>
        <w:kinsoku/>
        <w:wordWrap/>
        <w:overflowPunct/>
        <w:topLinePunct w:val="0"/>
        <w:autoSpaceDE/>
        <w:autoSpaceDN/>
        <w:bidi w:val="0"/>
        <w:adjustRightInd/>
        <w:snapToGrid/>
        <w:spacing w:line="360" w:lineRule="exact"/>
        <w:textAlignment w:val="auto"/>
        <w:rPr>
          <w:rStyle w:val="32"/>
          <w:rFonts w:hint="eastAsia" w:ascii="宋体" w:hAnsi="宋体" w:eastAsia="宋体" w:cs="宋体"/>
          <w:b w:val="0"/>
          <w:color w:val="auto"/>
          <w:sz w:val="24"/>
          <w:szCs w:val="24"/>
          <w:highlight w:val="none"/>
        </w:rPr>
      </w:pPr>
      <w:r>
        <w:rPr>
          <w:rStyle w:val="32"/>
          <w:rFonts w:hint="eastAsia" w:ascii="宋体" w:hAnsi="宋体" w:eastAsia="宋体" w:cs="宋体"/>
          <w:b w:val="0"/>
          <w:color w:val="auto"/>
          <w:sz w:val="24"/>
          <w:szCs w:val="24"/>
          <w:highlight w:val="none"/>
        </w:rPr>
        <w:t>各省、自治区、直辖市人民政府，国务院各部委、各直属机构及有关单位：</w:t>
      </w:r>
    </w:p>
    <w:p w14:paraId="11AACCD7">
      <w:pPr>
        <w:keepNext w:val="0"/>
        <w:keepLines w:val="0"/>
        <w:pageBreakBefore w:val="0"/>
        <w:widowControl w:val="0"/>
        <w:kinsoku/>
        <w:wordWrap/>
        <w:overflowPunct/>
        <w:topLinePunct w:val="0"/>
        <w:autoSpaceDE/>
        <w:autoSpaceDN/>
        <w:bidi w:val="0"/>
        <w:adjustRightInd/>
        <w:snapToGrid/>
        <w:spacing w:line="36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69C30634">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工业和信息化部　国家统计局</w:t>
      </w:r>
    </w:p>
    <w:p w14:paraId="5C55A29B">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国家发展和改革委员会　财政部</w:t>
      </w:r>
    </w:p>
    <w:p w14:paraId="6F52758A">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二○一一年六月十八日</w:t>
      </w:r>
    </w:p>
    <w:p w14:paraId="75F0B3C6">
      <w:pPr>
        <w:keepNext w:val="0"/>
        <w:keepLines w:val="0"/>
        <w:pageBreakBefore w:val="0"/>
        <w:widowControl w:val="0"/>
        <w:kinsoku/>
        <w:wordWrap/>
        <w:overflowPunct/>
        <w:topLinePunct w:val="0"/>
        <w:autoSpaceDE/>
        <w:autoSpaceDN/>
        <w:bidi w:val="0"/>
        <w:adjustRightInd/>
        <w:snapToGrid/>
        <w:spacing w:line="36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xml:space="preserve"> </w:t>
      </w:r>
    </w:p>
    <w:p w14:paraId="3E2FDBA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32"/>
          <w:rFonts w:hint="eastAsia" w:ascii="宋体" w:hAnsi="宋体" w:eastAsia="宋体" w:cs="宋体"/>
          <w:b/>
          <w:bCs w:val="0"/>
          <w:color w:val="auto"/>
          <w:sz w:val="28"/>
          <w:szCs w:val="28"/>
          <w:highlight w:val="none"/>
        </w:rPr>
      </w:pPr>
      <w:r>
        <w:rPr>
          <w:rStyle w:val="32"/>
          <w:rFonts w:hint="eastAsia" w:ascii="宋体" w:hAnsi="宋体" w:eastAsia="宋体" w:cs="宋体"/>
          <w:b/>
          <w:bCs w:val="0"/>
          <w:color w:val="auto"/>
          <w:sz w:val="28"/>
          <w:szCs w:val="28"/>
          <w:highlight w:val="none"/>
        </w:rPr>
        <w:t>中小企业划型标准规定</w:t>
      </w:r>
    </w:p>
    <w:p w14:paraId="7440C465">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一、根据《中华人民共和国中小企业促进法》和《国务院关于进一步促进中小企业发展的若干意见》(国发〔2009〕36号)，制定本规定。</w:t>
      </w:r>
    </w:p>
    <w:p w14:paraId="507AD261">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二、中小企业划分为中型、小型、微型三种类型，具体标准根据企业从业人员、营业收入、资产总额等指标，结合行业特点制定。</w:t>
      </w:r>
    </w:p>
    <w:p w14:paraId="58A39619">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F5AE90D">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四、各行业划型标准为：</w:t>
      </w:r>
    </w:p>
    <w:p w14:paraId="6B4E2D0C">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（一）农、林、牧、渔业。营业收入20000万元以下的为中小微型企业。其中，营业收入500万元及以上的为中型企业，营业收入50万元及以上的为小型企业，营业收入50万元以下的为微型企业。</w:t>
      </w:r>
    </w:p>
    <w:p w14:paraId="79E2F5AC">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AA582AE">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21D138B">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17EB3B7">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FEB118A">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514A6D2">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EFCEC98">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D4D3E4D">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A462725">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37CBAA6">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10AAA96">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EC394A7">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1121D1E">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6AB8718">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0881398">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（十六）其他未列明行业。从业人员300人以下的为中小微型企业。其中，从业人员100人及以上的为中型企业；从业人员10人及以上的为小型企业；从业人员10人以下的为微型企业。　　</w:t>
      </w:r>
    </w:p>
    <w:p w14:paraId="509B953B">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五、企业类型的划分以统计部门的统计数据为依据。</w:t>
      </w:r>
    </w:p>
    <w:p w14:paraId="77228C0D">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六、本规定适用于在中华人民共和国境内依法设立的各类所有制和各种组织形式的企业。个体工商户和本规定以外的行业，参照本规定进行划型。</w:t>
      </w:r>
    </w:p>
    <w:p w14:paraId="5F4BB8EA">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七、本规定的中型企业标准上限即为大型企业标准的下限，国家统计部门据此制定大中小微型企业的统计分类。国务院有关部门据此进行相关数据分析，不得制定与本规定不一致的企业划型标准。</w:t>
      </w:r>
    </w:p>
    <w:p w14:paraId="0450AEC1">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八、本规定由工业和信息化部、国家统计局会同有关部门根据《国民经济行业分类》修订情况和企业发展变化情况适时修订。</w:t>
      </w:r>
    </w:p>
    <w:p w14:paraId="69D789A4">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九、本规定由工业和信息化部、国家统计局会同有关部门负责解释。</w:t>
      </w:r>
    </w:p>
    <w:p w14:paraId="4299A031">
      <w:pPr>
        <w:keepNext w:val="0"/>
        <w:keepLines w:val="0"/>
        <w:pageBreakBefore w:val="0"/>
        <w:widowControl w:val="0"/>
        <w:kinsoku/>
        <w:wordWrap/>
        <w:overflowPunct/>
        <w:topLinePunct w:val="0"/>
        <w:autoSpaceDE/>
        <w:autoSpaceDN/>
        <w:bidi w:val="0"/>
        <w:adjustRightInd/>
        <w:snapToGrid/>
        <w:spacing w:line="40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十、本规定自发布之日起执行，原国家经贸委、原国家计委、财政部和国家统计局2003年颁布的《中小企业标准暂行规定》同时废止。</w:t>
      </w:r>
    </w:p>
    <w:p w14:paraId="5BCE9D64">
      <w:pPr>
        <w:rPr>
          <w:rFonts w:cs="宋体"/>
          <w:color w:val="auto"/>
          <w:spacing w:val="6"/>
          <w:sz w:val="21"/>
          <w:szCs w:val="21"/>
          <w:highlight w:val="none"/>
        </w:rPr>
      </w:pPr>
      <w:r>
        <w:rPr>
          <w:rFonts w:cs="宋体"/>
          <w:color w:val="auto"/>
          <w:spacing w:val="6"/>
          <w:sz w:val="21"/>
          <w:szCs w:val="21"/>
          <w:highlight w:val="none"/>
        </w:rPr>
        <w:br w:type="page"/>
      </w:r>
    </w:p>
    <w:p w14:paraId="6BF97866">
      <w:pPr>
        <w:rPr>
          <w:rFonts w:cs="宋体"/>
          <w:color w:val="auto"/>
          <w:spacing w:val="6"/>
          <w:sz w:val="21"/>
          <w:szCs w:val="21"/>
          <w:highlight w:val="none"/>
        </w:rPr>
      </w:pPr>
      <w:bookmarkStart w:id="641" w:name="_Toc163492940"/>
    </w:p>
    <w:p w14:paraId="07DD5967">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eastAsia="宋体"/>
          <w:b/>
          <w:bCs/>
          <w:color w:val="auto"/>
          <w:highlight w:val="none"/>
          <w:lang w:val="en-US" w:eastAsia="zh-CN"/>
        </w:rPr>
      </w:pPr>
      <w:r>
        <w:rPr>
          <w:rFonts w:hint="eastAsia"/>
          <w:b/>
          <w:bCs/>
          <w:color w:val="auto"/>
          <w:highlight w:val="none"/>
          <w:lang w:val="en-US" w:eastAsia="zh-CN"/>
        </w:rPr>
        <w:t>附件3：</w:t>
      </w:r>
    </w:p>
    <w:p w14:paraId="754A877D">
      <w:pPr>
        <w:rPr>
          <w:rFonts w:hint="eastAsia" w:cs="宋体"/>
          <w:color w:val="auto"/>
          <w:spacing w:val="6"/>
          <w:sz w:val="21"/>
          <w:szCs w:val="21"/>
          <w:highlight w:val="none"/>
        </w:rPr>
      </w:pPr>
    </w:p>
    <w:p w14:paraId="36D4DB1B">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关于印发《金融业企业划型标准规定》的通知</w:t>
      </w:r>
    </w:p>
    <w:p w14:paraId="46F847F3">
      <w:pPr>
        <w:jc w:val="center"/>
        <w:rPr>
          <w:rStyle w:val="32"/>
          <w:rFonts w:hint="eastAsia" w:ascii="宋体" w:hAnsi="宋体" w:eastAsia="宋体" w:cs="宋体"/>
          <w:b w:val="0"/>
          <w:color w:val="auto"/>
          <w:sz w:val="24"/>
          <w:szCs w:val="24"/>
          <w:highlight w:val="none"/>
        </w:rPr>
      </w:pPr>
      <w:r>
        <w:rPr>
          <w:rStyle w:val="32"/>
          <w:rFonts w:hint="eastAsia" w:ascii="宋体" w:hAnsi="宋体" w:eastAsia="宋体" w:cs="宋体"/>
          <w:b w:val="0"/>
          <w:color w:val="auto"/>
          <w:sz w:val="24"/>
          <w:szCs w:val="24"/>
          <w:highlight w:val="none"/>
        </w:rPr>
        <w:t>银发〔2015〕309号</w:t>
      </w:r>
    </w:p>
    <w:p w14:paraId="6EBA1AEF">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为进一步贯彻落实《中华人民共和国中小企业促进法》、《国务院关于进一步促进中小企业发展的若干意见》（国发〔2009〕36号）、《国务院办公厅关于金融支持小微企业发展的实施意见》（国办发〔2013〕87号），推动中小金融机构健康发展，加大金融对实体经济的支持，人民银行会同银监会、证监会、保监会和国家统计局联合研究制定了《金融业企业划型标准规定》（见附件）。经国务院同意，现印发给你们，请遵照执行。</w:t>
      </w:r>
    </w:p>
    <w:p w14:paraId="12B6BFCB">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请人民银行上海总部，各分行、营业管理部、省会（首府）城市中心支行、副省级城市中心支行会同所在省（区、市）银监局、证监局、保监局、统计局将本通知联合转发至辖内相关机构。</w:t>
      </w:r>
    </w:p>
    <w:p w14:paraId="53F6A9E3">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2"/>
          <w:rFonts w:hint="eastAsia" w:ascii="宋体" w:hAnsi="宋体" w:eastAsia="宋体" w:cs="宋体"/>
          <w:b w:val="0"/>
          <w:bCs w:val="0"/>
          <w:color w:val="auto"/>
          <w:sz w:val="24"/>
          <w:szCs w:val="24"/>
          <w:highlight w:val="none"/>
        </w:rPr>
      </w:pPr>
    </w:p>
    <w:p w14:paraId="5AE5F476">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附件：金融业企业划型标准规定</w:t>
      </w:r>
    </w:p>
    <w:p w14:paraId="575D4BF4">
      <w:pPr>
        <w:keepNext w:val="0"/>
        <w:keepLines w:val="0"/>
        <w:pageBreakBefore w:val="0"/>
        <w:widowControl w:val="0"/>
        <w:kinsoku/>
        <w:wordWrap/>
        <w:overflowPunct/>
        <w:topLinePunct w:val="0"/>
        <w:autoSpaceDE/>
        <w:autoSpaceDN/>
        <w:bidi w:val="0"/>
        <w:adjustRightInd/>
        <w:snapToGrid/>
        <w:spacing w:line="460" w:lineRule="exact"/>
        <w:textAlignment w:val="auto"/>
        <w:rPr>
          <w:rStyle w:val="32"/>
          <w:rFonts w:hint="eastAsia" w:ascii="宋体" w:hAnsi="宋体" w:eastAsia="宋体" w:cs="宋体"/>
          <w:b w:val="0"/>
          <w:bCs w:val="0"/>
          <w:color w:val="auto"/>
          <w:sz w:val="24"/>
          <w:szCs w:val="24"/>
          <w:highlight w:val="none"/>
        </w:rPr>
      </w:pPr>
      <w:r>
        <w:rPr>
          <w:rFonts w:hint="eastAsia" w:cs="宋体"/>
          <w:color w:val="auto"/>
          <w:spacing w:val="6"/>
          <w:sz w:val="24"/>
          <w:szCs w:val="24"/>
          <w:highlight w:val="none"/>
        </w:rPr>
        <w:t>                                      </w:t>
      </w:r>
      <w:r>
        <w:rPr>
          <w:rStyle w:val="32"/>
          <w:rFonts w:hint="eastAsia" w:ascii="宋体" w:hAnsi="宋体" w:eastAsia="宋体" w:cs="宋体"/>
          <w:b w:val="0"/>
          <w:bCs w:val="0"/>
          <w:color w:val="auto"/>
          <w:sz w:val="24"/>
          <w:szCs w:val="24"/>
          <w:highlight w:val="none"/>
        </w:rPr>
        <w:t>       </w:t>
      </w:r>
      <w:r>
        <w:rPr>
          <w:rStyle w:val="32"/>
          <w:rFonts w:hint="eastAsia" w:cs="宋体"/>
          <w:b w:val="0"/>
          <w:bCs w:val="0"/>
          <w:color w:val="auto"/>
          <w:sz w:val="24"/>
          <w:szCs w:val="24"/>
          <w:highlight w:val="none"/>
          <w:lang w:val="en-US" w:eastAsia="zh-CN"/>
        </w:rPr>
        <w:t xml:space="preserve">                            </w:t>
      </w:r>
      <w:r>
        <w:rPr>
          <w:rStyle w:val="32"/>
          <w:rFonts w:hint="eastAsia" w:ascii="宋体" w:hAnsi="宋体" w:eastAsia="宋体" w:cs="宋体"/>
          <w:b w:val="0"/>
          <w:bCs w:val="0"/>
          <w:color w:val="auto"/>
          <w:sz w:val="24"/>
          <w:szCs w:val="24"/>
          <w:highlight w:val="none"/>
        </w:rPr>
        <w:t>中国人民银行</w:t>
      </w:r>
    </w:p>
    <w:p w14:paraId="0E162F05">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中国银行业监督管理委员会</w:t>
      </w:r>
    </w:p>
    <w:p w14:paraId="644A820C">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中国证券监督管理委员会</w:t>
      </w:r>
    </w:p>
    <w:p w14:paraId="13427FED">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中国保险监督管理委员会</w:t>
      </w:r>
    </w:p>
    <w:p w14:paraId="189E390E">
      <w:pPr>
        <w:keepNext w:val="0"/>
        <w:keepLines w:val="0"/>
        <w:pageBreakBefore w:val="0"/>
        <w:widowControl w:val="0"/>
        <w:kinsoku/>
        <w:wordWrap/>
        <w:overflowPunct/>
        <w:topLinePunct w:val="0"/>
        <w:autoSpaceDE/>
        <w:autoSpaceDN/>
        <w:bidi w:val="0"/>
        <w:adjustRightInd/>
        <w:snapToGrid/>
        <w:spacing w:line="460" w:lineRule="exact"/>
        <w:ind w:firstLine="2160" w:firstLineChars="900"/>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中华人民共和国国家统计局</w:t>
      </w:r>
    </w:p>
    <w:p w14:paraId="35EB1163">
      <w:pPr>
        <w:keepNext w:val="0"/>
        <w:keepLines w:val="0"/>
        <w:pageBreakBefore w:val="0"/>
        <w:widowControl w:val="0"/>
        <w:kinsoku/>
        <w:wordWrap/>
        <w:overflowPunct/>
        <w:topLinePunct w:val="0"/>
        <w:autoSpaceDE/>
        <w:autoSpaceDN/>
        <w:bidi w:val="0"/>
        <w:adjustRightInd/>
        <w:snapToGrid/>
        <w:spacing w:line="460" w:lineRule="exact"/>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                                                     </w:t>
      </w:r>
      <w:r>
        <w:rPr>
          <w:rStyle w:val="32"/>
          <w:rFonts w:hint="eastAsia" w:cs="宋体"/>
          <w:b w:val="0"/>
          <w:bCs w:val="0"/>
          <w:color w:val="auto"/>
          <w:sz w:val="24"/>
          <w:szCs w:val="24"/>
          <w:highlight w:val="none"/>
          <w:lang w:val="en-US" w:eastAsia="zh-CN"/>
        </w:rPr>
        <w:t xml:space="preserve">     </w:t>
      </w:r>
      <w:r>
        <w:rPr>
          <w:rStyle w:val="32"/>
          <w:rFonts w:hint="eastAsia" w:ascii="宋体" w:hAnsi="宋体" w:eastAsia="宋体" w:cs="宋体"/>
          <w:b w:val="0"/>
          <w:bCs w:val="0"/>
          <w:color w:val="auto"/>
          <w:sz w:val="24"/>
          <w:szCs w:val="24"/>
          <w:highlight w:val="none"/>
        </w:rPr>
        <w:t> 2015年9月28日</w:t>
      </w:r>
    </w:p>
    <w:p w14:paraId="2D875BF0">
      <w:pPr>
        <w:rPr>
          <w:rFonts w:hint="eastAsia" w:cs="宋体"/>
          <w:color w:val="auto"/>
          <w:spacing w:val="6"/>
          <w:sz w:val="21"/>
          <w:szCs w:val="21"/>
          <w:highlight w:val="none"/>
        </w:rPr>
      </w:pPr>
    </w:p>
    <w:p w14:paraId="3D3E2F07">
      <w:pPr>
        <w:rPr>
          <w:rFonts w:hint="eastAsia" w:cs="宋体"/>
          <w:color w:val="auto"/>
          <w:spacing w:val="6"/>
          <w:sz w:val="21"/>
          <w:szCs w:val="21"/>
          <w:highlight w:val="none"/>
          <w:lang w:val="en-US" w:eastAsia="zh-CN"/>
        </w:rPr>
      </w:pPr>
    </w:p>
    <w:p w14:paraId="7D55D2C4">
      <w:pPr>
        <w:rPr>
          <w:rFonts w:hint="eastAsia" w:cs="宋体"/>
          <w:color w:val="auto"/>
          <w:spacing w:val="6"/>
          <w:sz w:val="21"/>
          <w:szCs w:val="21"/>
          <w:highlight w:val="none"/>
          <w:lang w:val="en-US" w:eastAsia="zh-CN"/>
        </w:rPr>
      </w:pPr>
    </w:p>
    <w:p w14:paraId="535B7B3C">
      <w:pPr>
        <w:rPr>
          <w:rFonts w:hint="eastAsia" w:cs="宋体"/>
          <w:color w:val="auto"/>
          <w:spacing w:val="6"/>
          <w:sz w:val="21"/>
          <w:szCs w:val="21"/>
          <w:highlight w:val="none"/>
          <w:lang w:val="en-US" w:eastAsia="zh-CN"/>
        </w:rPr>
      </w:pPr>
    </w:p>
    <w:p w14:paraId="0003DA46">
      <w:pPr>
        <w:rPr>
          <w:rFonts w:hint="eastAsia" w:cs="宋体"/>
          <w:color w:val="auto"/>
          <w:spacing w:val="6"/>
          <w:sz w:val="21"/>
          <w:szCs w:val="21"/>
          <w:highlight w:val="none"/>
          <w:lang w:val="en-US" w:eastAsia="zh-CN"/>
        </w:rPr>
      </w:pPr>
    </w:p>
    <w:p w14:paraId="2EB5298D">
      <w:pPr>
        <w:rPr>
          <w:rFonts w:hint="eastAsia" w:cs="宋体"/>
          <w:color w:val="auto"/>
          <w:spacing w:val="6"/>
          <w:sz w:val="21"/>
          <w:szCs w:val="21"/>
          <w:highlight w:val="none"/>
          <w:lang w:val="en-US" w:eastAsia="zh-CN"/>
        </w:rPr>
      </w:pPr>
    </w:p>
    <w:p w14:paraId="22DC8AB1">
      <w:pPr>
        <w:rPr>
          <w:rFonts w:hint="eastAsia" w:cs="宋体"/>
          <w:color w:val="auto"/>
          <w:spacing w:val="6"/>
          <w:sz w:val="21"/>
          <w:szCs w:val="21"/>
          <w:highlight w:val="none"/>
          <w:lang w:val="en-US" w:eastAsia="zh-CN"/>
        </w:rPr>
      </w:pPr>
    </w:p>
    <w:p w14:paraId="62A6A0C9">
      <w:pPr>
        <w:rPr>
          <w:rFonts w:hint="eastAsia" w:cs="宋体"/>
          <w:color w:val="auto"/>
          <w:spacing w:val="6"/>
          <w:sz w:val="21"/>
          <w:szCs w:val="21"/>
          <w:highlight w:val="none"/>
          <w:lang w:val="en-US" w:eastAsia="zh-CN"/>
        </w:rPr>
      </w:pPr>
    </w:p>
    <w:p w14:paraId="10A8E63C">
      <w:pPr>
        <w:rPr>
          <w:rFonts w:hint="eastAsia" w:cs="宋体"/>
          <w:color w:val="auto"/>
          <w:spacing w:val="6"/>
          <w:sz w:val="21"/>
          <w:szCs w:val="21"/>
          <w:highlight w:val="none"/>
          <w:lang w:val="en-US" w:eastAsia="zh-CN"/>
        </w:rPr>
      </w:pPr>
    </w:p>
    <w:p w14:paraId="422FF70F">
      <w:pPr>
        <w:rPr>
          <w:rFonts w:hint="eastAsia" w:cs="宋体"/>
          <w:color w:val="auto"/>
          <w:spacing w:val="6"/>
          <w:sz w:val="21"/>
          <w:szCs w:val="21"/>
          <w:highlight w:val="none"/>
        </w:rPr>
      </w:pPr>
      <w:r>
        <w:rPr>
          <w:rFonts w:hint="eastAsia" w:cs="宋体"/>
          <w:color w:val="auto"/>
          <w:spacing w:val="6"/>
          <w:sz w:val="21"/>
          <w:szCs w:val="21"/>
          <w:highlight w:val="none"/>
          <w:lang w:val="en-US" w:eastAsia="zh-CN"/>
        </w:rPr>
        <w:t>附件</w:t>
      </w:r>
      <w:r>
        <w:rPr>
          <w:rFonts w:hint="eastAsia" w:cs="宋体"/>
          <w:color w:val="auto"/>
          <w:spacing w:val="6"/>
          <w:sz w:val="21"/>
          <w:szCs w:val="21"/>
          <w:highlight w:val="none"/>
        </w:rPr>
        <w:t>              </w:t>
      </w:r>
    </w:p>
    <w:p w14:paraId="3E48D324">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金融业企业划型标准规定</w:t>
      </w:r>
    </w:p>
    <w:p w14:paraId="5AB18E43">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一、根据《中华人民共和国中小企业促进法》、《国务院关于进一步促进中小企业发展的若干意见》（国发〔2009〕36号）和《国务院办公厅关于金融支持小微企业发展的实施意见》（国办发〔2013〕87号），制定本规定。</w:t>
      </w:r>
    </w:p>
    <w:p w14:paraId="4D87CEE4">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二、适用范围。本规定适用于从事《国民经济行业分类》（GB/T4754-2011）中J门类（金融业）活动的企业。</w:t>
      </w:r>
    </w:p>
    <w:p w14:paraId="405839B7">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三、行业分类。采用复合分类方法对金融业企业进行分类。首先，按《国民经济行业分类》将金融业企业分为货币金融服务、资本市场服务、保险业、其他金融业四大类。其次，将货币金融服务分为货币银行服务和非货币银行服务两类，将其他金融业分为金融信托与管理服务、控股公司服务和其他未包括的金融业三类。最后，按经济性质将货币银行服务类金融企业划为银行业存款类金融机构；将非货币银行服务类金融业企业分为银行业非存款类金融机构，贷款公司、小额贷款公司及典当行；将资本市场服务类金融业企业划为证券业金融机构；将保险业金融企业划为保险业金融机构；将其他金融业企业分为信托公司，金融控股公司和除贷款公司、小额贷款公司、典当行以外的其他金融机构。</w:t>
      </w:r>
    </w:p>
    <w:p w14:paraId="199C178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四、划型标准指标。采用一个完整会计年度中四个季度末法人并表口径的资产总额（信托公司为信托资产）平均值作为划型指标，该指标以监管部门数据为准。</w:t>
      </w:r>
    </w:p>
    <w:p w14:paraId="7793BE62">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五、指标标准值。依据指标标准值，将各类金融业企业划分为大、中、小、微四个规模类型，中型企业标准上限及以上的为大型企业。</w:t>
      </w:r>
    </w:p>
    <w:p w14:paraId="520E443E">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（一）银行业存款类金融机构。资产总额40000亿元以下的为中小微型企业。其中，资产总额5000亿元及以上的为中型企业，资产总额50亿元及以上的为小型企业，资产总额50亿元以下的为微型企业。</w:t>
      </w:r>
    </w:p>
    <w:p w14:paraId="3C947BA4">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（二）银行业非存款类金融机构。资产总额1000亿元以下的为中小微企业。其中，资产总额200亿元及以上的为中型企业，资产总额50亿元及以上的为小型企业，资产总额50亿元以下的为微型企业。</w:t>
      </w:r>
    </w:p>
    <w:p w14:paraId="6D9795B3">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（三）贷款公司、小额贷款公司及典当行。资产总额1000亿元以下的为中小微型企业。其中，资产总额200亿元及以上的为中型企业，资产总额50亿元及以上的为小型企业，资产总额50亿元以下的为微型企业。</w:t>
      </w:r>
    </w:p>
    <w:p w14:paraId="76FAEF44">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（四）证券业金融机构。资产总额1000亿元以下的为中小微型企业。其中，资产总额100亿元及以上的为中型企业，资产总额10亿元及以上的为小型企业，资产总额10亿元以下的为微型企业。</w:t>
      </w:r>
    </w:p>
    <w:p w14:paraId="09CAA279">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（五）保险业金融机构。资产总额5000亿元以下的为中小微型企业。其中，资产总额400亿元及以上的为中型企业，资产总额20亿元及以上的为小型企业，资产总额20亿元以下的为微型企业。</w:t>
      </w:r>
    </w:p>
    <w:p w14:paraId="1C3C0055">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（六）信托公司。信托资产1000亿元以下的为中小微型企业。其中，信托资产400亿元及以上的为中型企业，信托资产20亿元及以上的为小型企业，信托资产20亿元以下的为微型企业。</w:t>
      </w:r>
    </w:p>
    <w:p w14:paraId="158B91FE">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（七）金融控股公司。资产总额40000亿元以下的为中小微企业。其中，资产总额5000亿元及以上的为中型企业，资产总额50亿元及以上的为小型企业，资产总额50亿元以下的为微型企业。、</w:t>
      </w:r>
    </w:p>
    <w:p w14:paraId="78FD5B1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lang w:eastAsia="zh-CN"/>
        </w:rPr>
      </w:pPr>
      <w:r>
        <w:rPr>
          <w:rStyle w:val="32"/>
          <w:rFonts w:hint="eastAsia" w:ascii="宋体" w:hAnsi="宋体" w:eastAsia="宋体" w:cs="宋体"/>
          <w:b w:val="0"/>
          <w:bCs w:val="0"/>
          <w:color w:val="auto"/>
          <w:sz w:val="24"/>
          <w:szCs w:val="24"/>
          <w:highlight w:val="none"/>
        </w:rPr>
        <w:t>(八)除贷款公司、小额贷款公司、典当行以外的其他金融机构。资产总额1000亿元以下的为中小微型企业。其中，资产总额200亿元及以上的为中型企业，资产总额50亿元及以上的为小型企业，资产总额50亿元以下的为微型企业</w:t>
      </w:r>
      <w:r>
        <w:rPr>
          <w:rStyle w:val="32"/>
          <w:rFonts w:hint="eastAsia" w:cs="宋体"/>
          <w:b w:val="0"/>
          <w:bCs w:val="0"/>
          <w:color w:val="auto"/>
          <w:sz w:val="24"/>
          <w:szCs w:val="24"/>
          <w:highlight w:val="none"/>
          <w:lang w:eastAsia="zh-CN"/>
        </w:rPr>
        <w:t>。</w:t>
      </w:r>
    </w:p>
    <w:p w14:paraId="064C9A6D">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六、组织实施。由人民银行会同银监会、证监会、保监会和统计局联合组成金融业企业划型标准工作组，负责金融业企业划型标准的实施、后期评估和调整工作，按年组织金融业企业规模认定，并在人民银行建立的《金融业机构信息管理系统》中增加相应的字段模块。经过认定的金融业企业在系统中进行规模登记</w:t>
      </w:r>
      <w:r>
        <w:rPr>
          <w:rStyle w:val="32"/>
          <w:rFonts w:hint="eastAsia" w:cs="宋体"/>
          <w:b w:val="0"/>
          <w:bCs w:val="0"/>
          <w:color w:val="auto"/>
          <w:sz w:val="24"/>
          <w:szCs w:val="24"/>
          <w:highlight w:val="none"/>
          <w:lang w:eastAsia="zh-CN"/>
        </w:rPr>
        <w:t>，</w:t>
      </w:r>
      <w:r>
        <w:rPr>
          <w:rStyle w:val="32"/>
          <w:rFonts w:hint="eastAsia" w:ascii="宋体" w:hAnsi="宋体" w:eastAsia="宋体" w:cs="宋体"/>
          <w:b w:val="0"/>
          <w:bCs w:val="0"/>
          <w:color w:val="auto"/>
          <w:sz w:val="24"/>
          <w:szCs w:val="24"/>
          <w:highlight w:val="none"/>
        </w:rPr>
        <w:t>方便政府部门和社会各界查询使用。</w:t>
      </w:r>
    </w:p>
    <w:p w14:paraId="2C50E64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七、标准值的评估和调整。金融业企业划型标准工作组每五年对划型标准值受经济发展与通货膨胀等因素的影响程度进行评估和调整。</w:t>
      </w:r>
    </w:p>
    <w:p w14:paraId="350BE408">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lang w:eastAsia="zh-CN"/>
        </w:rPr>
      </w:pPr>
      <w:r>
        <w:rPr>
          <w:rStyle w:val="32"/>
          <w:rFonts w:hint="eastAsia" w:ascii="宋体" w:hAnsi="宋体" w:eastAsia="宋体" w:cs="宋体"/>
          <w:b w:val="0"/>
          <w:bCs w:val="0"/>
          <w:color w:val="auto"/>
          <w:sz w:val="24"/>
          <w:szCs w:val="24"/>
          <w:highlight w:val="none"/>
        </w:rPr>
        <w:t>八、本规定的中型金融业企业标准上限即为大型金融业企业下限。国务院有关部门据此进行相关数据的统计分析，不得制定与本规定不一致的金融业企业划型标准</w:t>
      </w:r>
      <w:r>
        <w:rPr>
          <w:rStyle w:val="32"/>
          <w:rFonts w:hint="eastAsia" w:cs="宋体"/>
          <w:b w:val="0"/>
          <w:bCs w:val="0"/>
          <w:color w:val="auto"/>
          <w:sz w:val="24"/>
          <w:szCs w:val="24"/>
          <w:highlight w:val="none"/>
          <w:lang w:eastAsia="zh-CN"/>
        </w:rPr>
        <w:t>。</w:t>
      </w:r>
    </w:p>
    <w:p w14:paraId="61D82EC5">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lang w:eastAsia="zh-CN"/>
        </w:rPr>
      </w:pPr>
      <w:r>
        <w:rPr>
          <w:rStyle w:val="32"/>
          <w:rFonts w:hint="eastAsia" w:ascii="宋体" w:hAnsi="宋体" w:eastAsia="宋体" w:cs="宋体"/>
          <w:b w:val="0"/>
          <w:bCs w:val="0"/>
          <w:color w:val="auto"/>
          <w:sz w:val="24"/>
          <w:szCs w:val="24"/>
          <w:highlight w:val="none"/>
        </w:rPr>
        <w:t>九、融资担保公司参照本规定中“除贷款公司、小额贷款公司、典当行以外的其他金融机构”标准划型</w:t>
      </w:r>
      <w:r>
        <w:rPr>
          <w:rStyle w:val="32"/>
          <w:rFonts w:hint="eastAsia" w:cs="宋体"/>
          <w:b w:val="0"/>
          <w:bCs w:val="0"/>
          <w:color w:val="auto"/>
          <w:sz w:val="24"/>
          <w:szCs w:val="24"/>
          <w:highlight w:val="none"/>
          <w:lang w:eastAsia="zh-CN"/>
        </w:rPr>
        <w:t>。</w:t>
      </w:r>
    </w:p>
    <w:p w14:paraId="63FF3481">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十、本规定由人民银行会同银监会、证监会、保监会和统计局负责解释。</w:t>
      </w:r>
    </w:p>
    <w:p w14:paraId="0114765C">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lang w:eastAsia="zh-CN"/>
        </w:rPr>
      </w:pPr>
      <w:r>
        <w:rPr>
          <w:rStyle w:val="32"/>
          <w:rFonts w:hint="eastAsia" w:ascii="宋体" w:hAnsi="宋体" w:eastAsia="宋体" w:cs="宋体"/>
          <w:b w:val="0"/>
          <w:bCs w:val="0"/>
          <w:color w:val="auto"/>
          <w:sz w:val="24"/>
          <w:szCs w:val="24"/>
          <w:highlight w:val="none"/>
        </w:rPr>
        <w:t>十一、本规定自发布之日起实施</w:t>
      </w:r>
      <w:r>
        <w:rPr>
          <w:rStyle w:val="32"/>
          <w:rFonts w:hint="eastAsia" w:cs="宋体"/>
          <w:b w:val="0"/>
          <w:bCs w:val="0"/>
          <w:color w:val="auto"/>
          <w:sz w:val="24"/>
          <w:szCs w:val="24"/>
          <w:highlight w:val="none"/>
          <w:lang w:eastAsia="zh-CN"/>
        </w:rPr>
        <w:t>。</w:t>
      </w:r>
    </w:p>
    <w:p w14:paraId="74D817B1">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p>
    <w:p w14:paraId="4033EFE1">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2"/>
          <w:rFonts w:hint="eastAsia" w:ascii="宋体" w:hAnsi="宋体" w:eastAsia="宋体" w:cs="宋体"/>
          <w:b w:val="0"/>
          <w:bCs w:val="0"/>
          <w:color w:val="auto"/>
          <w:sz w:val="24"/>
          <w:szCs w:val="24"/>
          <w:highlight w:val="none"/>
        </w:rPr>
      </w:pPr>
      <w:r>
        <w:rPr>
          <w:rStyle w:val="32"/>
          <w:rFonts w:hint="eastAsia" w:ascii="宋体" w:hAnsi="宋体" w:eastAsia="宋体" w:cs="宋体"/>
          <w:b w:val="0"/>
          <w:bCs w:val="0"/>
          <w:color w:val="auto"/>
          <w:sz w:val="24"/>
          <w:szCs w:val="24"/>
          <w:highlight w:val="none"/>
        </w:rPr>
        <w:t>附:金融业企业划型标准</w:t>
      </w:r>
    </w:p>
    <w:p w14:paraId="4CB94869">
      <w:pPr>
        <w:rPr>
          <w:rFonts w:cs="宋体"/>
          <w:color w:val="auto"/>
          <w:spacing w:val="6"/>
          <w:sz w:val="21"/>
          <w:szCs w:val="21"/>
          <w:highlight w:val="none"/>
        </w:rPr>
      </w:pPr>
    </w:p>
    <w:p w14:paraId="018058A8">
      <w:pPr>
        <w:rPr>
          <w:rFonts w:hint="eastAsia" w:cs="宋体"/>
          <w:color w:val="auto"/>
          <w:spacing w:val="6"/>
          <w:sz w:val="24"/>
          <w:szCs w:val="24"/>
          <w:highlight w:val="none"/>
          <w:lang w:val="en-US" w:eastAsia="zh-CN"/>
        </w:rPr>
      </w:pPr>
    </w:p>
    <w:p w14:paraId="5023B69E">
      <w:pPr>
        <w:rPr>
          <w:rFonts w:hint="eastAsia" w:cs="宋体"/>
          <w:color w:val="auto"/>
          <w:spacing w:val="6"/>
          <w:sz w:val="24"/>
          <w:szCs w:val="24"/>
          <w:highlight w:val="none"/>
          <w:lang w:val="en-US" w:eastAsia="zh-CN"/>
        </w:rPr>
      </w:pPr>
    </w:p>
    <w:p w14:paraId="5F7D4B83">
      <w:pPr>
        <w:rPr>
          <w:rFonts w:hint="eastAsia" w:cs="宋体"/>
          <w:color w:val="auto"/>
          <w:spacing w:val="6"/>
          <w:sz w:val="24"/>
          <w:szCs w:val="24"/>
          <w:highlight w:val="none"/>
          <w:lang w:val="en-US" w:eastAsia="zh-CN"/>
        </w:rPr>
      </w:pPr>
    </w:p>
    <w:p w14:paraId="20B74F82">
      <w:pPr>
        <w:rPr>
          <w:rFonts w:hint="eastAsia" w:cs="宋体"/>
          <w:color w:val="auto"/>
          <w:spacing w:val="6"/>
          <w:sz w:val="24"/>
          <w:szCs w:val="24"/>
          <w:highlight w:val="none"/>
          <w:lang w:val="en-US" w:eastAsia="zh-CN"/>
        </w:rPr>
      </w:pPr>
    </w:p>
    <w:p w14:paraId="568CB75F">
      <w:pPr>
        <w:rPr>
          <w:rFonts w:hint="eastAsia" w:cs="宋体"/>
          <w:color w:val="auto"/>
          <w:spacing w:val="6"/>
          <w:sz w:val="24"/>
          <w:szCs w:val="24"/>
          <w:highlight w:val="none"/>
          <w:lang w:val="en-US" w:eastAsia="zh-CN"/>
        </w:rPr>
      </w:pPr>
    </w:p>
    <w:p w14:paraId="46228B00">
      <w:pPr>
        <w:rPr>
          <w:rFonts w:hint="eastAsia" w:cs="宋体"/>
          <w:color w:val="auto"/>
          <w:spacing w:val="6"/>
          <w:sz w:val="24"/>
          <w:szCs w:val="24"/>
          <w:highlight w:val="none"/>
          <w:lang w:val="en-US" w:eastAsia="zh-CN"/>
        </w:rPr>
      </w:pPr>
    </w:p>
    <w:p w14:paraId="70123D58">
      <w:pPr>
        <w:rPr>
          <w:rFonts w:hint="eastAsia" w:cs="宋体"/>
          <w:color w:val="auto"/>
          <w:spacing w:val="6"/>
          <w:sz w:val="24"/>
          <w:szCs w:val="24"/>
          <w:highlight w:val="none"/>
          <w:lang w:val="en-US" w:eastAsia="zh-CN"/>
        </w:rPr>
      </w:pPr>
      <w:r>
        <w:rPr>
          <w:rFonts w:hint="eastAsia" w:cs="宋体"/>
          <w:color w:val="auto"/>
          <w:spacing w:val="6"/>
          <w:sz w:val="24"/>
          <w:szCs w:val="24"/>
          <w:highlight w:val="none"/>
          <w:lang w:val="en-US" w:eastAsia="zh-CN"/>
        </w:rPr>
        <w:t>附</w:t>
      </w:r>
    </w:p>
    <w:p w14:paraId="7EB97DB1">
      <w:pPr>
        <w:pStyle w:val="17"/>
        <w:keepNext w:val="0"/>
        <w:keepLines w:val="0"/>
        <w:pageBreakBefore w:val="0"/>
        <w:widowControl w:val="0"/>
        <w:kinsoku/>
        <w:wordWrap/>
        <w:overflowPunct/>
        <w:topLinePunct w:val="0"/>
        <w:autoSpaceDE/>
        <w:autoSpaceDN/>
        <w:bidi w:val="0"/>
        <w:adjustRightInd/>
        <w:snapToGrid/>
        <w:spacing w:before="100" w:after="100" w:line="240" w:lineRule="auto"/>
        <w:jc w:val="center"/>
        <w:textAlignment w:val="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金融业企业划型标准</w:t>
      </w:r>
    </w:p>
    <w:tbl>
      <w:tblPr>
        <w:tblStyle w:val="30"/>
        <w:tblW w:w="8498" w:type="dxa"/>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168"/>
        <w:gridCol w:w="1817"/>
        <w:gridCol w:w="1143"/>
        <w:gridCol w:w="3251"/>
      </w:tblGrid>
      <w:tr w14:paraId="26CBC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Align w:val="center"/>
          </w:tcPr>
          <w:p w14:paraId="25F9841A">
            <w:pPr>
              <w:spacing w:line="240" w:lineRule="auto"/>
              <w:jc w:val="center"/>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行业</w:t>
            </w:r>
          </w:p>
        </w:tc>
        <w:tc>
          <w:tcPr>
            <w:tcW w:w="1817" w:type="dxa"/>
            <w:vAlign w:val="center"/>
          </w:tcPr>
          <w:p w14:paraId="3B4008BC">
            <w:pPr>
              <w:spacing w:line="240" w:lineRule="auto"/>
              <w:jc w:val="center"/>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类别</w:t>
            </w:r>
          </w:p>
        </w:tc>
        <w:tc>
          <w:tcPr>
            <w:tcW w:w="1143" w:type="dxa"/>
            <w:vAlign w:val="center"/>
          </w:tcPr>
          <w:p w14:paraId="199F0882">
            <w:pPr>
              <w:spacing w:line="240" w:lineRule="auto"/>
              <w:jc w:val="center"/>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类型</w:t>
            </w:r>
          </w:p>
        </w:tc>
        <w:tc>
          <w:tcPr>
            <w:tcW w:w="3251" w:type="dxa"/>
            <w:vAlign w:val="center"/>
          </w:tcPr>
          <w:p w14:paraId="715E5C3B">
            <w:pPr>
              <w:spacing w:line="240" w:lineRule="auto"/>
              <w:jc w:val="center"/>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资产总额</w:t>
            </w:r>
          </w:p>
        </w:tc>
      </w:tr>
      <w:tr w14:paraId="471A8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restart"/>
            <w:vAlign w:val="center"/>
          </w:tcPr>
          <w:p w14:paraId="1233504D">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货币金融服务</w:t>
            </w:r>
          </w:p>
        </w:tc>
        <w:tc>
          <w:tcPr>
            <w:tcW w:w="1168" w:type="dxa"/>
            <w:vMerge w:val="restart"/>
            <w:vAlign w:val="center"/>
          </w:tcPr>
          <w:p w14:paraId="4350DE89">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货币银行服务</w:t>
            </w:r>
          </w:p>
        </w:tc>
        <w:tc>
          <w:tcPr>
            <w:tcW w:w="1817" w:type="dxa"/>
            <w:vMerge w:val="restart"/>
            <w:vAlign w:val="center"/>
          </w:tcPr>
          <w:p w14:paraId="6D5CDA82">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银行业存款类金融机构</w:t>
            </w:r>
          </w:p>
        </w:tc>
        <w:tc>
          <w:tcPr>
            <w:tcW w:w="1143" w:type="dxa"/>
            <w:vAlign w:val="center"/>
          </w:tcPr>
          <w:p w14:paraId="18DA8CED">
            <w:pPr>
              <w:spacing w:line="240" w:lineRule="auto"/>
              <w:jc w:val="center"/>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中型</w:t>
            </w:r>
          </w:p>
        </w:tc>
        <w:tc>
          <w:tcPr>
            <w:tcW w:w="3251" w:type="dxa"/>
            <w:vAlign w:val="center"/>
          </w:tcPr>
          <w:p w14:paraId="6553EDDF">
            <w:pPr>
              <w:spacing w:line="240" w:lineRule="auto"/>
              <w:jc w:val="center"/>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5000亿元（含）至40000亿元</w:t>
            </w:r>
          </w:p>
        </w:tc>
      </w:tr>
      <w:tr w14:paraId="7DDCE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5D803A9">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45CFC2BC">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392AD96A">
            <w:pPr>
              <w:spacing w:line="240" w:lineRule="auto"/>
              <w:jc w:val="both"/>
              <w:rPr>
                <w:rFonts w:hint="eastAsia" w:ascii="宋体" w:hAnsi="宋体" w:eastAsia="宋体" w:cs="宋体"/>
                <w:color w:val="auto"/>
                <w:spacing w:val="6"/>
                <w:sz w:val="21"/>
                <w:szCs w:val="21"/>
                <w:highlight w:val="none"/>
                <w:vertAlign w:val="baseline"/>
              </w:rPr>
            </w:pPr>
          </w:p>
        </w:tc>
        <w:tc>
          <w:tcPr>
            <w:tcW w:w="1143" w:type="dxa"/>
            <w:vAlign w:val="center"/>
          </w:tcPr>
          <w:p w14:paraId="146F4352">
            <w:pPr>
              <w:spacing w:line="240" w:lineRule="auto"/>
              <w:jc w:val="center"/>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0C955763">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50亿元（含）至5000亿元</w:t>
            </w:r>
          </w:p>
        </w:tc>
      </w:tr>
      <w:tr w14:paraId="73826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44DEC46">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147E3A4E">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543C1290">
            <w:pPr>
              <w:spacing w:line="240" w:lineRule="auto"/>
              <w:jc w:val="both"/>
              <w:rPr>
                <w:rFonts w:hint="eastAsia" w:ascii="宋体" w:hAnsi="宋体" w:eastAsia="宋体" w:cs="宋体"/>
                <w:color w:val="auto"/>
                <w:spacing w:val="6"/>
                <w:sz w:val="21"/>
                <w:szCs w:val="21"/>
                <w:highlight w:val="none"/>
                <w:vertAlign w:val="baseline"/>
              </w:rPr>
            </w:pPr>
          </w:p>
        </w:tc>
        <w:tc>
          <w:tcPr>
            <w:tcW w:w="1143" w:type="dxa"/>
            <w:vAlign w:val="center"/>
          </w:tcPr>
          <w:p w14:paraId="0A8569B9">
            <w:pPr>
              <w:spacing w:line="240" w:lineRule="auto"/>
              <w:jc w:val="center"/>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微型</w:t>
            </w:r>
          </w:p>
        </w:tc>
        <w:tc>
          <w:tcPr>
            <w:tcW w:w="3251" w:type="dxa"/>
            <w:vAlign w:val="center"/>
          </w:tcPr>
          <w:p w14:paraId="29C9E0F4">
            <w:pPr>
              <w:spacing w:line="240" w:lineRule="auto"/>
              <w:jc w:val="center"/>
              <w:rPr>
                <w:rFonts w:hint="eastAsia" w:ascii="宋体" w:hAnsi="宋体" w:eastAsia="宋体" w:cs="宋体"/>
                <w:color w:val="auto"/>
                <w:spacing w:val="6"/>
                <w:sz w:val="21"/>
                <w:szCs w:val="21"/>
                <w:highlight w:val="none"/>
                <w:vertAlign w:val="baseline"/>
                <w:lang w:val="en-US"/>
              </w:rPr>
            </w:pPr>
            <w:r>
              <w:rPr>
                <w:rFonts w:hint="eastAsia" w:ascii="宋体" w:hAnsi="宋体" w:eastAsia="宋体" w:cs="宋体"/>
                <w:color w:val="auto"/>
                <w:spacing w:val="6"/>
                <w:sz w:val="21"/>
                <w:szCs w:val="21"/>
                <w:highlight w:val="none"/>
                <w:vertAlign w:val="baseline"/>
                <w:lang w:val="en-US" w:eastAsia="zh-CN"/>
              </w:rPr>
              <w:t>50亿元以下</w:t>
            </w:r>
          </w:p>
        </w:tc>
      </w:tr>
      <w:tr w14:paraId="1C15D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2A12E1E">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restart"/>
            <w:vAlign w:val="center"/>
          </w:tcPr>
          <w:p w14:paraId="56574B6D">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非货币银行服务</w:t>
            </w:r>
          </w:p>
        </w:tc>
        <w:tc>
          <w:tcPr>
            <w:tcW w:w="1817" w:type="dxa"/>
            <w:vMerge w:val="restart"/>
            <w:vAlign w:val="center"/>
          </w:tcPr>
          <w:p w14:paraId="7DD2F497">
            <w:pPr>
              <w:spacing w:line="240" w:lineRule="auto"/>
              <w:jc w:val="both"/>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lang w:val="en-US" w:eastAsia="zh-CN"/>
              </w:rPr>
              <w:t>银行业非存款类金融机构</w:t>
            </w:r>
          </w:p>
        </w:tc>
        <w:tc>
          <w:tcPr>
            <w:tcW w:w="1143" w:type="dxa"/>
            <w:shd w:val="clear" w:color="auto" w:fill="auto"/>
            <w:vAlign w:val="center"/>
          </w:tcPr>
          <w:p w14:paraId="46609FB8">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288F5BE5">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200亿元（含）至1000亿元</w:t>
            </w:r>
          </w:p>
        </w:tc>
      </w:tr>
      <w:tr w14:paraId="29DE0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40CFE49B">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1EF9025F">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6CC015F9">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0699B1D7">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56E78EC6">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50亿元（含）至200亿元</w:t>
            </w:r>
          </w:p>
        </w:tc>
      </w:tr>
      <w:tr w14:paraId="0CA5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6EE674B4">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217EDCC4">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DEB5E22">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24E9D4A7">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vAlign w:val="center"/>
          </w:tcPr>
          <w:p w14:paraId="00D701CA">
            <w:pPr>
              <w:spacing w:line="240" w:lineRule="auto"/>
              <w:jc w:val="center"/>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lang w:val="en-US" w:eastAsia="zh-CN"/>
              </w:rPr>
              <w:t>50亿元以下</w:t>
            </w:r>
          </w:p>
        </w:tc>
      </w:tr>
      <w:tr w14:paraId="4B534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6D041F7C">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295688AF">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restart"/>
            <w:vAlign w:val="center"/>
          </w:tcPr>
          <w:p w14:paraId="2420EBEF">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贷款公司、小额贷款公司及典当行</w:t>
            </w:r>
          </w:p>
        </w:tc>
        <w:tc>
          <w:tcPr>
            <w:tcW w:w="1143" w:type="dxa"/>
            <w:shd w:val="clear" w:color="auto" w:fill="auto"/>
            <w:vAlign w:val="center"/>
          </w:tcPr>
          <w:p w14:paraId="705DE846">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007BBC2E">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200亿元（含）至1000亿元</w:t>
            </w:r>
          </w:p>
        </w:tc>
      </w:tr>
      <w:tr w14:paraId="39E6E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1180FDC1">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078270CB">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0CBA7696">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2EA1A43D">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220FC05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50亿元（含）至200亿元</w:t>
            </w:r>
          </w:p>
        </w:tc>
      </w:tr>
      <w:tr w14:paraId="7A6B2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1C9F23C9">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693061F1">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241FB1E">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076913A">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03E9BD7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50亿元以下</w:t>
            </w:r>
          </w:p>
        </w:tc>
      </w:tr>
      <w:tr w14:paraId="10E75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restart"/>
            <w:vAlign w:val="center"/>
          </w:tcPr>
          <w:p w14:paraId="3A884F55">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资本市场服务</w:t>
            </w:r>
          </w:p>
        </w:tc>
        <w:tc>
          <w:tcPr>
            <w:tcW w:w="1817" w:type="dxa"/>
            <w:vMerge w:val="restart"/>
            <w:vAlign w:val="center"/>
          </w:tcPr>
          <w:p w14:paraId="6E78CF81">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证券业金融机构</w:t>
            </w:r>
          </w:p>
        </w:tc>
        <w:tc>
          <w:tcPr>
            <w:tcW w:w="1143" w:type="dxa"/>
            <w:shd w:val="clear" w:color="auto" w:fill="auto"/>
            <w:vAlign w:val="center"/>
          </w:tcPr>
          <w:p w14:paraId="04142618">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4444928A">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100亿元（含）至1000亿元</w:t>
            </w:r>
          </w:p>
        </w:tc>
      </w:tr>
      <w:tr w14:paraId="0F1C8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3B06C7E">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59421CAF">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54B5A7F4">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1A9C4DFF">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10亿元（含）至100亿元</w:t>
            </w:r>
          </w:p>
        </w:tc>
      </w:tr>
      <w:tr w14:paraId="01E76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65FECCF">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ADD78C9">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0F7AF91">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43D0131F">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10亿元以下</w:t>
            </w:r>
          </w:p>
        </w:tc>
      </w:tr>
      <w:tr w14:paraId="33147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restart"/>
            <w:vAlign w:val="center"/>
          </w:tcPr>
          <w:p w14:paraId="7FAED341">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保险业</w:t>
            </w:r>
          </w:p>
        </w:tc>
        <w:tc>
          <w:tcPr>
            <w:tcW w:w="1817" w:type="dxa"/>
            <w:vMerge w:val="restart"/>
            <w:vAlign w:val="center"/>
          </w:tcPr>
          <w:p w14:paraId="73A1B699">
            <w:pPr>
              <w:spacing w:line="240" w:lineRule="auto"/>
              <w:jc w:val="both"/>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lang w:val="en-US" w:eastAsia="zh-CN"/>
              </w:rPr>
              <w:t>保险业金融机构</w:t>
            </w:r>
          </w:p>
        </w:tc>
        <w:tc>
          <w:tcPr>
            <w:tcW w:w="1143" w:type="dxa"/>
            <w:shd w:val="clear" w:color="auto" w:fill="auto"/>
            <w:vAlign w:val="center"/>
          </w:tcPr>
          <w:p w14:paraId="7046BDEC">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41B9BB44">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400亿元（含）至5000亿元</w:t>
            </w:r>
          </w:p>
        </w:tc>
      </w:tr>
      <w:tr w14:paraId="386FC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8C86132">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62ACF5AB">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361981C2">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7F195A7E">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20亿元（含）至400亿元</w:t>
            </w:r>
          </w:p>
        </w:tc>
      </w:tr>
      <w:tr w14:paraId="13369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7051FBA8">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1A95E01E">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5DD1435F">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19F4DBB0">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20亿元以下</w:t>
            </w:r>
          </w:p>
        </w:tc>
      </w:tr>
      <w:tr w14:paraId="1B382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restart"/>
            <w:vAlign w:val="center"/>
          </w:tcPr>
          <w:p w14:paraId="6A4EBA5D">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其他金融业</w:t>
            </w:r>
          </w:p>
        </w:tc>
        <w:tc>
          <w:tcPr>
            <w:tcW w:w="1168" w:type="dxa"/>
            <w:vMerge w:val="restart"/>
            <w:vAlign w:val="center"/>
          </w:tcPr>
          <w:p w14:paraId="741CF031">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金融信托与管理服务</w:t>
            </w:r>
          </w:p>
        </w:tc>
        <w:tc>
          <w:tcPr>
            <w:tcW w:w="1817" w:type="dxa"/>
            <w:vMerge w:val="restart"/>
            <w:vAlign w:val="center"/>
          </w:tcPr>
          <w:p w14:paraId="70836B6C">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信托公司</w:t>
            </w:r>
          </w:p>
        </w:tc>
        <w:tc>
          <w:tcPr>
            <w:tcW w:w="1143" w:type="dxa"/>
            <w:shd w:val="clear" w:color="auto" w:fill="auto"/>
            <w:vAlign w:val="center"/>
          </w:tcPr>
          <w:p w14:paraId="03C999A9">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0C96EEDA">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400亿元（含）至1000亿元</w:t>
            </w:r>
          </w:p>
        </w:tc>
      </w:tr>
      <w:tr w14:paraId="394AA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338E5D4F">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2343FC29">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EB960A0">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D76C176">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0E689FD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20亿元（含）至400亿元</w:t>
            </w:r>
          </w:p>
        </w:tc>
      </w:tr>
      <w:tr w14:paraId="3E940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71E32AA3">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441AB74F">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15F254D">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160C098A">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33182E48">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20亿元以下</w:t>
            </w:r>
          </w:p>
        </w:tc>
      </w:tr>
      <w:tr w14:paraId="61CA0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0A3463AD">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restart"/>
            <w:vAlign w:val="center"/>
          </w:tcPr>
          <w:p w14:paraId="65B75359">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控股公司服务</w:t>
            </w:r>
          </w:p>
        </w:tc>
        <w:tc>
          <w:tcPr>
            <w:tcW w:w="1817" w:type="dxa"/>
            <w:vMerge w:val="restart"/>
            <w:vAlign w:val="center"/>
          </w:tcPr>
          <w:p w14:paraId="5AA3A788">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金融控股公司</w:t>
            </w:r>
          </w:p>
        </w:tc>
        <w:tc>
          <w:tcPr>
            <w:tcW w:w="1143" w:type="dxa"/>
            <w:shd w:val="clear" w:color="auto" w:fill="auto"/>
            <w:vAlign w:val="center"/>
          </w:tcPr>
          <w:p w14:paraId="6A34EBF4">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2863D8FC">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5000亿元（含）至40000亿元</w:t>
            </w:r>
          </w:p>
        </w:tc>
      </w:tr>
      <w:tr w14:paraId="61EE7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57F9BDD8">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774A5596">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658174A6">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43D84EB3">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434D1F52">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50亿元（含）至5000亿元</w:t>
            </w:r>
          </w:p>
        </w:tc>
      </w:tr>
      <w:tr w14:paraId="245B3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88472CC">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4DB4D286">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2B6EDD2">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472A904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1FC344B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50亿元以下</w:t>
            </w:r>
          </w:p>
        </w:tc>
      </w:tr>
      <w:tr w14:paraId="3F9EF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119" w:type="dxa"/>
            <w:vMerge w:val="continue"/>
            <w:vAlign w:val="center"/>
          </w:tcPr>
          <w:p w14:paraId="046E9137">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restart"/>
            <w:vAlign w:val="center"/>
          </w:tcPr>
          <w:p w14:paraId="10B14656">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其他未包括的金融业</w:t>
            </w:r>
          </w:p>
        </w:tc>
        <w:tc>
          <w:tcPr>
            <w:tcW w:w="1817" w:type="dxa"/>
            <w:vMerge w:val="restart"/>
            <w:vAlign w:val="center"/>
          </w:tcPr>
          <w:p w14:paraId="3E665F4F">
            <w:pPr>
              <w:spacing w:line="240" w:lineRule="auto"/>
              <w:jc w:val="both"/>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rPr>
              <w:t>除贷款公司、小额贷款公司、典当行以外的其他金融机构</w:t>
            </w:r>
          </w:p>
        </w:tc>
        <w:tc>
          <w:tcPr>
            <w:tcW w:w="1143" w:type="dxa"/>
            <w:shd w:val="clear" w:color="auto" w:fill="auto"/>
            <w:vAlign w:val="center"/>
          </w:tcPr>
          <w:p w14:paraId="00510279">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6033F5D6">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200亿元（含）至1000亿元</w:t>
            </w:r>
          </w:p>
        </w:tc>
      </w:tr>
      <w:tr w14:paraId="34EBC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19" w:type="dxa"/>
            <w:vMerge w:val="continue"/>
          </w:tcPr>
          <w:p w14:paraId="04848A28">
            <w:pPr>
              <w:spacing w:line="240" w:lineRule="auto"/>
              <w:rPr>
                <w:rFonts w:hint="eastAsia" w:ascii="宋体" w:hAnsi="宋体" w:eastAsia="宋体" w:cs="宋体"/>
                <w:color w:val="auto"/>
                <w:spacing w:val="6"/>
                <w:sz w:val="21"/>
                <w:szCs w:val="21"/>
                <w:highlight w:val="none"/>
                <w:vertAlign w:val="baseline"/>
              </w:rPr>
            </w:pPr>
          </w:p>
        </w:tc>
        <w:tc>
          <w:tcPr>
            <w:tcW w:w="1168" w:type="dxa"/>
            <w:vMerge w:val="continue"/>
          </w:tcPr>
          <w:p w14:paraId="2F2E72F9">
            <w:pPr>
              <w:spacing w:line="240" w:lineRule="auto"/>
              <w:rPr>
                <w:rFonts w:hint="eastAsia" w:ascii="宋体" w:hAnsi="宋体" w:eastAsia="宋体" w:cs="宋体"/>
                <w:color w:val="auto"/>
                <w:spacing w:val="6"/>
                <w:sz w:val="21"/>
                <w:szCs w:val="21"/>
                <w:highlight w:val="none"/>
                <w:vertAlign w:val="baseline"/>
              </w:rPr>
            </w:pPr>
          </w:p>
        </w:tc>
        <w:tc>
          <w:tcPr>
            <w:tcW w:w="1817" w:type="dxa"/>
            <w:vMerge w:val="continue"/>
          </w:tcPr>
          <w:p w14:paraId="179DE2D0">
            <w:pPr>
              <w:spacing w:line="240" w:lineRule="auto"/>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1E623338">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12916BB7">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50亿元（含）至200亿元</w:t>
            </w:r>
          </w:p>
        </w:tc>
      </w:tr>
      <w:tr w14:paraId="6DDCD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119" w:type="dxa"/>
            <w:vMerge w:val="continue"/>
          </w:tcPr>
          <w:p w14:paraId="0F1E7A7B">
            <w:pPr>
              <w:spacing w:line="240" w:lineRule="auto"/>
              <w:rPr>
                <w:rFonts w:hint="eastAsia" w:ascii="宋体" w:hAnsi="宋体" w:eastAsia="宋体" w:cs="宋体"/>
                <w:color w:val="auto"/>
                <w:spacing w:val="6"/>
                <w:sz w:val="21"/>
                <w:szCs w:val="21"/>
                <w:highlight w:val="none"/>
                <w:vertAlign w:val="baseline"/>
              </w:rPr>
            </w:pPr>
          </w:p>
        </w:tc>
        <w:tc>
          <w:tcPr>
            <w:tcW w:w="1168" w:type="dxa"/>
            <w:vMerge w:val="continue"/>
          </w:tcPr>
          <w:p w14:paraId="08010151">
            <w:pPr>
              <w:spacing w:line="240" w:lineRule="auto"/>
              <w:rPr>
                <w:rFonts w:hint="eastAsia" w:ascii="宋体" w:hAnsi="宋体" w:eastAsia="宋体" w:cs="宋体"/>
                <w:color w:val="auto"/>
                <w:spacing w:val="6"/>
                <w:sz w:val="21"/>
                <w:szCs w:val="21"/>
                <w:highlight w:val="none"/>
                <w:vertAlign w:val="baseline"/>
              </w:rPr>
            </w:pPr>
          </w:p>
        </w:tc>
        <w:tc>
          <w:tcPr>
            <w:tcW w:w="1817" w:type="dxa"/>
            <w:vMerge w:val="continue"/>
          </w:tcPr>
          <w:p w14:paraId="71A393FF">
            <w:pPr>
              <w:spacing w:line="240" w:lineRule="auto"/>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68714F1">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1913FA3F">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50亿元以下</w:t>
            </w:r>
          </w:p>
        </w:tc>
      </w:tr>
    </w:tbl>
    <w:p w14:paraId="76252C9C">
      <w:pPr>
        <w:pStyle w:val="17"/>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方正小标宋_GBK" w:hAnsi="方正小标宋_GBK" w:eastAsia="方正小标宋_GBK" w:cs="方正小标宋_GBK"/>
          <w:bCs/>
          <w:color w:val="auto"/>
          <w:sz w:val="36"/>
          <w:szCs w:val="36"/>
          <w:highlight w:val="none"/>
          <w:lang w:val="en-US" w:eastAsia="zh-CN"/>
        </w:rPr>
      </w:pPr>
      <w:r>
        <w:rPr>
          <w:rFonts w:cs="宋体"/>
          <w:color w:val="auto"/>
          <w:spacing w:val="6"/>
          <w:sz w:val="21"/>
          <w:szCs w:val="21"/>
          <w:highlight w:val="none"/>
        </w:rPr>
        <w:br w:type="page"/>
      </w:r>
    </w:p>
    <w:p w14:paraId="3D939C43">
      <w:pPr>
        <w:pStyle w:val="17"/>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小标宋_GBK" w:hAnsi="方正小标宋_GBK" w:eastAsia="方正小标宋_GBK" w:cs="方正小标宋_GBK"/>
          <w:bCs/>
          <w:color w:val="auto"/>
          <w:sz w:val="36"/>
          <w:szCs w:val="36"/>
          <w:highlight w:val="none"/>
          <w:lang w:val="en-US" w:eastAsia="zh-CN"/>
        </w:rPr>
      </w:pPr>
    </w:p>
    <w:p w14:paraId="0711552D">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bookmarkStart w:id="642" w:name="_Toc4673"/>
      <w:r>
        <w:rPr>
          <w:rFonts w:hint="eastAsia" w:ascii="宋体" w:hAnsi="宋体" w:eastAsia="宋体" w:cstheme="minorBidi"/>
          <w:b/>
          <w:bCs/>
          <w:color w:val="auto"/>
          <w:kern w:val="2"/>
          <w:sz w:val="24"/>
          <w:szCs w:val="24"/>
          <w:highlight w:val="none"/>
          <w:lang w:val="en-US" w:eastAsia="zh-CN" w:bidi="ar-SA"/>
        </w:rPr>
        <w:t>（三）监狱企业证明文件</w:t>
      </w:r>
      <w:r>
        <w:rPr>
          <w:rFonts w:hint="eastAsia" w:ascii="宋体" w:hAnsi="宋体" w:eastAsia="宋体" w:cstheme="minorBidi"/>
          <w:b w:val="0"/>
          <w:bCs w:val="0"/>
          <w:color w:val="auto"/>
          <w:kern w:val="2"/>
          <w:sz w:val="24"/>
          <w:szCs w:val="24"/>
          <w:highlight w:val="none"/>
          <w:lang w:val="en-US" w:eastAsia="zh-CN" w:bidi="ar-SA"/>
        </w:rPr>
        <w:t>【如适用】</w:t>
      </w:r>
      <w:bookmarkEnd w:id="641"/>
      <w:bookmarkEnd w:id="642"/>
    </w:p>
    <w:p w14:paraId="744F56E2">
      <w:pPr>
        <w:rPr>
          <w:rFonts w:cs="仿宋_GB2312"/>
          <w:b/>
          <w:color w:val="auto"/>
          <w:sz w:val="24"/>
          <w:szCs w:val="24"/>
          <w:highlight w:val="none"/>
        </w:rPr>
      </w:pPr>
    </w:p>
    <w:p w14:paraId="23D1BFCD">
      <w:pPr>
        <w:adjustRightInd w:val="0"/>
        <w:snapToGrid w:val="0"/>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【监狱企业应当提供由省级及以上监狱管理局、戒毒管理局（含新疆生产建设兵团）出具的监狱企业的证明文件，格式</w:t>
      </w:r>
      <w:r>
        <w:rPr>
          <w:rFonts w:hint="eastAsia" w:ascii="宋体" w:hAnsi="宋体" w:eastAsia="宋体" w:cs="宋体"/>
          <w:color w:val="auto"/>
          <w:sz w:val="24"/>
          <w:szCs w:val="24"/>
          <w:highlight w:val="none"/>
          <w:lang w:val="en-US" w:eastAsia="zh-CN"/>
        </w:rPr>
        <w:t>如下</w:t>
      </w:r>
      <w:r>
        <w:rPr>
          <w:rFonts w:hint="eastAsia" w:ascii="宋体" w:hAnsi="宋体" w:eastAsia="宋体" w:cs="宋体"/>
          <w:color w:val="auto"/>
          <w:sz w:val="24"/>
          <w:szCs w:val="24"/>
          <w:highlight w:val="none"/>
        </w:rPr>
        <w:t>】。</w:t>
      </w:r>
    </w:p>
    <w:p w14:paraId="75238DB1">
      <w:pPr>
        <w:pStyle w:val="17"/>
        <w:spacing w:line="360" w:lineRule="auto"/>
        <w:jc w:val="center"/>
        <w:rPr>
          <w:rFonts w:hint="eastAsia" w:ascii="宋体" w:hAnsi="宋体" w:eastAsia="宋体" w:cs="宋体"/>
          <w:b/>
          <w:bCs w:val="0"/>
          <w:color w:val="auto"/>
          <w:sz w:val="32"/>
          <w:szCs w:val="32"/>
          <w:highlight w:val="none"/>
        </w:rPr>
      </w:pPr>
    </w:p>
    <w:p w14:paraId="3EAA5E2A">
      <w:pPr>
        <w:pStyle w:val="17"/>
        <w:spacing w:line="360" w:lineRule="auto"/>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监狱企业证明函</w:t>
      </w:r>
    </w:p>
    <w:p w14:paraId="73EFA9C1">
      <w:pPr>
        <w:spacing w:line="360" w:lineRule="auto"/>
        <w:rPr>
          <w:rFonts w:hint="eastAsia" w:ascii="仿宋_GB2312" w:hAnsi="仿宋_GB2312" w:eastAsia="仿宋_GB2312" w:cs="仿宋_GB2312"/>
          <w:color w:val="auto"/>
          <w:sz w:val="32"/>
          <w:szCs w:val="32"/>
          <w:highlight w:val="none"/>
        </w:rPr>
      </w:pPr>
    </w:p>
    <w:p w14:paraId="7E6FDB37">
      <w:pPr>
        <w:ind w:firstLine="504" w:firstLineChars="200"/>
        <w:rPr>
          <w:rFonts w:hint="eastAsia" w:cs="宋体"/>
          <w:color w:val="auto"/>
          <w:spacing w:val="6"/>
          <w:szCs w:val="24"/>
          <w:highlight w:val="none"/>
        </w:rPr>
      </w:pPr>
      <w:r>
        <w:rPr>
          <w:rFonts w:hint="eastAsia" w:cs="宋体"/>
          <w:color w:val="auto"/>
          <w:spacing w:val="6"/>
          <w:szCs w:val="24"/>
          <w:highlight w:val="none"/>
        </w:rPr>
        <w:t>本公司郑重声明，根据财政部、司法部《关于政府采购支持监狱企业发展有关问题的通知》（财库</w:t>
      </w:r>
      <w:r>
        <w:rPr>
          <w:rFonts w:hint="eastAsia" w:ascii="微软雅黑" w:hAnsi="微软雅黑" w:eastAsia="微软雅黑" w:cs="微软雅黑"/>
          <w:color w:val="auto"/>
          <w:spacing w:val="6"/>
          <w:szCs w:val="24"/>
          <w:highlight w:val="none"/>
          <w:lang w:eastAsia="zh-CN"/>
        </w:rPr>
        <w:t>〔</w:t>
      </w:r>
      <w:r>
        <w:rPr>
          <w:rFonts w:hint="eastAsia" w:cs="宋体"/>
          <w:color w:val="auto"/>
          <w:spacing w:val="6"/>
          <w:szCs w:val="24"/>
          <w:highlight w:val="none"/>
        </w:rPr>
        <w:t>2014</w:t>
      </w:r>
      <w:r>
        <w:rPr>
          <w:rFonts w:hint="eastAsia" w:ascii="微软雅黑" w:hAnsi="微软雅黑" w:eastAsia="微软雅黑" w:cs="微软雅黑"/>
          <w:color w:val="auto"/>
          <w:spacing w:val="6"/>
          <w:szCs w:val="24"/>
          <w:highlight w:val="none"/>
          <w:lang w:eastAsia="zh-CN"/>
        </w:rPr>
        <w:t>〕</w:t>
      </w:r>
      <w:r>
        <w:rPr>
          <w:rFonts w:hint="eastAsia" w:cs="宋体"/>
          <w:color w:val="auto"/>
          <w:spacing w:val="6"/>
          <w:szCs w:val="24"/>
          <w:highlight w:val="none"/>
        </w:rPr>
        <w:t>68号）的规定，本公司为监狱企业。</w:t>
      </w:r>
    </w:p>
    <w:p w14:paraId="3C2CE4C6">
      <w:pPr>
        <w:spacing w:line="360" w:lineRule="auto"/>
        <w:rPr>
          <w:rFonts w:hint="eastAsia" w:ascii="宋体" w:hAnsi="宋体" w:eastAsia="宋体" w:cs="宋体"/>
          <w:color w:val="auto"/>
          <w:sz w:val="24"/>
          <w:szCs w:val="24"/>
          <w:highlight w:val="none"/>
        </w:rPr>
      </w:pPr>
    </w:p>
    <w:p w14:paraId="25406F97">
      <w:pPr>
        <w:ind w:firstLine="4440" w:firstLineChars="1850"/>
        <w:rPr>
          <w:rFonts w:hint="eastAsia" w:ascii="宋体" w:hAnsi="宋体" w:eastAsia="宋体" w:cs="宋体"/>
          <w:color w:val="auto"/>
          <w:sz w:val="24"/>
          <w:szCs w:val="24"/>
          <w:highlight w:val="none"/>
        </w:rPr>
      </w:pPr>
    </w:p>
    <w:p w14:paraId="44FF352C">
      <w:pPr>
        <w:ind w:firstLine="4440" w:firstLineChars="1850"/>
        <w:rPr>
          <w:rFonts w:hint="eastAsia" w:ascii="宋体" w:hAnsi="宋体" w:eastAsia="宋体" w:cs="宋体"/>
          <w:color w:val="auto"/>
          <w:sz w:val="24"/>
          <w:szCs w:val="24"/>
          <w:highlight w:val="none"/>
        </w:rPr>
      </w:pPr>
    </w:p>
    <w:p w14:paraId="0841D36F">
      <w:pPr>
        <w:ind w:right="1008" w:firstLine="4284" w:firstLineChars="17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eastAsia="zh-CN"/>
        </w:rPr>
        <w:t>投标人</w:t>
      </w:r>
      <w:r>
        <w:rPr>
          <w:rFonts w:hint="eastAsia" w:ascii="宋体" w:hAnsi="宋体" w:eastAsia="宋体" w:cs="宋体"/>
          <w:color w:val="auto"/>
          <w:spacing w:val="6"/>
          <w:sz w:val="24"/>
          <w:szCs w:val="24"/>
          <w:highlight w:val="none"/>
        </w:rPr>
        <w:t>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hint="eastAsia" w:ascii="宋体" w:hAnsi="宋体" w:eastAsia="宋体" w:cs="宋体"/>
          <w:color w:val="auto"/>
          <w:spacing w:val="6"/>
          <w:sz w:val="24"/>
          <w:szCs w:val="24"/>
          <w:highlight w:val="none"/>
        </w:rPr>
        <w:t>：</w:t>
      </w:r>
    </w:p>
    <w:p w14:paraId="3678CEA7">
      <w:pPr>
        <w:ind w:right="1008" w:firstLine="4284" w:firstLineChars="1700"/>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rPr>
        <w:t>日期：</w:t>
      </w:r>
      <w:r>
        <w:rPr>
          <w:rFonts w:hint="eastAsia" w:ascii="宋体" w:hAnsi="宋体" w:eastAsia="宋体" w:cs="宋体"/>
          <w:color w:val="auto"/>
          <w:spacing w:val="6"/>
          <w:sz w:val="24"/>
          <w:szCs w:val="24"/>
          <w:highlight w:val="none"/>
          <w:lang w:val="en-US" w:eastAsia="zh-CN"/>
        </w:rPr>
        <w:t xml:space="preserve">   年  月  日</w:t>
      </w:r>
    </w:p>
    <w:p w14:paraId="75D11779">
      <w:pPr>
        <w:spacing w:line="360" w:lineRule="auto"/>
        <w:ind w:firstLine="240" w:firstLineChars="100"/>
        <w:rPr>
          <w:rFonts w:hint="eastAsia" w:ascii="宋体" w:hAnsi="宋体" w:eastAsia="宋体" w:cs="宋体"/>
          <w:color w:val="auto"/>
          <w:sz w:val="24"/>
          <w:szCs w:val="24"/>
          <w:highlight w:val="none"/>
        </w:rPr>
      </w:pPr>
    </w:p>
    <w:p w14:paraId="7B8735C9">
      <w:pPr>
        <w:spacing w:line="360" w:lineRule="auto"/>
        <w:ind w:firstLine="240" w:firstLineChars="100"/>
        <w:rPr>
          <w:rFonts w:hint="eastAsia" w:ascii="宋体" w:hAnsi="宋体" w:eastAsia="宋体" w:cs="宋体"/>
          <w:color w:val="auto"/>
          <w:sz w:val="24"/>
          <w:szCs w:val="24"/>
          <w:highlight w:val="none"/>
        </w:rPr>
      </w:pPr>
    </w:p>
    <w:p w14:paraId="32722C7E">
      <w:pPr>
        <w:spacing w:line="360" w:lineRule="auto"/>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省级以上监狱管理局、戒毒管理局</w:t>
      </w:r>
    </w:p>
    <w:p w14:paraId="20204BC0">
      <w:pPr>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（含新疆生产建设兵团）（盖章）：  </w:t>
      </w:r>
    </w:p>
    <w:p w14:paraId="4A414B41">
      <w:pPr>
        <w:ind w:firstLine="4320" w:firstLineChars="1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pacing w:val="6"/>
          <w:sz w:val="24"/>
          <w:szCs w:val="24"/>
          <w:highlight w:val="none"/>
          <w:lang w:val="en-US" w:eastAsia="zh-CN"/>
        </w:rPr>
        <w:t xml:space="preserve">   年  月  日</w:t>
      </w:r>
    </w:p>
    <w:p w14:paraId="028B0253">
      <w:pPr>
        <w:spacing w:line="360" w:lineRule="auto"/>
        <w:ind w:firstLine="240" w:firstLineChars="100"/>
        <w:rPr>
          <w:rFonts w:hint="eastAsia" w:ascii="宋体" w:hAnsi="宋体" w:eastAsia="宋体" w:cs="宋体"/>
          <w:color w:val="auto"/>
          <w:sz w:val="24"/>
          <w:szCs w:val="24"/>
          <w:highlight w:val="none"/>
        </w:rPr>
      </w:pPr>
    </w:p>
    <w:p w14:paraId="4A20867A">
      <w:pPr>
        <w:spacing w:line="360" w:lineRule="auto"/>
        <w:ind w:firstLine="4000" w:firstLineChars="1250"/>
        <w:rPr>
          <w:rFonts w:hint="eastAsia" w:ascii="仿宋_GB2312" w:hAnsi="仿宋_GB2312" w:eastAsia="仿宋_GB2312" w:cs="仿宋_GB2312"/>
          <w:color w:val="auto"/>
          <w:sz w:val="32"/>
          <w:szCs w:val="32"/>
          <w:highlight w:val="none"/>
        </w:rPr>
      </w:pPr>
    </w:p>
    <w:p w14:paraId="206A9633">
      <w:pPr>
        <w:spacing w:line="360" w:lineRule="auto"/>
        <w:rPr>
          <w:rFonts w:hint="eastAsia" w:ascii="仿宋_GB2312" w:hAnsi="仿宋_GB2312" w:eastAsia="仿宋_GB2312" w:cs="仿宋_GB2312"/>
          <w:color w:val="auto"/>
          <w:sz w:val="32"/>
          <w:szCs w:val="32"/>
          <w:highlight w:val="none"/>
        </w:rPr>
      </w:pPr>
    </w:p>
    <w:p w14:paraId="283F77FC">
      <w:pPr>
        <w:widowControl/>
        <w:spacing w:before="100" w:beforeAutospacing="1" w:after="100" w:afterAutospacing="1"/>
        <w:rPr>
          <w:rFonts w:ascii="Arial" w:hAnsi="Arial" w:cs="Arial"/>
          <w:color w:val="auto"/>
          <w:sz w:val="21"/>
          <w:szCs w:val="21"/>
          <w:highlight w:val="none"/>
        </w:rPr>
      </w:pPr>
    </w:p>
    <w:p w14:paraId="3ACDD48E">
      <w:pPr>
        <w:widowControl/>
        <w:spacing w:before="100" w:beforeAutospacing="1" w:after="100" w:afterAutospacing="1"/>
        <w:rPr>
          <w:rFonts w:ascii="Arial" w:hAnsi="Arial" w:cs="Arial"/>
          <w:color w:val="auto"/>
          <w:sz w:val="21"/>
          <w:szCs w:val="21"/>
          <w:highlight w:val="none"/>
        </w:rPr>
      </w:pPr>
    </w:p>
    <w:p w14:paraId="22F7A202">
      <w:pPr>
        <w:widowControl/>
        <w:spacing w:before="100" w:beforeAutospacing="1" w:after="100" w:afterAutospacing="1"/>
        <w:rPr>
          <w:rFonts w:ascii="Arial" w:hAnsi="Arial" w:cs="Arial"/>
          <w:color w:val="auto"/>
          <w:sz w:val="21"/>
          <w:szCs w:val="21"/>
          <w:highlight w:val="none"/>
        </w:rPr>
      </w:pPr>
    </w:p>
    <w:p w14:paraId="24405F32">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bookmarkStart w:id="643" w:name="_Toc163492941"/>
    </w:p>
    <w:p w14:paraId="05E6EFA2">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bookmarkStart w:id="644" w:name="_Toc12492"/>
      <w:r>
        <w:rPr>
          <w:rFonts w:hint="eastAsia" w:ascii="宋体" w:hAnsi="宋体" w:eastAsia="宋体" w:cstheme="minorBidi"/>
          <w:b/>
          <w:bCs/>
          <w:color w:val="auto"/>
          <w:kern w:val="2"/>
          <w:sz w:val="24"/>
          <w:szCs w:val="24"/>
          <w:highlight w:val="none"/>
          <w:lang w:val="en-US" w:eastAsia="zh-CN" w:bidi="ar-SA"/>
        </w:rPr>
        <w:t>（四）残疾人福利性单位声明函</w:t>
      </w:r>
      <w:r>
        <w:rPr>
          <w:rFonts w:hint="eastAsia" w:ascii="宋体" w:hAnsi="宋体" w:eastAsia="宋体" w:cstheme="minorBidi"/>
          <w:b w:val="0"/>
          <w:bCs w:val="0"/>
          <w:color w:val="auto"/>
          <w:kern w:val="2"/>
          <w:sz w:val="24"/>
          <w:szCs w:val="24"/>
          <w:highlight w:val="none"/>
          <w:lang w:val="en-US" w:eastAsia="zh-CN" w:bidi="ar-SA"/>
        </w:rPr>
        <w:t>【如适用】</w:t>
      </w:r>
      <w:bookmarkEnd w:id="643"/>
      <w:bookmarkEnd w:id="644"/>
    </w:p>
    <w:p w14:paraId="0EAC9468">
      <w:pPr>
        <w:pStyle w:val="38"/>
        <w:numPr>
          <w:ilvl w:val="0"/>
          <w:numId w:val="0"/>
        </w:numPr>
        <w:ind w:left="420" w:leftChars="0" w:hanging="420" w:firstLineChars="0"/>
        <w:jc w:val="center"/>
        <w:rPr>
          <w:rFonts w:hint="eastAsia"/>
          <w:b/>
          <w:bCs/>
          <w:color w:val="auto"/>
          <w:sz w:val="32"/>
          <w:szCs w:val="32"/>
          <w:highlight w:val="none"/>
        </w:rPr>
      </w:pPr>
    </w:p>
    <w:p w14:paraId="091B47EA">
      <w:pPr>
        <w:pStyle w:val="38"/>
        <w:numPr>
          <w:ilvl w:val="0"/>
          <w:numId w:val="0"/>
        </w:numPr>
        <w:ind w:left="420" w:leftChars="0" w:hanging="420" w:firstLineChars="0"/>
        <w:jc w:val="center"/>
        <w:rPr>
          <w:b/>
          <w:bCs/>
          <w:color w:val="auto"/>
          <w:sz w:val="32"/>
          <w:szCs w:val="32"/>
          <w:highlight w:val="none"/>
        </w:rPr>
      </w:pPr>
      <w:r>
        <w:rPr>
          <w:rFonts w:hint="eastAsia"/>
          <w:b/>
          <w:bCs/>
          <w:color w:val="auto"/>
          <w:sz w:val="32"/>
          <w:szCs w:val="32"/>
          <w:highlight w:val="none"/>
        </w:rPr>
        <w:t>残疾人福利性单位声明函</w:t>
      </w:r>
    </w:p>
    <w:p w14:paraId="28D13EE8">
      <w:pPr>
        <w:wordWrap w:val="0"/>
        <w:ind w:firstLine="480" w:firstLineChars="200"/>
        <w:rPr>
          <w:rFonts w:hint="eastAsia"/>
          <w:color w:val="auto"/>
          <w:szCs w:val="24"/>
          <w:highlight w:val="none"/>
        </w:rPr>
      </w:pPr>
    </w:p>
    <w:p w14:paraId="2B2B6A0A">
      <w:pPr>
        <w:wordWrap w:val="0"/>
        <w:ind w:firstLine="480" w:firstLineChars="200"/>
        <w:rPr>
          <w:i w:val="0"/>
          <w:iCs w:val="0"/>
          <w:color w:val="auto"/>
          <w:szCs w:val="24"/>
          <w:highlight w:val="none"/>
        </w:rPr>
      </w:pPr>
      <w:r>
        <w:rPr>
          <w:rFonts w:hint="eastAsia"/>
          <w:i w:val="0"/>
          <w:iCs w:val="0"/>
          <w:color w:val="auto"/>
          <w:szCs w:val="24"/>
          <w:highlight w:val="none"/>
        </w:rPr>
        <w:t>本公司（联合体）郑重声明，根据《财政部 民政部 中国残疾人联合会关于促进残疾人就业政府采购政策的通知》（财库〔2017〕141号）的规定，本公司（联合体）参加</w:t>
      </w:r>
      <w:r>
        <w:rPr>
          <w:rFonts w:hint="eastAsia"/>
          <w:i w:val="0"/>
          <w:iCs w:val="0"/>
          <w:color w:val="auto"/>
          <w:szCs w:val="24"/>
          <w:highlight w:val="none"/>
          <w:u w:val="single"/>
        </w:rPr>
        <w:t xml:space="preserve"> （单位名称） </w:t>
      </w:r>
      <w:r>
        <w:rPr>
          <w:rFonts w:hint="eastAsia"/>
          <w:i w:val="0"/>
          <w:iCs w:val="0"/>
          <w:color w:val="auto"/>
          <w:szCs w:val="24"/>
          <w:highlight w:val="none"/>
        </w:rPr>
        <w:t>的</w:t>
      </w:r>
      <w:r>
        <w:rPr>
          <w:rFonts w:hint="eastAsia"/>
          <w:i w:val="0"/>
          <w:iCs w:val="0"/>
          <w:color w:val="auto"/>
          <w:szCs w:val="24"/>
          <w:highlight w:val="none"/>
          <w:u w:val="single"/>
        </w:rPr>
        <w:t xml:space="preserve"> （项目名称） </w:t>
      </w:r>
      <w:r>
        <w:rPr>
          <w:rFonts w:hint="eastAsia"/>
          <w:i w:val="0"/>
          <w:iCs w:val="0"/>
          <w:color w:val="auto"/>
          <w:szCs w:val="24"/>
          <w:highlight w:val="none"/>
        </w:rPr>
        <w:t>采购活动，提供的</w:t>
      </w:r>
      <w:r>
        <w:rPr>
          <w:rFonts w:hint="eastAsia"/>
          <w:i w:val="0"/>
          <w:iCs w:val="0"/>
          <w:color w:val="auto"/>
          <w:szCs w:val="24"/>
          <w:highlight w:val="none"/>
          <w:lang w:val="en-US" w:eastAsia="zh-CN"/>
        </w:rPr>
        <w:t>服务及</w:t>
      </w:r>
      <w:r>
        <w:rPr>
          <w:rFonts w:hint="eastAsia"/>
          <w:i w:val="0"/>
          <w:iCs w:val="0"/>
          <w:color w:val="auto"/>
          <w:szCs w:val="24"/>
          <w:highlight w:val="none"/>
        </w:rPr>
        <w:t>货物</w:t>
      </w:r>
      <w:r>
        <w:rPr>
          <w:rFonts w:hint="eastAsia"/>
          <w:b/>
          <w:i w:val="0"/>
          <w:iCs w:val="0"/>
          <w:color w:val="auto"/>
          <w:szCs w:val="24"/>
          <w:highlight w:val="none"/>
        </w:rPr>
        <w:t>全部由</w:t>
      </w:r>
      <w:r>
        <w:rPr>
          <w:rFonts w:hint="eastAsia"/>
          <w:i w:val="0"/>
          <w:iCs w:val="0"/>
          <w:color w:val="auto"/>
          <w:szCs w:val="24"/>
          <w:highlight w:val="none"/>
        </w:rPr>
        <w:t>符合政策要求的</w:t>
      </w:r>
      <w:r>
        <w:rPr>
          <w:rFonts w:hint="eastAsia"/>
          <w:b/>
          <w:i w:val="0"/>
          <w:iCs w:val="0"/>
          <w:color w:val="auto"/>
          <w:szCs w:val="24"/>
          <w:highlight w:val="none"/>
        </w:rPr>
        <w:t>残疾人福利性单位</w:t>
      </w:r>
      <w:r>
        <w:rPr>
          <w:rFonts w:hint="eastAsia"/>
          <w:b/>
          <w:i w:val="0"/>
          <w:iCs w:val="0"/>
          <w:color w:val="auto"/>
          <w:szCs w:val="24"/>
          <w:highlight w:val="none"/>
          <w:lang w:val="en-US" w:eastAsia="zh-CN"/>
        </w:rPr>
        <w:t>提供和</w:t>
      </w:r>
      <w:r>
        <w:rPr>
          <w:rFonts w:hint="eastAsia"/>
          <w:b/>
          <w:i w:val="0"/>
          <w:iCs w:val="0"/>
          <w:color w:val="auto"/>
          <w:szCs w:val="24"/>
          <w:highlight w:val="none"/>
        </w:rPr>
        <w:t>制造</w:t>
      </w:r>
      <w:r>
        <w:rPr>
          <w:rFonts w:hint="eastAsia"/>
          <w:i w:val="0"/>
          <w:iCs w:val="0"/>
          <w:color w:val="auto"/>
          <w:szCs w:val="24"/>
          <w:highlight w:val="none"/>
        </w:rPr>
        <w:t>。相关企业（含联合体中的残疾人福利性单位、签订分包意向协议</w:t>
      </w:r>
      <w:r>
        <w:rPr>
          <w:rFonts w:hint="eastAsia"/>
          <w:i w:val="0"/>
          <w:iCs w:val="0"/>
          <w:color w:val="auto"/>
          <w:szCs w:val="24"/>
          <w:highlight w:val="none"/>
          <w:lang w:val="en-US" w:eastAsia="zh-CN"/>
        </w:rPr>
        <w:t>书</w:t>
      </w:r>
      <w:r>
        <w:rPr>
          <w:rFonts w:hint="eastAsia"/>
          <w:i w:val="0"/>
          <w:iCs w:val="0"/>
          <w:color w:val="auto"/>
          <w:szCs w:val="24"/>
          <w:highlight w:val="none"/>
        </w:rPr>
        <w:t>的残疾人福利性单位）的具体情况如下：</w:t>
      </w:r>
    </w:p>
    <w:p w14:paraId="2B0D31AB">
      <w:pPr>
        <w:wordWrap w:val="0"/>
        <w:ind w:firstLine="480" w:firstLineChars="200"/>
        <w:rPr>
          <w:i w:val="0"/>
          <w:iCs w:val="0"/>
          <w:color w:val="auto"/>
          <w:szCs w:val="24"/>
          <w:highlight w:val="none"/>
        </w:rPr>
      </w:pPr>
      <w:r>
        <w:rPr>
          <w:rFonts w:hint="eastAsia"/>
          <w:i w:val="0"/>
          <w:iCs w:val="0"/>
          <w:color w:val="auto"/>
          <w:szCs w:val="24"/>
          <w:highlight w:val="none"/>
        </w:rPr>
        <w:t>1.</w:t>
      </w:r>
      <w:r>
        <w:rPr>
          <w:rFonts w:hint="eastAsia"/>
          <w:i w:val="0"/>
          <w:iCs w:val="0"/>
          <w:color w:val="auto"/>
          <w:szCs w:val="24"/>
          <w:highlight w:val="none"/>
          <w:u w:val="single"/>
        </w:rPr>
        <w:t xml:space="preserve"> （标的名称） </w:t>
      </w:r>
      <w:r>
        <w:rPr>
          <w:rFonts w:hint="eastAsia"/>
          <w:i w:val="0"/>
          <w:iCs w:val="0"/>
          <w:color w:val="auto"/>
          <w:szCs w:val="24"/>
          <w:highlight w:val="none"/>
        </w:rPr>
        <w:t>，</w:t>
      </w:r>
      <w:r>
        <w:rPr>
          <w:rFonts w:hint="eastAsia"/>
          <w:i w:val="0"/>
          <w:iCs w:val="0"/>
          <w:color w:val="auto"/>
          <w:szCs w:val="24"/>
          <w:highlight w:val="none"/>
          <w:lang w:val="en-US" w:eastAsia="zh-CN"/>
        </w:rPr>
        <w:t>承接单位</w:t>
      </w:r>
      <w:r>
        <w:rPr>
          <w:rFonts w:hint="eastAsia"/>
          <w:i w:val="0"/>
          <w:iCs w:val="0"/>
          <w:color w:val="auto"/>
          <w:szCs w:val="24"/>
          <w:highlight w:val="none"/>
        </w:rPr>
        <w:t xml:space="preserve">为 </w:t>
      </w:r>
      <w:r>
        <w:rPr>
          <w:i w:val="0"/>
          <w:iCs w:val="0"/>
          <w:color w:val="auto"/>
          <w:szCs w:val="24"/>
          <w:highlight w:val="none"/>
          <w:u w:val="single"/>
        </w:rPr>
        <w:t xml:space="preserve">  </w:t>
      </w:r>
      <w:r>
        <w:rPr>
          <w:rFonts w:hint="eastAsia"/>
          <w:i w:val="0"/>
          <w:iCs w:val="0"/>
          <w:color w:val="auto"/>
          <w:szCs w:val="24"/>
          <w:highlight w:val="none"/>
          <w:u w:val="single"/>
        </w:rPr>
        <w:t xml:space="preserve">（企业名称） </w:t>
      </w:r>
      <w:r>
        <w:rPr>
          <w:rFonts w:hint="eastAsia"/>
          <w:i w:val="0"/>
          <w:iCs w:val="0"/>
          <w:color w:val="auto"/>
          <w:szCs w:val="24"/>
          <w:highlight w:val="none"/>
        </w:rPr>
        <w:t>，属于残疾人福利性单位；</w:t>
      </w:r>
    </w:p>
    <w:p w14:paraId="138F8FD5">
      <w:pPr>
        <w:wordWrap w:val="0"/>
        <w:ind w:firstLine="480" w:firstLineChars="200"/>
        <w:rPr>
          <w:i w:val="0"/>
          <w:iCs w:val="0"/>
          <w:color w:val="auto"/>
          <w:szCs w:val="24"/>
          <w:highlight w:val="none"/>
        </w:rPr>
      </w:pPr>
      <w:r>
        <w:rPr>
          <w:rFonts w:hint="eastAsia"/>
          <w:i w:val="0"/>
          <w:iCs w:val="0"/>
          <w:color w:val="auto"/>
          <w:szCs w:val="24"/>
          <w:highlight w:val="none"/>
        </w:rPr>
        <w:t xml:space="preserve">2. </w:t>
      </w:r>
      <w:r>
        <w:rPr>
          <w:rFonts w:hint="eastAsia"/>
          <w:i w:val="0"/>
          <w:iCs w:val="0"/>
          <w:color w:val="auto"/>
          <w:szCs w:val="24"/>
          <w:highlight w:val="none"/>
          <w:u w:val="single"/>
        </w:rPr>
        <w:t xml:space="preserve">（标的名称） </w:t>
      </w:r>
      <w:r>
        <w:rPr>
          <w:rFonts w:hint="eastAsia"/>
          <w:i w:val="0"/>
          <w:iCs w:val="0"/>
          <w:color w:val="auto"/>
          <w:szCs w:val="24"/>
          <w:highlight w:val="none"/>
        </w:rPr>
        <w:t>，</w:t>
      </w:r>
      <w:r>
        <w:rPr>
          <w:rFonts w:hint="eastAsia"/>
          <w:i w:val="0"/>
          <w:iCs w:val="0"/>
          <w:color w:val="auto"/>
          <w:szCs w:val="24"/>
          <w:highlight w:val="none"/>
          <w:lang w:val="en-US" w:eastAsia="zh-CN"/>
        </w:rPr>
        <w:t>承接单位</w:t>
      </w:r>
      <w:r>
        <w:rPr>
          <w:rFonts w:hint="eastAsia"/>
          <w:i w:val="0"/>
          <w:iCs w:val="0"/>
          <w:color w:val="auto"/>
          <w:szCs w:val="24"/>
          <w:highlight w:val="none"/>
        </w:rPr>
        <w:t xml:space="preserve">为 </w:t>
      </w:r>
      <w:r>
        <w:rPr>
          <w:i w:val="0"/>
          <w:iCs w:val="0"/>
          <w:color w:val="auto"/>
          <w:szCs w:val="24"/>
          <w:highlight w:val="none"/>
          <w:u w:val="single"/>
        </w:rPr>
        <w:t xml:space="preserve">  </w:t>
      </w:r>
      <w:r>
        <w:rPr>
          <w:rFonts w:hint="eastAsia"/>
          <w:i w:val="0"/>
          <w:iCs w:val="0"/>
          <w:color w:val="auto"/>
          <w:szCs w:val="24"/>
          <w:highlight w:val="none"/>
          <w:u w:val="single"/>
        </w:rPr>
        <w:t xml:space="preserve">（企业名称） </w:t>
      </w:r>
      <w:r>
        <w:rPr>
          <w:rFonts w:hint="eastAsia"/>
          <w:i w:val="0"/>
          <w:iCs w:val="0"/>
          <w:color w:val="auto"/>
          <w:szCs w:val="24"/>
          <w:highlight w:val="none"/>
        </w:rPr>
        <w:t>，属于残疾人福利性单位；</w:t>
      </w:r>
    </w:p>
    <w:p w14:paraId="7FB12063">
      <w:pPr>
        <w:wordWrap w:val="0"/>
        <w:ind w:firstLine="480" w:firstLineChars="200"/>
        <w:rPr>
          <w:i w:val="0"/>
          <w:iCs w:val="0"/>
          <w:color w:val="auto"/>
          <w:szCs w:val="24"/>
          <w:highlight w:val="none"/>
        </w:rPr>
      </w:pPr>
      <w:r>
        <w:rPr>
          <w:rFonts w:hint="eastAsia"/>
          <w:i w:val="0"/>
          <w:iCs w:val="0"/>
          <w:color w:val="auto"/>
          <w:szCs w:val="24"/>
          <w:highlight w:val="none"/>
        </w:rPr>
        <w:t>……</w:t>
      </w:r>
    </w:p>
    <w:p w14:paraId="7B8F3287">
      <w:pPr>
        <w:wordWrap w:val="0"/>
        <w:ind w:firstLine="480" w:firstLineChars="200"/>
        <w:rPr>
          <w:i w:val="0"/>
          <w:iCs w:val="0"/>
          <w:color w:val="auto"/>
          <w:szCs w:val="24"/>
          <w:highlight w:val="none"/>
        </w:rPr>
      </w:pPr>
      <w:r>
        <w:rPr>
          <w:rFonts w:hint="eastAsia"/>
          <w:i w:val="0"/>
          <w:iCs w:val="0"/>
          <w:color w:val="auto"/>
          <w:szCs w:val="24"/>
          <w:highlight w:val="none"/>
        </w:rPr>
        <w:t>以上企业，不属于大企业的分支机构，不存在控股股东为大企业的情形，也不存在与大企业的负责人为同一人的情形。</w:t>
      </w:r>
    </w:p>
    <w:p w14:paraId="18EB7223">
      <w:pPr>
        <w:wordWrap w:val="0"/>
        <w:ind w:left="1087" w:leftChars="200" w:hanging="607" w:hangingChars="253"/>
        <w:rPr>
          <w:color w:val="auto"/>
          <w:szCs w:val="24"/>
          <w:highlight w:val="none"/>
        </w:rPr>
      </w:pPr>
      <w:r>
        <w:rPr>
          <w:rFonts w:hint="eastAsia"/>
          <w:color w:val="auto"/>
          <w:szCs w:val="24"/>
          <w:highlight w:val="none"/>
        </w:rPr>
        <w:t>本企业对上述声明内容的真实性负责。如有虚假，将依法承担相应责任。</w:t>
      </w:r>
    </w:p>
    <w:p w14:paraId="44C7A080">
      <w:pPr>
        <w:wordWrap w:val="0"/>
        <w:ind w:left="1091" w:hanging="1091" w:hangingChars="453"/>
        <w:rPr>
          <w:b/>
          <w:bCs/>
          <w:color w:val="auto"/>
          <w:szCs w:val="24"/>
          <w:highlight w:val="none"/>
        </w:rPr>
      </w:pPr>
    </w:p>
    <w:p w14:paraId="43523196">
      <w:pPr>
        <w:wordWrap w:val="0"/>
        <w:ind w:left="1091" w:hanging="1091" w:hangingChars="453"/>
        <w:rPr>
          <w:bCs/>
          <w:color w:val="auto"/>
          <w:szCs w:val="24"/>
          <w:highlight w:val="none"/>
        </w:rPr>
      </w:pPr>
      <w:r>
        <w:rPr>
          <w:rFonts w:hint="eastAsia"/>
          <w:b/>
          <w:bCs/>
          <w:color w:val="auto"/>
          <w:szCs w:val="24"/>
          <w:highlight w:val="none"/>
        </w:rPr>
        <w:t>说明：</w:t>
      </w:r>
      <w:r>
        <w:rPr>
          <w:rFonts w:hint="eastAsia"/>
          <w:bCs/>
          <w:color w:val="auto"/>
          <w:szCs w:val="24"/>
          <w:highlight w:val="none"/>
        </w:rPr>
        <w:t>1、</w:t>
      </w:r>
      <w:r>
        <w:rPr>
          <w:rFonts w:hint="eastAsia"/>
          <w:bCs/>
          <w:color w:val="auto"/>
          <w:szCs w:val="24"/>
          <w:highlight w:val="none"/>
          <w:lang w:val="en-US" w:eastAsia="zh-CN"/>
        </w:rPr>
        <w:t>服务及</w:t>
      </w:r>
      <w:r>
        <w:rPr>
          <w:rFonts w:hint="eastAsia"/>
          <w:bCs/>
          <w:color w:val="auto"/>
          <w:szCs w:val="21"/>
          <w:highlight w:val="none"/>
          <w:lang w:val="zh-CN"/>
        </w:rPr>
        <w:t>货物应当全部由符合政策要求的残疾人福利性单位</w:t>
      </w:r>
      <w:r>
        <w:rPr>
          <w:rFonts w:hint="eastAsia"/>
          <w:bCs/>
          <w:color w:val="auto"/>
          <w:szCs w:val="21"/>
          <w:highlight w:val="none"/>
          <w:lang w:val="en-US" w:eastAsia="zh-CN"/>
        </w:rPr>
        <w:t>提供及</w:t>
      </w:r>
      <w:r>
        <w:rPr>
          <w:rFonts w:hint="eastAsia"/>
          <w:bCs/>
          <w:color w:val="auto"/>
          <w:szCs w:val="21"/>
          <w:highlight w:val="none"/>
          <w:lang w:val="zh-CN"/>
        </w:rPr>
        <w:t>生产且使用该残疾人福利性单位商号或注册商标（与代理商或投标人无关）；应当严格按上述格式及内容进行填写（应当明确每个标的的生产企业类型及相关数据），否则导致的后果由投标人自行承担；</w:t>
      </w:r>
    </w:p>
    <w:p w14:paraId="2288B711">
      <w:pPr>
        <w:wordWrap w:val="0"/>
        <w:ind w:left="1087" w:hanging="1087" w:hangingChars="453"/>
        <w:rPr>
          <w:rFonts w:cs="Courier New"/>
          <w:color w:val="auto"/>
          <w:szCs w:val="21"/>
          <w:highlight w:val="none"/>
        </w:rPr>
      </w:pPr>
      <w:r>
        <w:rPr>
          <w:rFonts w:hint="eastAsia"/>
          <w:bCs/>
          <w:color w:val="auto"/>
          <w:szCs w:val="21"/>
          <w:highlight w:val="none"/>
          <w:lang w:val="zh-CN"/>
        </w:rPr>
        <w:t xml:space="preserve">      2、</w:t>
      </w:r>
      <w:r>
        <w:rPr>
          <w:rFonts w:hint="eastAsia" w:cs="Courier New"/>
          <w:color w:val="auto"/>
          <w:szCs w:val="21"/>
          <w:highlight w:val="none"/>
        </w:rPr>
        <w:t>以联合体形式参加的，应</w:t>
      </w:r>
      <w:r>
        <w:rPr>
          <w:rFonts w:hint="eastAsia"/>
          <w:bCs/>
          <w:color w:val="auto"/>
          <w:szCs w:val="21"/>
          <w:highlight w:val="none"/>
          <w:lang w:val="zh-CN"/>
        </w:rPr>
        <w:t>当</w:t>
      </w:r>
      <w:r>
        <w:rPr>
          <w:rFonts w:hint="eastAsia" w:cs="Courier New"/>
          <w:color w:val="auto"/>
          <w:szCs w:val="21"/>
          <w:highlight w:val="none"/>
        </w:rPr>
        <w:t>由联合体各方盖章。</w:t>
      </w:r>
    </w:p>
    <w:p w14:paraId="71983F83">
      <w:pPr>
        <w:wordWrap w:val="0"/>
        <w:spacing w:before="100" w:beforeAutospacing="1" w:after="100" w:afterAutospacing="1"/>
        <w:ind w:firstLine="3316" w:firstLineChars="1382"/>
        <w:rPr>
          <w:bCs/>
          <w:color w:val="auto"/>
          <w:szCs w:val="21"/>
          <w:highlight w:val="none"/>
          <w:lang w:val="zh-CN"/>
        </w:rPr>
      </w:pPr>
      <w:r>
        <w:rPr>
          <w:rFonts w:hint="eastAsia"/>
          <w:bCs/>
          <w:color w:val="auto"/>
          <w:szCs w:val="21"/>
          <w:highlight w:val="none"/>
          <w:lang w:val="zh-CN"/>
        </w:rPr>
        <w:t>投标人</w:t>
      </w:r>
      <w:r>
        <w:rPr>
          <w:rFonts w:hint="eastAsia"/>
          <w:bCs/>
          <w:color w:val="auto"/>
          <w:szCs w:val="21"/>
          <w:highlight w:val="none"/>
          <w:lang w:val="en-US" w:eastAsia="zh-CN"/>
        </w:rPr>
        <w:t>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hint="eastAsia"/>
          <w:bCs/>
          <w:color w:val="auto"/>
          <w:szCs w:val="21"/>
          <w:highlight w:val="none"/>
          <w:lang w:val="zh-CN"/>
        </w:rPr>
        <w:t>：</w:t>
      </w:r>
      <w:r>
        <w:rPr>
          <w:rFonts w:hint="eastAsia"/>
          <w:bCs/>
          <w:color w:val="auto"/>
          <w:szCs w:val="21"/>
          <w:highlight w:val="none"/>
          <w:u w:val="single"/>
          <w:lang w:val="zh-CN"/>
        </w:rPr>
        <w:t xml:space="preserve">              </w:t>
      </w:r>
    </w:p>
    <w:p w14:paraId="3A972AC9">
      <w:pPr>
        <w:wordWrap w:val="0"/>
        <w:spacing w:before="100" w:beforeAutospacing="1" w:after="100" w:afterAutospacing="1"/>
        <w:ind w:firstLine="3316" w:firstLineChars="1382"/>
        <w:rPr>
          <w:color w:val="auto"/>
          <w:highlight w:val="none"/>
        </w:rPr>
      </w:pPr>
      <w:r>
        <w:rPr>
          <w:rFonts w:hint="eastAsia"/>
          <w:color w:val="auto"/>
          <w:szCs w:val="24"/>
          <w:highlight w:val="none"/>
        </w:rPr>
        <w:t>日</w:t>
      </w:r>
      <w:r>
        <w:rPr>
          <w:color w:val="auto"/>
          <w:szCs w:val="24"/>
          <w:highlight w:val="none"/>
        </w:rPr>
        <w:t xml:space="preserve">  </w:t>
      </w:r>
      <w:r>
        <w:rPr>
          <w:rFonts w:hint="eastAsia"/>
          <w:color w:val="auto"/>
          <w:szCs w:val="24"/>
          <w:highlight w:val="none"/>
        </w:rPr>
        <w:t>期：</w:t>
      </w:r>
      <w:r>
        <w:rPr>
          <w:bCs/>
          <w:color w:val="auto"/>
          <w:szCs w:val="24"/>
          <w:highlight w:val="none"/>
          <w:u w:val="single"/>
        </w:rPr>
        <w:t xml:space="preserve">                         </w:t>
      </w:r>
    </w:p>
    <w:p w14:paraId="6F5F8DCA">
      <w:pPr>
        <w:ind w:left="4620" w:firstLine="281" w:firstLineChars="100"/>
        <w:rPr>
          <w:rFonts w:cs="仿宋_GB2312"/>
          <w:b/>
          <w:color w:val="auto"/>
          <w:sz w:val="28"/>
          <w:szCs w:val="28"/>
          <w:highlight w:val="none"/>
        </w:rPr>
      </w:pPr>
    </w:p>
    <w:p w14:paraId="7BDD1A80">
      <w:pPr>
        <w:rPr>
          <w:color w:val="auto"/>
          <w:highlight w:val="none"/>
        </w:rPr>
      </w:pPr>
      <w:r>
        <w:rPr>
          <w:color w:val="auto"/>
          <w:highlight w:val="none"/>
        </w:rPr>
        <w:br w:type="page"/>
      </w:r>
    </w:p>
    <w:p w14:paraId="66079641">
      <w:pPr>
        <w:pStyle w:val="3"/>
        <w:keepNext/>
        <w:keepLines/>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eastAsia="宋体" w:asciiTheme="majorHAnsi" w:hAnsiTheme="majorHAnsi" w:cstheme="majorBidi"/>
          <w:b/>
          <w:bCs/>
          <w:color w:val="auto"/>
          <w:kern w:val="2"/>
          <w:sz w:val="32"/>
          <w:szCs w:val="32"/>
          <w:highlight w:val="none"/>
          <w:lang w:val="en-US" w:eastAsia="zh-CN" w:bidi="ar-SA"/>
        </w:rPr>
      </w:pPr>
    </w:p>
    <w:p w14:paraId="4B9EE2D8">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cstheme="majorBidi"/>
          <w:b/>
          <w:bCs/>
          <w:color w:val="auto"/>
          <w:kern w:val="2"/>
          <w:sz w:val="28"/>
          <w:szCs w:val="28"/>
          <w:highlight w:val="none"/>
          <w:lang w:val="en-US" w:eastAsia="zh-CN" w:bidi="ar-SA"/>
        </w:rPr>
      </w:pPr>
      <w:bookmarkStart w:id="645" w:name="_Toc29560"/>
      <w:bookmarkStart w:id="646" w:name="_Toc9905"/>
      <w:r>
        <w:rPr>
          <w:rFonts w:hint="eastAsia" w:cstheme="majorBidi"/>
          <w:b/>
          <w:bCs/>
          <w:color w:val="auto"/>
          <w:kern w:val="2"/>
          <w:sz w:val="28"/>
          <w:szCs w:val="28"/>
          <w:highlight w:val="none"/>
          <w:lang w:val="en-US" w:eastAsia="zh-CN" w:bidi="ar-SA"/>
        </w:rPr>
        <w:t>五、不参与围标串标承诺书</w:t>
      </w:r>
      <w:bookmarkEnd w:id="645"/>
      <w:bookmarkEnd w:id="646"/>
    </w:p>
    <w:p w14:paraId="70D7F20B">
      <w:pPr>
        <w:pStyle w:val="3"/>
        <w:keepNext/>
        <w:keepLines/>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eastAsia="宋体" w:asciiTheme="majorHAnsi" w:hAnsiTheme="majorHAnsi" w:cstheme="majorBidi"/>
          <w:b/>
          <w:bCs/>
          <w:color w:val="auto"/>
          <w:kern w:val="2"/>
          <w:sz w:val="32"/>
          <w:szCs w:val="32"/>
          <w:highlight w:val="none"/>
          <w:lang w:val="en-US" w:eastAsia="zh-CN" w:bidi="ar-SA"/>
        </w:rPr>
      </w:pPr>
    </w:p>
    <w:p w14:paraId="75FF23AC">
      <w:pPr>
        <w:jc w:val="center"/>
        <w:rPr>
          <w:rFonts w:hint="eastAsia"/>
          <w:color w:val="auto"/>
          <w:highlight w:val="none"/>
          <w:lang w:val="en-US" w:eastAsia="zh-CN"/>
        </w:rPr>
      </w:pPr>
      <w:r>
        <w:rPr>
          <w:rFonts w:hint="eastAsia" w:cstheme="majorBidi"/>
          <w:b/>
          <w:bCs/>
          <w:color w:val="auto"/>
          <w:kern w:val="2"/>
          <w:sz w:val="32"/>
          <w:szCs w:val="32"/>
          <w:highlight w:val="none"/>
          <w:lang w:val="en-US" w:eastAsia="zh-CN" w:bidi="ar-SA"/>
        </w:rPr>
        <w:t>不参与围标串标承诺书</w:t>
      </w:r>
    </w:p>
    <w:p w14:paraId="6B233C07">
      <w:pPr>
        <w:rPr>
          <w:rFonts w:hint="eastAsia"/>
          <w:color w:val="auto"/>
          <w:highlight w:val="none"/>
          <w:lang w:val="en-US" w:eastAsia="zh-CN"/>
        </w:rPr>
      </w:pPr>
      <w:r>
        <w:rPr>
          <w:rFonts w:hint="eastAsia"/>
          <w:color w:val="auto"/>
          <w:highlight w:val="none"/>
          <w:lang w:val="en-US" w:eastAsia="zh-CN"/>
        </w:rPr>
        <w:t>  </w:t>
      </w:r>
    </w:p>
    <w:p w14:paraId="1ACC5C30">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本人作为经授权的投标人代表,清楚知晓我单位本项目投标活动,对以下事项作出承诺：</w:t>
      </w:r>
    </w:p>
    <w:p w14:paraId="398E6081">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p>
    <w:p w14:paraId="26BB11E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一、我单位和我本人遵循公开透明、公平竞争、公正和诚实信用的原则,依法依规参与本项目竞标。</w:t>
      </w:r>
    </w:p>
    <w:p w14:paraId="10BBFC53">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二、我单位和我本人在本项目政府采购投标活动中,未参与围标串标。</w:t>
      </w:r>
    </w:p>
    <w:p w14:paraId="1A7E3475">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三、我单位如被查实在本项目政府采购投标活动中存在围标串标的，递交投标文件行为作为实施串通投标违法行为的关键环节,由我单位及法定代表人承担相应的法律责任，接受相应行政处罚和失信惩戒。</w:t>
      </w:r>
    </w:p>
    <w:p w14:paraId="29E3C848">
      <w:pPr>
        <w:pStyle w:val="13"/>
        <w:rPr>
          <w:rFonts w:hint="eastAsia"/>
          <w:color w:val="auto"/>
          <w:highlight w:val="none"/>
          <w:lang w:val="en-US" w:eastAsia="zh-CN"/>
        </w:rPr>
      </w:pPr>
    </w:p>
    <w:p w14:paraId="39CB3E48">
      <w:pPr>
        <w:spacing w:line="560" w:lineRule="exact"/>
        <w:rPr>
          <w:rFonts w:hint="eastAsia" w:ascii="宋体" w:hAnsi="宋体" w:eastAsia="宋体" w:cs="宋体"/>
          <w:color w:val="auto"/>
          <w:kern w:val="0"/>
          <w:sz w:val="24"/>
          <w:szCs w:val="24"/>
          <w:highlight w:val="none"/>
        </w:rPr>
      </w:pPr>
    </w:p>
    <w:p w14:paraId="19648C53">
      <w:pPr>
        <w:spacing w:line="560" w:lineRule="exact"/>
        <w:rPr>
          <w:rFonts w:hint="eastAsia" w:ascii="宋体" w:hAnsi="宋体" w:eastAsia="宋体" w:cs="宋体"/>
          <w:color w:val="auto"/>
          <w:kern w:val="0"/>
          <w:sz w:val="24"/>
          <w:szCs w:val="24"/>
          <w:highlight w:val="none"/>
        </w:rPr>
      </w:pPr>
      <w:r>
        <w:rPr>
          <w:rFonts w:hint="eastAsia" w:cs="宋体"/>
          <w:color w:val="auto"/>
          <w:kern w:val="0"/>
          <w:sz w:val="24"/>
          <w:szCs w:val="24"/>
          <w:highlight w:val="none"/>
          <w:lang w:val="en-US" w:eastAsia="zh-CN"/>
        </w:rPr>
        <w:t>投标人</w:t>
      </w:r>
      <w:r>
        <w:rPr>
          <w:rFonts w:hint="eastAsia"/>
          <w:bCs/>
          <w:color w:val="auto"/>
          <w:szCs w:val="21"/>
          <w:highlight w:val="none"/>
          <w:lang w:val="en-US" w:eastAsia="zh-CN"/>
        </w:rPr>
        <w:t>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hint="eastAsia" w:ascii="宋体" w:hAnsi="宋体" w:eastAsia="宋体" w:cs="宋体"/>
          <w:color w:val="auto"/>
          <w:kern w:val="0"/>
          <w:sz w:val="24"/>
          <w:szCs w:val="24"/>
          <w:highlight w:val="none"/>
        </w:rPr>
        <w:t>：</w:t>
      </w:r>
    </w:p>
    <w:p w14:paraId="2CCE383A">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负责人</w:t>
      </w:r>
      <w:r>
        <w:rPr>
          <w:rFonts w:hint="eastAsia" w:ascii="宋体" w:hAnsi="宋体" w:eastAsia="宋体" w:cs="宋体"/>
          <w:color w:val="auto"/>
          <w:kern w:val="0"/>
          <w:sz w:val="24"/>
          <w:szCs w:val="24"/>
          <w:highlight w:val="none"/>
          <w:lang w:val="en-US" w:eastAsia="zh-CN"/>
        </w:rPr>
        <w:t>或</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或授权代表</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签字或</w:t>
      </w:r>
      <w:r>
        <w:rPr>
          <w:rFonts w:hint="eastAsia" w:cs="宋体"/>
          <w:color w:val="auto"/>
          <w:kern w:val="0"/>
          <w:sz w:val="24"/>
          <w:szCs w:val="24"/>
          <w:highlight w:val="none"/>
          <w:lang w:eastAsia="zh-CN"/>
        </w:rPr>
        <w:t>盖</w:t>
      </w:r>
      <w:r>
        <w:rPr>
          <w:rFonts w:hint="eastAsia" w:ascii="宋体" w:hAnsi="宋体" w:eastAsia="宋体" w:cs="宋体"/>
          <w:color w:val="auto"/>
          <w:kern w:val="0"/>
          <w:sz w:val="24"/>
          <w:szCs w:val="24"/>
          <w:highlight w:val="none"/>
          <w:lang w:eastAsia="zh-CN"/>
        </w:rPr>
        <w:t>章）</w:t>
      </w:r>
      <w:r>
        <w:rPr>
          <w:rFonts w:hint="eastAsia" w:ascii="宋体" w:hAnsi="宋体" w:eastAsia="宋体" w:cs="宋体"/>
          <w:color w:val="auto"/>
          <w:kern w:val="0"/>
          <w:sz w:val="24"/>
          <w:szCs w:val="24"/>
          <w:highlight w:val="none"/>
        </w:rPr>
        <w:t>：</w:t>
      </w:r>
    </w:p>
    <w:p w14:paraId="692B3277">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 年 月 日</w:t>
      </w:r>
    </w:p>
    <w:p w14:paraId="13DA43E0">
      <w:pPr>
        <w:widowControl/>
        <w:spacing w:line="560" w:lineRule="exact"/>
        <w:ind w:firstLine="630"/>
        <w:jc w:val="left"/>
        <w:rPr>
          <w:rFonts w:hint="eastAsia" w:ascii="宋体" w:hAnsi="宋体" w:eastAsia="宋体" w:cs="宋体"/>
          <w:color w:val="auto"/>
          <w:kern w:val="0"/>
          <w:sz w:val="24"/>
          <w:szCs w:val="24"/>
          <w:highlight w:val="none"/>
        </w:rPr>
      </w:pPr>
    </w:p>
    <w:p w14:paraId="7CD72A88">
      <w:pPr>
        <w:pStyle w:val="13"/>
        <w:rPr>
          <w:rFonts w:hint="eastAsia"/>
          <w:color w:val="auto"/>
          <w:highlight w:val="none"/>
          <w:lang w:val="en-US" w:eastAsia="zh-CN"/>
        </w:rPr>
      </w:pPr>
    </w:p>
    <w:p w14:paraId="6FC519D1">
      <w:pPr>
        <w:pStyle w:val="13"/>
        <w:rPr>
          <w:rFonts w:hint="eastAsia"/>
          <w:color w:val="auto"/>
          <w:highlight w:val="none"/>
          <w:lang w:val="en-US" w:eastAsia="zh-CN"/>
        </w:rPr>
      </w:pPr>
    </w:p>
    <w:p w14:paraId="7500053D">
      <w:pPr>
        <w:pStyle w:val="13"/>
        <w:rPr>
          <w:rFonts w:hint="eastAsia"/>
          <w:color w:val="auto"/>
          <w:highlight w:val="none"/>
          <w:lang w:val="en-US" w:eastAsia="zh-CN"/>
        </w:rPr>
      </w:pPr>
    </w:p>
    <w:p w14:paraId="5BF64493">
      <w:pPr>
        <w:pStyle w:val="13"/>
        <w:rPr>
          <w:rFonts w:hint="eastAsia"/>
          <w:color w:val="auto"/>
          <w:highlight w:val="none"/>
          <w:lang w:val="en-US" w:eastAsia="zh-CN"/>
        </w:rPr>
      </w:pPr>
    </w:p>
    <w:p w14:paraId="5CA01A8B">
      <w:pPr>
        <w:pStyle w:val="13"/>
        <w:rPr>
          <w:rFonts w:hint="eastAsia"/>
          <w:color w:val="auto"/>
          <w:highlight w:val="none"/>
          <w:lang w:val="en-US" w:eastAsia="zh-CN"/>
        </w:rPr>
      </w:pPr>
    </w:p>
    <w:p w14:paraId="029F743D">
      <w:pPr>
        <w:pStyle w:val="13"/>
        <w:rPr>
          <w:rFonts w:hint="eastAsia"/>
          <w:color w:val="auto"/>
          <w:highlight w:val="none"/>
          <w:lang w:val="en-US" w:eastAsia="zh-CN"/>
        </w:rPr>
      </w:pPr>
    </w:p>
    <w:p w14:paraId="41587146">
      <w:pPr>
        <w:pStyle w:val="13"/>
        <w:rPr>
          <w:rFonts w:hint="eastAsia"/>
          <w:color w:val="auto"/>
          <w:highlight w:val="none"/>
          <w:lang w:val="en-US" w:eastAsia="zh-CN"/>
        </w:rPr>
      </w:pPr>
    </w:p>
    <w:p w14:paraId="7CD2757F">
      <w:pPr>
        <w:pStyle w:val="13"/>
        <w:rPr>
          <w:rFonts w:hint="eastAsia"/>
          <w:color w:val="auto"/>
          <w:highlight w:val="none"/>
          <w:lang w:val="en-US" w:eastAsia="zh-CN"/>
        </w:rPr>
      </w:pPr>
    </w:p>
    <w:p w14:paraId="7EE0D7C2">
      <w:pPr>
        <w:pStyle w:val="13"/>
        <w:rPr>
          <w:rFonts w:hint="eastAsia"/>
          <w:color w:val="auto"/>
          <w:highlight w:val="none"/>
          <w:lang w:val="en-US" w:eastAsia="zh-CN"/>
        </w:rPr>
      </w:pPr>
    </w:p>
    <w:p w14:paraId="34406338">
      <w:pPr>
        <w:pStyle w:val="13"/>
        <w:rPr>
          <w:rFonts w:hint="eastAsia"/>
          <w:color w:val="auto"/>
          <w:highlight w:val="none"/>
          <w:lang w:val="en-US" w:eastAsia="zh-CN"/>
        </w:rPr>
      </w:pPr>
    </w:p>
    <w:p w14:paraId="420858F4">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cstheme="majorBidi"/>
          <w:b/>
          <w:bCs/>
          <w:color w:val="auto"/>
          <w:kern w:val="2"/>
          <w:sz w:val="28"/>
          <w:szCs w:val="28"/>
          <w:highlight w:val="none"/>
          <w:lang w:val="en-US" w:eastAsia="zh-CN" w:bidi="ar-SA"/>
        </w:rPr>
      </w:pPr>
    </w:p>
    <w:p w14:paraId="30C8D33E">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zh-CN" w:eastAsia="zh-CN" w:bidi="ar-SA"/>
        </w:rPr>
      </w:pPr>
      <w:bookmarkStart w:id="647" w:name="_Toc17591"/>
      <w:bookmarkStart w:id="648" w:name="_Toc11359"/>
      <w:r>
        <w:rPr>
          <w:rFonts w:hint="eastAsia" w:cstheme="majorBidi"/>
          <w:b/>
          <w:bCs/>
          <w:color w:val="auto"/>
          <w:kern w:val="2"/>
          <w:sz w:val="28"/>
          <w:szCs w:val="28"/>
          <w:highlight w:val="none"/>
          <w:lang w:val="en-US" w:eastAsia="zh-CN" w:bidi="ar-SA"/>
        </w:rPr>
        <w:t>六</w:t>
      </w:r>
      <w:r>
        <w:rPr>
          <w:rFonts w:hint="eastAsia" w:eastAsia="宋体" w:asciiTheme="majorHAnsi" w:hAnsiTheme="majorHAnsi" w:cstheme="majorBidi"/>
          <w:b/>
          <w:bCs/>
          <w:color w:val="auto"/>
          <w:kern w:val="2"/>
          <w:sz w:val="28"/>
          <w:szCs w:val="28"/>
          <w:highlight w:val="none"/>
          <w:lang w:val="en-US" w:eastAsia="zh-CN" w:bidi="ar-SA"/>
        </w:rPr>
        <w:t>、</w:t>
      </w:r>
      <w:r>
        <w:rPr>
          <w:rFonts w:hint="eastAsia" w:eastAsia="宋体" w:asciiTheme="majorHAnsi" w:hAnsiTheme="majorHAnsi" w:cstheme="majorBidi"/>
          <w:b/>
          <w:bCs/>
          <w:color w:val="auto"/>
          <w:kern w:val="2"/>
          <w:sz w:val="28"/>
          <w:szCs w:val="28"/>
          <w:highlight w:val="none"/>
          <w:lang w:val="zh-CN" w:eastAsia="zh-CN" w:bidi="ar-SA"/>
        </w:rPr>
        <w:t>其他资格证明文件</w:t>
      </w:r>
      <w:bookmarkEnd w:id="647"/>
      <w:bookmarkEnd w:id="648"/>
    </w:p>
    <w:p w14:paraId="0C24F0AE">
      <w:pPr>
        <w:pStyle w:val="36"/>
        <w:rPr>
          <w:rFonts w:hint="eastAsia"/>
          <w:color w:val="auto"/>
          <w:highlight w:val="none"/>
        </w:rPr>
      </w:pPr>
      <w:r>
        <w:rPr>
          <w:rFonts w:hint="eastAsia" w:cs="Courier New"/>
          <w:color w:val="auto"/>
          <w:szCs w:val="24"/>
          <w:highlight w:val="none"/>
        </w:rPr>
        <w:t>投标人认为需提供的其它相关资格证明材料</w:t>
      </w:r>
    </w:p>
    <w:p w14:paraId="7C2C3E83">
      <w:pPr>
        <w:pStyle w:val="36"/>
        <w:rPr>
          <w:rFonts w:hint="eastAsia"/>
          <w:color w:val="auto"/>
          <w:highlight w:val="none"/>
        </w:rPr>
      </w:pPr>
    </w:p>
    <w:p w14:paraId="58A36194">
      <w:pPr>
        <w:pStyle w:val="36"/>
        <w:rPr>
          <w:rFonts w:hint="eastAsia"/>
          <w:color w:val="auto"/>
          <w:highlight w:val="none"/>
        </w:rPr>
      </w:pPr>
    </w:p>
    <w:p w14:paraId="3553B395">
      <w:pPr>
        <w:pStyle w:val="36"/>
        <w:rPr>
          <w:rFonts w:hint="eastAsia"/>
          <w:color w:val="auto"/>
          <w:highlight w:val="none"/>
        </w:rPr>
      </w:pPr>
    </w:p>
    <w:p w14:paraId="49D404FC">
      <w:pPr>
        <w:pStyle w:val="36"/>
        <w:rPr>
          <w:rFonts w:hint="eastAsia"/>
          <w:color w:val="auto"/>
          <w:highlight w:val="none"/>
        </w:rPr>
      </w:pPr>
    </w:p>
    <w:p w14:paraId="4B98E4B6">
      <w:pPr>
        <w:pStyle w:val="36"/>
        <w:rPr>
          <w:rFonts w:hint="eastAsia"/>
          <w:color w:val="auto"/>
          <w:highlight w:val="none"/>
        </w:rPr>
      </w:pPr>
    </w:p>
    <w:p w14:paraId="737FEDD3">
      <w:pPr>
        <w:pStyle w:val="36"/>
        <w:rPr>
          <w:rFonts w:hint="eastAsia"/>
          <w:color w:val="auto"/>
          <w:highlight w:val="none"/>
        </w:rPr>
      </w:pPr>
    </w:p>
    <w:p w14:paraId="1C876135">
      <w:pPr>
        <w:pStyle w:val="36"/>
        <w:rPr>
          <w:rFonts w:hint="eastAsia"/>
          <w:color w:val="auto"/>
          <w:highlight w:val="none"/>
        </w:rPr>
      </w:pPr>
    </w:p>
    <w:p w14:paraId="7E85C842">
      <w:pPr>
        <w:pStyle w:val="36"/>
        <w:rPr>
          <w:rFonts w:hint="eastAsia"/>
          <w:color w:val="auto"/>
          <w:highlight w:val="none"/>
        </w:rPr>
      </w:pPr>
    </w:p>
    <w:p w14:paraId="4CBE3B0D">
      <w:pPr>
        <w:pStyle w:val="36"/>
        <w:rPr>
          <w:rFonts w:hint="eastAsia"/>
          <w:color w:val="auto"/>
          <w:highlight w:val="none"/>
        </w:rPr>
      </w:pPr>
    </w:p>
    <w:p w14:paraId="2E6E451F">
      <w:pPr>
        <w:pStyle w:val="36"/>
        <w:rPr>
          <w:rFonts w:hint="eastAsia"/>
          <w:color w:val="auto"/>
          <w:highlight w:val="none"/>
        </w:rPr>
      </w:pPr>
    </w:p>
    <w:p w14:paraId="38DC2C55">
      <w:pPr>
        <w:pStyle w:val="36"/>
        <w:rPr>
          <w:rFonts w:hint="eastAsia"/>
          <w:color w:val="auto"/>
          <w:highlight w:val="none"/>
        </w:rPr>
      </w:pPr>
    </w:p>
    <w:p w14:paraId="04DAFD3C">
      <w:pPr>
        <w:pStyle w:val="36"/>
        <w:rPr>
          <w:rFonts w:hint="eastAsia"/>
          <w:color w:val="auto"/>
          <w:highlight w:val="none"/>
        </w:rPr>
      </w:pPr>
    </w:p>
    <w:p w14:paraId="51E24CDC">
      <w:pPr>
        <w:pStyle w:val="36"/>
        <w:rPr>
          <w:rFonts w:hint="eastAsia"/>
          <w:color w:val="auto"/>
          <w:highlight w:val="none"/>
        </w:rPr>
      </w:pPr>
    </w:p>
    <w:p w14:paraId="1AC1942E">
      <w:pPr>
        <w:pStyle w:val="36"/>
        <w:rPr>
          <w:rFonts w:hint="eastAsia"/>
          <w:color w:val="auto"/>
          <w:highlight w:val="none"/>
        </w:rPr>
      </w:pPr>
    </w:p>
    <w:p w14:paraId="4722E259">
      <w:pPr>
        <w:pStyle w:val="36"/>
        <w:rPr>
          <w:rFonts w:hint="eastAsia"/>
          <w:color w:val="auto"/>
          <w:highlight w:val="none"/>
        </w:rPr>
      </w:pPr>
    </w:p>
    <w:p w14:paraId="07033BD3">
      <w:pPr>
        <w:pStyle w:val="36"/>
        <w:rPr>
          <w:rFonts w:hint="eastAsia"/>
          <w:color w:val="auto"/>
          <w:highlight w:val="none"/>
        </w:rPr>
      </w:pPr>
    </w:p>
    <w:p w14:paraId="6E1D094D">
      <w:pPr>
        <w:pStyle w:val="36"/>
        <w:rPr>
          <w:rFonts w:hint="eastAsia"/>
          <w:color w:val="auto"/>
          <w:highlight w:val="none"/>
        </w:rPr>
      </w:pPr>
    </w:p>
    <w:p w14:paraId="23B0DB54">
      <w:pPr>
        <w:pStyle w:val="36"/>
        <w:rPr>
          <w:rFonts w:hint="eastAsia"/>
          <w:color w:val="auto"/>
          <w:highlight w:val="none"/>
        </w:rPr>
      </w:pPr>
    </w:p>
    <w:p w14:paraId="07159DF6">
      <w:pPr>
        <w:pStyle w:val="36"/>
        <w:rPr>
          <w:rFonts w:hint="eastAsia"/>
          <w:color w:val="auto"/>
          <w:highlight w:val="none"/>
        </w:rPr>
      </w:pPr>
    </w:p>
    <w:p w14:paraId="44B3A5AA">
      <w:pPr>
        <w:pStyle w:val="36"/>
        <w:rPr>
          <w:rFonts w:hint="eastAsia"/>
          <w:color w:val="auto"/>
          <w:highlight w:val="none"/>
        </w:rPr>
      </w:pPr>
    </w:p>
    <w:p w14:paraId="05BB178A">
      <w:pPr>
        <w:pStyle w:val="36"/>
        <w:rPr>
          <w:rFonts w:hint="eastAsia"/>
          <w:color w:val="auto"/>
          <w:highlight w:val="none"/>
        </w:rPr>
      </w:pPr>
    </w:p>
    <w:p w14:paraId="0E7980AB">
      <w:pPr>
        <w:pStyle w:val="36"/>
        <w:rPr>
          <w:rFonts w:hint="eastAsia"/>
          <w:color w:val="auto"/>
          <w:highlight w:val="none"/>
        </w:rPr>
      </w:pPr>
    </w:p>
    <w:p w14:paraId="5A09B930">
      <w:pPr>
        <w:pStyle w:val="36"/>
        <w:rPr>
          <w:rFonts w:hint="eastAsia"/>
          <w:color w:val="auto"/>
          <w:highlight w:val="none"/>
        </w:rPr>
      </w:pPr>
    </w:p>
    <w:p w14:paraId="3FB1F62E">
      <w:pPr>
        <w:pStyle w:val="36"/>
        <w:rPr>
          <w:rFonts w:hint="eastAsia"/>
          <w:color w:val="auto"/>
          <w:highlight w:val="none"/>
        </w:rPr>
      </w:pPr>
    </w:p>
    <w:p w14:paraId="69D25AC1">
      <w:pPr>
        <w:pStyle w:val="36"/>
        <w:rPr>
          <w:rFonts w:hint="eastAsia"/>
          <w:color w:val="auto"/>
          <w:highlight w:val="none"/>
        </w:rPr>
      </w:pPr>
    </w:p>
    <w:p w14:paraId="3E9AC4C9">
      <w:pPr>
        <w:pStyle w:val="36"/>
        <w:rPr>
          <w:rFonts w:hint="eastAsia"/>
          <w:color w:val="auto"/>
          <w:highlight w:val="none"/>
        </w:rPr>
      </w:pPr>
    </w:p>
    <w:p w14:paraId="7FB9AF51">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202CB8C4">
      <w:pPr>
        <w:ind w:firstLine="480" w:firstLineChars="200"/>
        <w:rPr>
          <w:rFonts w:cs="仿宋_GB2312"/>
          <w:color w:val="auto"/>
          <w:szCs w:val="24"/>
          <w:highlight w:val="none"/>
          <w:lang w:val="zh-CN"/>
        </w:rPr>
      </w:pPr>
      <w:r>
        <w:rPr>
          <w:rFonts w:hint="eastAsia" w:cs="仿宋_GB2312"/>
          <w:color w:val="auto"/>
          <w:szCs w:val="24"/>
          <w:highlight w:val="none"/>
          <w:lang w:val="zh-CN"/>
        </w:rPr>
        <w:t>封面：</w:t>
      </w:r>
    </w:p>
    <w:p w14:paraId="73A003D2">
      <w:pPr>
        <w:autoSpaceDE w:val="0"/>
        <w:autoSpaceDN w:val="0"/>
        <w:adjustRightInd w:val="0"/>
        <w:rPr>
          <w:color w:val="auto"/>
          <w:sz w:val="21"/>
          <w:szCs w:val="24"/>
          <w:highlight w:val="none"/>
        </w:rPr>
      </w:pPr>
    </w:p>
    <w:p w14:paraId="7773B439">
      <w:pPr>
        <w:autoSpaceDE w:val="0"/>
        <w:autoSpaceDN w:val="0"/>
        <w:adjustRightInd w:val="0"/>
        <w:rPr>
          <w:color w:val="auto"/>
          <w:sz w:val="21"/>
          <w:szCs w:val="24"/>
          <w:highlight w:val="none"/>
        </w:rPr>
      </w:pPr>
    </w:p>
    <w:p w14:paraId="2E04646F">
      <w:pPr>
        <w:autoSpaceDE w:val="0"/>
        <w:autoSpaceDN w:val="0"/>
        <w:adjustRightInd w:val="0"/>
        <w:jc w:val="center"/>
        <w:rPr>
          <w:color w:val="auto"/>
          <w:sz w:val="21"/>
          <w:szCs w:val="24"/>
          <w:highlight w:val="none"/>
        </w:rPr>
      </w:pPr>
    </w:p>
    <w:p w14:paraId="71180696">
      <w:pPr>
        <w:autoSpaceDE w:val="0"/>
        <w:autoSpaceDN w:val="0"/>
        <w:adjustRightInd w:val="0"/>
        <w:jc w:val="center"/>
        <w:rPr>
          <w:b/>
          <w:color w:val="auto"/>
          <w:sz w:val="84"/>
          <w:szCs w:val="84"/>
          <w:highlight w:val="none"/>
        </w:rPr>
      </w:pPr>
      <w:r>
        <w:rPr>
          <w:rFonts w:hint="eastAsia"/>
          <w:b/>
          <w:color w:val="auto"/>
          <w:sz w:val="84"/>
          <w:szCs w:val="84"/>
          <w:highlight w:val="none"/>
        </w:rPr>
        <w:t>投 标 文 件</w:t>
      </w:r>
    </w:p>
    <w:p w14:paraId="31C74C30">
      <w:pPr>
        <w:autoSpaceDE w:val="0"/>
        <w:autoSpaceDN w:val="0"/>
        <w:adjustRightInd w:val="0"/>
        <w:jc w:val="center"/>
        <w:rPr>
          <w:rFonts w:hint="eastAsia"/>
          <w:b/>
          <w:color w:val="auto"/>
          <w:sz w:val="56"/>
          <w:szCs w:val="56"/>
          <w:highlight w:val="none"/>
          <w:lang w:val="en-US" w:eastAsia="zh-CN"/>
        </w:rPr>
      </w:pPr>
      <w:r>
        <w:rPr>
          <w:rFonts w:hint="eastAsia"/>
          <w:b/>
          <w:color w:val="auto"/>
          <w:sz w:val="56"/>
          <w:szCs w:val="56"/>
          <w:highlight w:val="none"/>
          <w:lang w:val="en-US" w:eastAsia="zh-CN"/>
        </w:rPr>
        <w:t>报价文件</w:t>
      </w:r>
    </w:p>
    <w:p w14:paraId="2C10D330">
      <w:pPr>
        <w:autoSpaceDE w:val="0"/>
        <w:autoSpaceDN w:val="0"/>
        <w:adjustRightInd w:val="0"/>
        <w:jc w:val="center"/>
        <w:rPr>
          <w:rFonts w:hint="eastAsia" w:eastAsia="宋体"/>
          <w:color w:val="auto"/>
          <w:sz w:val="36"/>
          <w:szCs w:val="36"/>
          <w:highlight w:val="none"/>
          <w:lang w:eastAsia="zh-CN"/>
        </w:rPr>
      </w:pPr>
      <w:r>
        <w:rPr>
          <w:rFonts w:hint="eastAsia"/>
          <w:color w:val="auto"/>
          <w:sz w:val="36"/>
          <w:szCs w:val="36"/>
          <w:highlight w:val="none"/>
          <w:lang w:val="en-US" w:eastAsia="zh-CN"/>
        </w:rPr>
        <w:t>（第XX包</w:t>
      </w:r>
      <w:r>
        <w:rPr>
          <w:rFonts w:hint="eastAsia"/>
          <w:color w:val="auto"/>
          <w:sz w:val="36"/>
          <w:szCs w:val="36"/>
          <w:highlight w:val="none"/>
          <w:lang w:eastAsia="zh-CN"/>
        </w:rPr>
        <w:t>）【</w:t>
      </w:r>
      <w:r>
        <w:rPr>
          <w:rFonts w:hint="eastAsia"/>
          <w:color w:val="auto"/>
          <w:sz w:val="36"/>
          <w:szCs w:val="36"/>
          <w:highlight w:val="none"/>
          <w:lang w:val="en-US" w:eastAsia="zh-CN"/>
        </w:rPr>
        <w:t>如不分包，请删去本行</w:t>
      </w:r>
      <w:r>
        <w:rPr>
          <w:rFonts w:hint="eastAsia"/>
          <w:color w:val="auto"/>
          <w:sz w:val="36"/>
          <w:szCs w:val="36"/>
          <w:highlight w:val="none"/>
          <w:lang w:eastAsia="zh-CN"/>
        </w:rPr>
        <w:t>】</w:t>
      </w:r>
    </w:p>
    <w:p w14:paraId="001ADA03">
      <w:pPr>
        <w:pStyle w:val="3"/>
        <w:rPr>
          <w:color w:val="auto"/>
          <w:sz w:val="21"/>
          <w:szCs w:val="21"/>
          <w:highlight w:val="none"/>
        </w:rPr>
      </w:pPr>
    </w:p>
    <w:p w14:paraId="4800F1E7">
      <w:pPr>
        <w:rPr>
          <w:color w:val="auto"/>
          <w:sz w:val="21"/>
          <w:szCs w:val="21"/>
          <w:highlight w:val="none"/>
        </w:rPr>
      </w:pPr>
    </w:p>
    <w:p w14:paraId="4053884F">
      <w:pPr>
        <w:rPr>
          <w:color w:val="auto"/>
          <w:highlight w:val="none"/>
        </w:rPr>
      </w:pPr>
    </w:p>
    <w:p w14:paraId="5EABB570">
      <w:pPr>
        <w:autoSpaceDE w:val="0"/>
        <w:autoSpaceDN w:val="0"/>
        <w:adjustRightInd w:val="0"/>
        <w:rPr>
          <w:color w:val="auto"/>
          <w:sz w:val="21"/>
          <w:szCs w:val="21"/>
          <w:highlight w:val="none"/>
        </w:rPr>
      </w:pPr>
    </w:p>
    <w:p w14:paraId="4C687ECE">
      <w:pPr>
        <w:autoSpaceDE w:val="0"/>
        <w:autoSpaceDN w:val="0"/>
        <w:adjustRightInd w:val="0"/>
        <w:rPr>
          <w:color w:val="auto"/>
          <w:sz w:val="21"/>
          <w:szCs w:val="21"/>
          <w:highlight w:val="none"/>
        </w:rPr>
      </w:pPr>
    </w:p>
    <w:p w14:paraId="6F475132">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0173F70E">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101680F9">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投</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标</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人：</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13B6644C">
      <w:pPr>
        <w:ind w:left="840" w:firstLine="420"/>
        <w:rPr>
          <w:b/>
          <w:bCs/>
          <w:color w:val="auto"/>
          <w:sz w:val="28"/>
          <w:szCs w:val="28"/>
          <w:highlight w:val="none"/>
        </w:rPr>
      </w:pPr>
    </w:p>
    <w:p w14:paraId="01F64B59">
      <w:pPr>
        <w:ind w:left="840" w:firstLine="420"/>
        <w:rPr>
          <w:b/>
          <w:bCs/>
          <w:color w:val="auto"/>
          <w:sz w:val="28"/>
          <w:szCs w:val="28"/>
          <w:highlight w:val="none"/>
        </w:rPr>
      </w:pPr>
    </w:p>
    <w:p w14:paraId="1DC21250">
      <w:pPr>
        <w:jc w:val="center"/>
        <w:rPr>
          <w:rFonts w:ascii="黑体" w:hAnsi="黑体" w:eastAsia="黑体"/>
          <w:color w:val="auto"/>
          <w:sz w:val="32"/>
          <w:szCs w:val="32"/>
          <w:highlight w:val="none"/>
        </w:rPr>
      </w:pPr>
      <w:r>
        <w:rPr>
          <w:rFonts w:hint="eastAsia" w:ascii="宋体" w:hAnsi="宋体" w:eastAsia="宋体" w:cs="宋体"/>
          <w:color w:val="auto"/>
          <w:sz w:val="32"/>
          <w:szCs w:val="32"/>
          <w:highlight w:val="none"/>
        </w:rPr>
        <w:t>年   月    日</w:t>
      </w:r>
    </w:p>
    <w:p w14:paraId="2B025C97">
      <w:pPr>
        <w:rPr>
          <w:color w:val="auto"/>
          <w:highlight w:val="none"/>
          <w:lang w:val="zh-CN"/>
        </w:rPr>
      </w:pPr>
      <w:r>
        <w:rPr>
          <w:color w:val="auto"/>
          <w:highlight w:val="none"/>
          <w:lang w:val="zh-CN"/>
        </w:rPr>
        <w:br w:type="page"/>
      </w:r>
    </w:p>
    <w:p w14:paraId="5A6B7717">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p>
    <w:p w14:paraId="730DA0BC">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bookmarkStart w:id="649" w:name="_Toc26789"/>
      <w:bookmarkStart w:id="650" w:name="_Toc16115"/>
      <w:r>
        <w:rPr>
          <w:rFonts w:hint="eastAsia" w:cstheme="majorBidi"/>
          <w:b/>
          <w:bCs/>
          <w:color w:val="auto"/>
          <w:kern w:val="2"/>
          <w:sz w:val="32"/>
          <w:szCs w:val="32"/>
          <w:highlight w:val="none"/>
          <w:lang w:val="en-US" w:eastAsia="zh-CN" w:bidi="ar-SA"/>
        </w:rPr>
        <w:t>一、开标一览表</w:t>
      </w:r>
      <w:bookmarkEnd w:id="649"/>
      <w:bookmarkEnd w:id="650"/>
    </w:p>
    <w:p w14:paraId="2AB3D72A">
      <w:pPr>
        <w:spacing w:line="300" w:lineRule="auto"/>
        <w:rPr>
          <w:rFonts w:cs="仿宋_GB2312"/>
          <w:color w:val="auto"/>
          <w:szCs w:val="24"/>
          <w:highlight w:val="none"/>
        </w:rPr>
      </w:pPr>
    </w:p>
    <w:p w14:paraId="33486E36">
      <w:pPr>
        <w:rPr>
          <w:b w:val="0"/>
          <w:bCs/>
          <w:color w:val="auto"/>
          <w:szCs w:val="21"/>
          <w:highlight w:val="none"/>
          <w:lang w:val="zh-CN"/>
        </w:rPr>
      </w:pPr>
      <w:r>
        <w:rPr>
          <w:rFonts w:hint="eastAsia"/>
          <w:b w:val="0"/>
          <w:bCs/>
          <w:color w:val="auto"/>
          <w:szCs w:val="21"/>
          <w:highlight w:val="none"/>
          <w:lang w:val="zh-CN"/>
        </w:rPr>
        <w:t>项目名称：</w:t>
      </w:r>
      <w:r>
        <w:rPr>
          <w:rFonts w:hint="eastAsia"/>
          <w:b w:val="0"/>
          <w:bCs/>
          <w:color w:val="auto"/>
          <w:szCs w:val="21"/>
          <w:highlight w:val="none"/>
          <w:u w:val="single"/>
          <w:lang w:val="zh-CN"/>
        </w:rPr>
        <w:t xml:space="preserve">                     </w:t>
      </w:r>
    </w:p>
    <w:p w14:paraId="5940ECBC">
      <w:pPr>
        <w:rPr>
          <w:b w:val="0"/>
          <w:bCs/>
          <w:color w:val="auto"/>
          <w:szCs w:val="21"/>
          <w:highlight w:val="none"/>
          <w:u w:val="single"/>
          <w:lang w:val="zh-CN"/>
        </w:rPr>
      </w:pPr>
      <w:r>
        <w:rPr>
          <w:rFonts w:hint="eastAsia"/>
          <w:b w:val="0"/>
          <w:bCs/>
          <w:color w:val="auto"/>
          <w:szCs w:val="21"/>
          <w:highlight w:val="none"/>
          <w:lang w:val="zh-CN"/>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r>
        <w:rPr>
          <w:rFonts w:hint="eastAsia"/>
          <w:b w:val="0"/>
          <w:bCs/>
          <w:color w:val="auto"/>
          <w:szCs w:val="21"/>
          <w:highlight w:val="none"/>
          <w:u w:val="single"/>
          <w:lang w:val="zh-CN"/>
        </w:rPr>
        <w:t xml:space="preserve">                </w:t>
      </w:r>
    </w:p>
    <w:tbl>
      <w:tblPr>
        <w:tblStyle w:val="29"/>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3"/>
        <w:gridCol w:w="2352"/>
        <w:gridCol w:w="2161"/>
        <w:gridCol w:w="2611"/>
      </w:tblGrid>
      <w:tr w14:paraId="5F27D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1403" w:type="dxa"/>
            <w:vAlign w:val="center"/>
          </w:tcPr>
          <w:p w14:paraId="68B46E6E">
            <w:pPr>
              <w:widowControl/>
              <w:autoSpaceDE w:val="0"/>
              <w:autoSpaceDN w:val="0"/>
              <w:jc w:val="center"/>
              <w:textAlignment w:val="bottom"/>
              <w:rPr>
                <w:color w:val="auto"/>
                <w:sz w:val="24"/>
                <w:szCs w:val="24"/>
                <w:highlight w:val="none"/>
              </w:rPr>
            </w:pPr>
            <w:r>
              <w:rPr>
                <w:rFonts w:hint="eastAsia"/>
                <w:color w:val="auto"/>
                <w:sz w:val="24"/>
                <w:szCs w:val="24"/>
                <w:highlight w:val="none"/>
              </w:rPr>
              <w:t>序号</w:t>
            </w:r>
          </w:p>
        </w:tc>
        <w:tc>
          <w:tcPr>
            <w:tcW w:w="2352" w:type="dxa"/>
            <w:vAlign w:val="center"/>
          </w:tcPr>
          <w:p w14:paraId="5D10FF2E">
            <w:pPr>
              <w:widowControl/>
              <w:autoSpaceDE w:val="0"/>
              <w:autoSpaceDN w:val="0"/>
              <w:ind w:left="851" w:hanging="851"/>
              <w:jc w:val="center"/>
              <w:textAlignment w:val="bottom"/>
              <w:rPr>
                <w:color w:val="auto"/>
                <w:sz w:val="24"/>
                <w:szCs w:val="24"/>
                <w:highlight w:val="none"/>
              </w:rPr>
            </w:pPr>
            <w:r>
              <w:rPr>
                <w:rFonts w:hint="eastAsia"/>
                <w:color w:val="auto"/>
                <w:sz w:val="24"/>
                <w:szCs w:val="24"/>
                <w:highlight w:val="none"/>
              </w:rPr>
              <w:t>投标报价</w:t>
            </w:r>
          </w:p>
        </w:tc>
        <w:tc>
          <w:tcPr>
            <w:tcW w:w="2161" w:type="dxa"/>
            <w:vAlign w:val="center"/>
          </w:tcPr>
          <w:p w14:paraId="48CC1886">
            <w:pPr>
              <w:widowControl/>
              <w:autoSpaceDE w:val="0"/>
              <w:autoSpaceDN w:val="0"/>
              <w:ind w:left="851" w:hanging="851"/>
              <w:jc w:val="center"/>
              <w:textAlignment w:val="bottom"/>
              <w:rPr>
                <w:color w:val="auto"/>
                <w:sz w:val="24"/>
                <w:szCs w:val="24"/>
                <w:highlight w:val="none"/>
              </w:rPr>
            </w:pPr>
            <w:r>
              <w:rPr>
                <w:rFonts w:hint="eastAsia"/>
                <w:color w:val="auto"/>
                <w:sz w:val="24"/>
                <w:szCs w:val="24"/>
                <w:highlight w:val="none"/>
                <w:lang w:val="en-US" w:eastAsia="zh-CN"/>
              </w:rPr>
              <w:t>服务</w:t>
            </w:r>
            <w:r>
              <w:rPr>
                <w:rFonts w:hint="eastAsia"/>
                <w:color w:val="auto"/>
                <w:sz w:val="24"/>
                <w:szCs w:val="24"/>
                <w:highlight w:val="none"/>
              </w:rPr>
              <w:t>期限</w:t>
            </w:r>
          </w:p>
        </w:tc>
        <w:tc>
          <w:tcPr>
            <w:tcW w:w="2611" w:type="dxa"/>
            <w:vAlign w:val="center"/>
          </w:tcPr>
          <w:p w14:paraId="620875ED">
            <w:pPr>
              <w:widowControl/>
              <w:autoSpaceDE w:val="0"/>
              <w:autoSpaceDN w:val="0"/>
              <w:jc w:val="center"/>
              <w:textAlignment w:val="bottom"/>
              <w:rPr>
                <w:color w:val="auto"/>
                <w:sz w:val="24"/>
                <w:szCs w:val="24"/>
                <w:highlight w:val="none"/>
              </w:rPr>
            </w:pPr>
            <w:r>
              <w:rPr>
                <w:rFonts w:hint="eastAsia"/>
                <w:color w:val="auto"/>
                <w:sz w:val="24"/>
                <w:szCs w:val="24"/>
                <w:highlight w:val="none"/>
              </w:rPr>
              <w:t>备注（如有）</w:t>
            </w:r>
          </w:p>
        </w:tc>
      </w:tr>
      <w:tr w14:paraId="1B090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403" w:type="dxa"/>
            <w:vAlign w:val="center"/>
          </w:tcPr>
          <w:p w14:paraId="73431128">
            <w:pPr>
              <w:jc w:val="center"/>
              <w:rPr>
                <w:color w:val="auto"/>
                <w:sz w:val="24"/>
                <w:szCs w:val="24"/>
                <w:highlight w:val="none"/>
              </w:rPr>
            </w:pPr>
          </w:p>
        </w:tc>
        <w:tc>
          <w:tcPr>
            <w:tcW w:w="2352" w:type="dxa"/>
            <w:vAlign w:val="center"/>
          </w:tcPr>
          <w:p w14:paraId="45A40F19">
            <w:pPr>
              <w:widowControl/>
              <w:autoSpaceDE w:val="0"/>
              <w:autoSpaceDN w:val="0"/>
              <w:spacing w:line="240" w:lineRule="auto"/>
              <w:ind w:left="851" w:hanging="851"/>
              <w:jc w:val="both"/>
              <w:textAlignment w:val="bottom"/>
              <w:rPr>
                <w:rFonts w:hint="eastAsia"/>
                <w:color w:val="auto"/>
                <w:sz w:val="24"/>
                <w:szCs w:val="24"/>
                <w:highlight w:val="none"/>
                <w:lang w:val="en-US" w:eastAsia="zh-CN"/>
              </w:rPr>
            </w:pPr>
            <w:r>
              <w:rPr>
                <w:rFonts w:hint="eastAsia"/>
                <w:color w:val="auto"/>
                <w:sz w:val="24"/>
                <w:szCs w:val="24"/>
                <w:highlight w:val="none"/>
                <w:lang w:val="en-US" w:eastAsia="zh-CN"/>
              </w:rPr>
              <w:t>小写：</w:t>
            </w:r>
          </w:p>
          <w:p w14:paraId="52F86517">
            <w:pPr>
              <w:jc w:val="both"/>
              <w:rPr>
                <w:color w:val="auto"/>
                <w:sz w:val="24"/>
                <w:szCs w:val="24"/>
                <w:highlight w:val="none"/>
              </w:rPr>
            </w:pPr>
            <w:r>
              <w:rPr>
                <w:rFonts w:hint="eastAsia"/>
                <w:color w:val="auto"/>
                <w:sz w:val="24"/>
                <w:szCs w:val="24"/>
                <w:highlight w:val="none"/>
                <w:lang w:val="en-US" w:eastAsia="zh-CN"/>
              </w:rPr>
              <w:t>大写：</w:t>
            </w:r>
          </w:p>
        </w:tc>
        <w:tc>
          <w:tcPr>
            <w:tcW w:w="2161" w:type="dxa"/>
            <w:vAlign w:val="center"/>
          </w:tcPr>
          <w:p w14:paraId="3409D243">
            <w:pPr>
              <w:jc w:val="center"/>
              <w:rPr>
                <w:color w:val="auto"/>
                <w:sz w:val="24"/>
                <w:szCs w:val="24"/>
                <w:highlight w:val="none"/>
              </w:rPr>
            </w:pPr>
          </w:p>
        </w:tc>
        <w:tc>
          <w:tcPr>
            <w:tcW w:w="2611" w:type="dxa"/>
            <w:vAlign w:val="center"/>
          </w:tcPr>
          <w:p w14:paraId="35602B49">
            <w:pPr>
              <w:jc w:val="center"/>
              <w:rPr>
                <w:color w:val="auto"/>
                <w:sz w:val="24"/>
                <w:szCs w:val="24"/>
                <w:highlight w:val="none"/>
              </w:rPr>
            </w:pPr>
          </w:p>
        </w:tc>
      </w:tr>
    </w:tbl>
    <w:p w14:paraId="486E37D7">
      <w:pPr>
        <w:spacing w:line="300" w:lineRule="auto"/>
        <w:rPr>
          <w:rFonts w:ascii="Arial" w:hAnsi="Arial" w:cs="Arial"/>
          <w:color w:val="auto"/>
          <w:szCs w:val="21"/>
          <w:highlight w:val="none"/>
          <w:u w:val="single"/>
        </w:rPr>
      </w:pPr>
    </w:p>
    <w:p w14:paraId="0270EFB4">
      <w:pPr>
        <w:spacing w:line="300" w:lineRule="auto"/>
        <w:rPr>
          <w:rFonts w:ascii="Arial" w:hAnsi="Arial" w:cs="Arial"/>
          <w:color w:val="auto"/>
          <w:szCs w:val="21"/>
          <w:highlight w:val="none"/>
        </w:rPr>
      </w:pPr>
      <w:r>
        <w:rPr>
          <w:rFonts w:ascii="Arial" w:hAnsi="Arial" w:cs="Arial"/>
          <w:color w:val="auto"/>
          <w:szCs w:val="21"/>
          <w:highlight w:val="none"/>
        </w:rPr>
        <w:t>投标人名称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ascii="Arial" w:hAnsi="Arial" w:cs="Arial"/>
          <w:color w:val="auto"/>
          <w:szCs w:val="21"/>
          <w:highlight w:val="none"/>
        </w:rPr>
        <w:t>：</w:t>
      </w:r>
    </w:p>
    <w:p w14:paraId="6302F8A6">
      <w:pPr>
        <w:spacing w:line="300" w:lineRule="auto"/>
        <w:rPr>
          <w:rFonts w:ascii="Arial" w:hAnsi="Arial" w:cs="Arial"/>
          <w:color w:val="auto"/>
          <w:szCs w:val="21"/>
          <w:highlight w:val="none"/>
          <w:u w:val="single"/>
        </w:rPr>
      </w:pPr>
      <w:r>
        <w:rPr>
          <w:rFonts w:ascii="Arial" w:hAnsi="Arial" w:cs="Arial"/>
          <w:color w:val="auto"/>
          <w:szCs w:val="21"/>
          <w:highlight w:val="none"/>
        </w:rPr>
        <w:t>日期：</w:t>
      </w:r>
    </w:p>
    <w:p w14:paraId="722CC087">
      <w:pPr>
        <w:rPr>
          <w:rFonts w:cs="Arial"/>
          <w:color w:val="auto"/>
          <w:szCs w:val="24"/>
          <w:highlight w:val="none"/>
        </w:rPr>
      </w:pPr>
    </w:p>
    <w:p w14:paraId="21BB3A26">
      <w:pPr>
        <w:pStyle w:val="13"/>
        <w:rPr>
          <w:rFonts w:cs="Arial"/>
          <w:color w:val="auto"/>
          <w:szCs w:val="24"/>
          <w:highlight w:val="none"/>
        </w:rPr>
      </w:pPr>
    </w:p>
    <w:p w14:paraId="4C551945">
      <w:pPr>
        <w:pStyle w:val="13"/>
        <w:rPr>
          <w:rFonts w:cs="Arial"/>
          <w:color w:val="auto"/>
          <w:szCs w:val="24"/>
          <w:highlight w:val="none"/>
        </w:rPr>
      </w:pPr>
    </w:p>
    <w:p w14:paraId="09ACCEBB">
      <w:pPr>
        <w:pStyle w:val="13"/>
        <w:rPr>
          <w:rFonts w:cs="Arial"/>
          <w:color w:val="auto"/>
          <w:szCs w:val="24"/>
          <w:highlight w:val="none"/>
        </w:rPr>
      </w:pPr>
    </w:p>
    <w:p w14:paraId="54CAC625">
      <w:pPr>
        <w:pStyle w:val="13"/>
        <w:rPr>
          <w:rFonts w:cs="Arial"/>
          <w:color w:val="auto"/>
          <w:szCs w:val="24"/>
          <w:highlight w:val="none"/>
        </w:rPr>
      </w:pPr>
    </w:p>
    <w:p w14:paraId="5D119674">
      <w:pP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注：</w:t>
      </w:r>
    </w:p>
    <w:p w14:paraId="7BF32ACE">
      <w:pPr>
        <w:spacing w:line="360" w:lineRule="auto"/>
        <w:ind w:firstLine="43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1.此表用于开标唱标之用。</w:t>
      </w:r>
    </w:p>
    <w:p w14:paraId="7C885789">
      <w:pPr>
        <w:spacing w:line="360" w:lineRule="auto"/>
        <w:ind w:firstLine="43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2.表中投标报价即为优惠后报价，并作为评审及定标依据。任何有选择或有条件的投标报价，或者表中某一包填写多个报价，均为无效报价。</w:t>
      </w:r>
    </w:p>
    <w:p w14:paraId="2E86FDCE">
      <w:pPr>
        <w:pStyle w:val="13"/>
        <w:ind w:firstLine="420" w:firstLineChars="200"/>
        <w:rPr>
          <w:rFonts w:hint="eastAsia" w:ascii="宋体" w:hAnsi="宋体" w:eastAsia="宋体" w:cs="宋体"/>
          <w:color w:val="auto"/>
          <w:sz w:val="24"/>
          <w:szCs w:val="24"/>
          <w:highlight w:val="none"/>
        </w:rPr>
        <w:sectPr>
          <w:headerReference r:id="rId9" w:type="default"/>
          <w:footerReference r:id="rId10" w:type="default"/>
          <w:pgSz w:w="11905" w:h="16840"/>
          <w:pgMar w:top="1440" w:right="1797" w:bottom="1440" w:left="1797" w:header="851" w:footer="850" w:gutter="0"/>
          <w:pgBorders>
            <w:top w:val="none" w:sz="0" w:space="0"/>
            <w:left w:val="none" w:sz="0" w:space="0"/>
            <w:bottom w:val="none" w:sz="0" w:space="0"/>
            <w:right w:val="none" w:sz="0" w:space="0"/>
          </w:pgBorders>
          <w:pgNumType w:fmt="numberInDash"/>
          <w:cols w:space="720" w:num="1"/>
        </w:sect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.表中大写与小写不一致的，以大写为准。</w:t>
      </w:r>
    </w:p>
    <w:p w14:paraId="7B2B178E">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bookmarkStart w:id="651" w:name="_Toc27922"/>
      <w:bookmarkStart w:id="652" w:name="_Toc19342"/>
      <w:r>
        <w:rPr>
          <w:rFonts w:hint="eastAsia" w:cstheme="majorBidi"/>
          <w:b/>
          <w:bCs/>
          <w:color w:val="auto"/>
          <w:kern w:val="2"/>
          <w:sz w:val="32"/>
          <w:szCs w:val="32"/>
          <w:highlight w:val="none"/>
          <w:lang w:val="en-US" w:eastAsia="zh-CN" w:bidi="ar-SA"/>
        </w:rPr>
        <w:t>二、分项报价表</w:t>
      </w:r>
      <w:bookmarkEnd w:id="651"/>
      <w:bookmarkEnd w:id="652"/>
    </w:p>
    <w:p w14:paraId="25D833CC">
      <w:pPr>
        <w:rPr>
          <w:b w:val="0"/>
          <w:bCs/>
          <w:color w:val="auto"/>
          <w:szCs w:val="21"/>
          <w:highlight w:val="none"/>
          <w:lang w:val="zh-CN"/>
        </w:rPr>
      </w:pPr>
      <w:r>
        <w:rPr>
          <w:rFonts w:hint="eastAsia"/>
          <w:b w:val="0"/>
          <w:bCs/>
          <w:color w:val="auto"/>
          <w:szCs w:val="21"/>
          <w:highlight w:val="none"/>
          <w:lang w:val="zh-CN"/>
        </w:rPr>
        <w:t>项目名称：</w:t>
      </w:r>
      <w:r>
        <w:rPr>
          <w:rFonts w:hint="eastAsia"/>
          <w:b w:val="0"/>
          <w:bCs/>
          <w:color w:val="auto"/>
          <w:szCs w:val="21"/>
          <w:highlight w:val="none"/>
          <w:u w:val="single"/>
          <w:lang w:val="zh-CN"/>
        </w:rPr>
        <w:t xml:space="preserve">                  </w:t>
      </w:r>
      <w:r>
        <w:rPr>
          <w:rFonts w:hint="eastAsia"/>
          <w:b w:val="0"/>
          <w:bCs/>
          <w:color w:val="auto"/>
          <w:szCs w:val="21"/>
          <w:highlight w:val="none"/>
          <w:u w:val="single"/>
          <w:lang w:val="en-US" w:eastAsia="zh-CN"/>
        </w:rPr>
        <w:t xml:space="preserve">     </w:t>
      </w:r>
      <w:r>
        <w:rPr>
          <w:rFonts w:hint="eastAsia"/>
          <w:b w:val="0"/>
          <w:bCs/>
          <w:color w:val="auto"/>
          <w:szCs w:val="21"/>
          <w:highlight w:val="none"/>
          <w:u w:val="single"/>
          <w:lang w:val="zh-CN"/>
        </w:rPr>
        <w:t xml:space="preserve">   </w:t>
      </w:r>
    </w:p>
    <w:p w14:paraId="6FFFD51E">
      <w:pPr>
        <w:rPr>
          <w:rFonts w:hint="eastAsia"/>
          <w:b w:val="0"/>
          <w:bCs/>
          <w:color w:val="auto"/>
          <w:szCs w:val="21"/>
          <w:highlight w:val="none"/>
          <w:u w:val="single"/>
          <w:lang w:val="zh-CN"/>
        </w:rPr>
      </w:pPr>
      <w:r>
        <w:rPr>
          <w:rFonts w:hint="eastAsia"/>
          <w:b w:val="0"/>
          <w:bCs/>
          <w:color w:val="auto"/>
          <w:szCs w:val="21"/>
          <w:highlight w:val="none"/>
          <w:lang w:val="zh-CN"/>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r>
        <w:rPr>
          <w:rFonts w:hint="eastAsia"/>
          <w:b w:val="0"/>
          <w:bCs/>
          <w:color w:val="auto"/>
          <w:szCs w:val="21"/>
          <w:highlight w:val="none"/>
          <w:u w:val="single"/>
          <w:lang w:val="zh-CN"/>
        </w:rPr>
        <w:t xml:space="preserve">                     </w:t>
      </w:r>
    </w:p>
    <w:tbl>
      <w:tblPr>
        <w:tblStyle w:val="29"/>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
        <w:gridCol w:w="3720"/>
        <w:gridCol w:w="1065"/>
        <w:gridCol w:w="1065"/>
        <w:gridCol w:w="1066"/>
        <w:gridCol w:w="947"/>
      </w:tblGrid>
      <w:tr w14:paraId="64BB0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0359B3E0">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3720" w:type="dxa"/>
            <w:vAlign w:val="center"/>
          </w:tcPr>
          <w:p w14:paraId="088C5C15">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tc>
        <w:tc>
          <w:tcPr>
            <w:tcW w:w="1065" w:type="dxa"/>
            <w:vAlign w:val="center"/>
          </w:tcPr>
          <w:p w14:paraId="73E95872">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065" w:type="dxa"/>
            <w:vAlign w:val="center"/>
          </w:tcPr>
          <w:p w14:paraId="46AE39CD">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单价（元）</w:t>
            </w:r>
          </w:p>
        </w:tc>
        <w:tc>
          <w:tcPr>
            <w:tcW w:w="1066" w:type="dxa"/>
            <w:vAlign w:val="center"/>
          </w:tcPr>
          <w:p w14:paraId="39D56880">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合</w:t>
            </w:r>
            <w:r>
              <w:rPr>
                <w:rFonts w:hint="eastAsia" w:ascii="宋体" w:hAnsi="宋体" w:eastAsia="宋体" w:cs="宋体"/>
                <w:color w:val="auto"/>
                <w:sz w:val="21"/>
                <w:szCs w:val="21"/>
                <w:highlight w:val="none"/>
              </w:rPr>
              <w:t>价</w:t>
            </w:r>
          </w:p>
        </w:tc>
        <w:tc>
          <w:tcPr>
            <w:tcW w:w="947" w:type="dxa"/>
            <w:vAlign w:val="center"/>
          </w:tcPr>
          <w:p w14:paraId="7A267799">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467AA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2A5FF6D0">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720" w:type="dxa"/>
            <w:vAlign w:val="center"/>
          </w:tcPr>
          <w:p w14:paraId="07A38CC0">
            <w:pPr>
              <w:adjustRightInd w:val="0"/>
              <w:snapToGrid w:val="0"/>
              <w:spacing w:line="240" w:lineRule="auto"/>
              <w:jc w:val="center"/>
              <w:rPr>
                <w:rFonts w:hint="eastAsia" w:ascii="宋体" w:hAnsi="宋体" w:eastAsia="宋体" w:cs="宋体"/>
                <w:color w:val="auto"/>
                <w:sz w:val="21"/>
                <w:szCs w:val="21"/>
                <w:highlight w:val="none"/>
              </w:rPr>
            </w:pPr>
          </w:p>
        </w:tc>
        <w:tc>
          <w:tcPr>
            <w:tcW w:w="1065" w:type="dxa"/>
            <w:vAlign w:val="center"/>
          </w:tcPr>
          <w:p w14:paraId="0D2CE283">
            <w:pPr>
              <w:adjustRightInd w:val="0"/>
              <w:snapToGrid w:val="0"/>
              <w:spacing w:line="240" w:lineRule="auto"/>
              <w:jc w:val="center"/>
              <w:rPr>
                <w:rFonts w:hint="eastAsia" w:ascii="宋体" w:hAnsi="宋体" w:eastAsia="宋体" w:cs="宋体"/>
                <w:color w:val="auto"/>
                <w:sz w:val="21"/>
                <w:szCs w:val="21"/>
                <w:highlight w:val="none"/>
              </w:rPr>
            </w:pPr>
          </w:p>
        </w:tc>
        <w:tc>
          <w:tcPr>
            <w:tcW w:w="1065" w:type="dxa"/>
            <w:vAlign w:val="center"/>
          </w:tcPr>
          <w:p w14:paraId="347A98B0">
            <w:pPr>
              <w:adjustRightInd w:val="0"/>
              <w:snapToGrid w:val="0"/>
              <w:spacing w:line="240" w:lineRule="auto"/>
              <w:jc w:val="center"/>
              <w:rPr>
                <w:rFonts w:hint="eastAsia" w:ascii="宋体" w:hAnsi="宋体" w:eastAsia="宋体" w:cs="宋体"/>
                <w:color w:val="auto"/>
                <w:sz w:val="21"/>
                <w:szCs w:val="21"/>
                <w:highlight w:val="none"/>
              </w:rPr>
            </w:pPr>
          </w:p>
        </w:tc>
        <w:tc>
          <w:tcPr>
            <w:tcW w:w="1066" w:type="dxa"/>
            <w:vAlign w:val="center"/>
          </w:tcPr>
          <w:p w14:paraId="439055D0">
            <w:pPr>
              <w:adjustRightInd w:val="0"/>
              <w:snapToGrid w:val="0"/>
              <w:spacing w:line="240" w:lineRule="auto"/>
              <w:jc w:val="center"/>
              <w:rPr>
                <w:rFonts w:hint="eastAsia" w:ascii="宋体" w:hAnsi="宋体" w:eastAsia="宋体" w:cs="宋体"/>
                <w:color w:val="auto"/>
                <w:sz w:val="21"/>
                <w:szCs w:val="21"/>
                <w:highlight w:val="none"/>
              </w:rPr>
            </w:pPr>
          </w:p>
        </w:tc>
        <w:tc>
          <w:tcPr>
            <w:tcW w:w="947" w:type="dxa"/>
            <w:vAlign w:val="center"/>
          </w:tcPr>
          <w:p w14:paraId="53350EE9">
            <w:pPr>
              <w:adjustRightInd w:val="0"/>
              <w:snapToGrid w:val="0"/>
              <w:spacing w:line="240" w:lineRule="auto"/>
              <w:jc w:val="center"/>
              <w:rPr>
                <w:rFonts w:hint="eastAsia" w:ascii="宋体" w:hAnsi="宋体" w:eastAsia="宋体" w:cs="宋体"/>
                <w:color w:val="auto"/>
                <w:sz w:val="21"/>
                <w:szCs w:val="21"/>
                <w:highlight w:val="none"/>
              </w:rPr>
            </w:pPr>
          </w:p>
        </w:tc>
      </w:tr>
      <w:tr w14:paraId="510BB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70E786EF">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3720" w:type="dxa"/>
            <w:vAlign w:val="center"/>
          </w:tcPr>
          <w:p w14:paraId="19F17531">
            <w:pPr>
              <w:adjustRightInd w:val="0"/>
              <w:snapToGrid w:val="0"/>
              <w:spacing w:line="240" w:lineRule="auto"/>
              <w:jc w:val="center"/>
              <w:rPr>
                <w:rFonts w:hint="eastAsia" w:ascii="宋体" w:hAnsi="宋体" w:eastAsia="宋体" w:cs="宋体"/>
                <w:color w:val="auto"/>
                <w:sz w:val="21"/>
                <w:szCs w:val="21"/>
                <w:highlight w:val="none"/>
              </w:rPr>
            </w:pPr>
          </w:p>
        </w:tc>
        <w:tc>
          <w:tcPr>
            <w:tcW w:w="1065" w:type="dxa"/>
            <w:vAlign w:val="center"/>
          </w:tcPr>
          <w:p w14:paraId="5FA2A257">
            <w:pPr>
              <w:adjustRightInd w:val="0"/>
              <w:snapToGrid w:val="0"/>
              <w:spacing w:line="240" w:lineRule="auto"/>
              <w:jc w:val="center"/>
              <w:rPr>
                <w:rFonts w:hint="eastAsia" w:ascii="宋体" w:hAnsi="宋体" w:eastAsia="宋体" w:cs="宋体"/>
                <w:color w:val="auto"/>
                <w:sz w:val="21"/>
                <w:szCs w:val="21"/>
                <w:highlight w:val="none"/>
              </w:rPr>
            </w:pPr>
          </w:p>
        </w:tc>
        <w:tc>
          <w:tcPr>
            <w:tcW w:w="1065" w:type="dxa"/>
            <w:vAlign w:val="center"/>
          </w:tcPr>
          <w:p w14:paraId="634862ED">
            <w:pPr>
              <w:adjustRightInd w:val="0"/>
              <w:snapToGrid w:val="0"/>
              <w:spacing w:line="240" w:lineRule="auto"/>
              <w:jc w:val="center"/>
              <w:rPr>
                <w:rFonts w:hint="eastAsia" w:ascii="宋体" w:hAnsi="宋体" w:eastAsia="宋体" w:cs="宋体"/>
                <w:color w:val="auto"/>
                <w:sz w:val="21"/>
                <w:szCs w:val="21"/>
                <w:highlight w:val="none"/>
              </w:rPr>
            </w:pPr>
          </w:p>
        </w:tc>
        <w:tc>
          <w:tcPr>
            <w:tcW w:w="1066" w:type="dxa"/>
            <w:vAlign w:val="center"/>
          </w:tcPr>
          <w:p w14:paraId="604070DF">
            <w:pPr>
              <w:adjustRightInd w:val="0"/>
              <w:snapToGrid w:val="0"/>
              <w:spacing w:line="240" w:lineRule="auto"/>
              <w:jc w:val="center"/>
              <w:rPr>
                <w:rFonts w:hint="eastAsia" w:ascii="宋体" w:hAnsi="宋体" w:eastAsia="宋体" w:cs="宋体"/>
                <w:color w:val="auto"/>
                <w:sz w:val="21"/>
                <w:szCs w:val="21"/>
                <w:highlight w:val="none"/>
              </w:rPr>
            </w:pPr>
          </w:p>
        </w:tc>
        <w:tc>
          <w:tcPr>
            <w:tcW w:w="947" w:type="dxa"/>
            <w:vAlign w:val="center"/>
          </w:tcPr>
          <w:p w14:paraId="45B52869">
            <w:pPr>
              <w:adjustRightInd w:val="0"/>
              <w:snapToGrid w:val="0"/>
              <w:spacing w:line="240" w:lineRule="auto"/>
              <w:jc w:val="center"/>
              <w:rPr>
                <w:rFonts w:hint="eastAsia" w:ascii="宋体" w:hAnsi="宋体" w:eastAsia="宋体" w:cs="宋体"/>
                <w:color w:val="auto"/>
                <w:sz w:val="21"/>
                <w:szCs w:val="21"/>
                <w:highlight w:val="none"/>
              </w:rPr>
            </w:pPr>
          </w:p>
        </w:tc>
      </w:tr>
      <w:tr w14:paraId="10220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447A33D5">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3720" w:type="dxa"/>
            <w:vAlign w:val="center"/>
          </w:tcPr>
          <w:p w14:paraId="7605B56B">
            <w:pPr>
              <w:adjustRightInd w:val="0"/>
              <w:snapToGrid w:val="0"/>
              <w:spacing w:line="240" w:lineRule="auto"/>
              <w:jc w:val="center"/>
              <w:rPr>
                <w:rFonts w:hint="eastAsia" w:ascii="宋体" w:hAnsi="宋体" w:eastAsia="宋体" w:cs="宋体"/>
                <w:color w:val="auto"/>
                <w:sz w:val="21"/>
                <w:szCs w:val="21"/>
                <w:highlight w:val="none"/>
              </w:rPr>
            </w:pPr>
          </w:p>
        </w:tc>
        <w:tc>
          <w:tcPr>
            <w:tcW w:w="1065" w:type="dxa"/>
            <w:vAlign w:val="center"/>
          </w:tcPr>
          <w:p w14:paraId="2DB12A28">
            <w:pPr>
              <w:adjustRightInd w:val="0"/>
              <w:snapToGrid w:val="0"/>
              <w:spacing w:line="240" w:lineRule="auto"/>
              <w:jc w:val="center"/>
              <w:rPr>
                <w:rFonts w:hint="eastAsia" w:ascii="宋体" w:hAnsi="宋体" w:eastAsia="宋体" w:cs="宋体"/>
                <w:color w:val="auto"/>
                <w:sz w:val="21"/>
                <w:szCs w:val="21"/>
                <w:highlight w:val="none"/>
              </w:rPr>
            </w:pPr>
          </w:p>
        </w:tc>
        <w:tc>
          <w:tcPr>
            <w:tcW w:w="1065" w:type="dxa"/>
            <w:vAlign w:val="center"/>
          </w:tcPr>
          <w:p w14:paraId="317BFF74">
            <w:pPr>
              <w:adjustRightInd w:val="0"/>
              <w:snapToGrid w:val="0"/>
              <w:spacing w:line="240" w:lineRule="auto"/>
              <w:jc w:val="center"/>
              <w:rPr>
                <w:rFonts w:hint="eastAsia" w:ascii="宋体" w:hAnsi="宋体" w:eastAsia="宋体" w:cs="宋体"/>
                <w:color w:val="auto"/>
                <w:sz w:val="21"/>
                <w:szCs w:val="21"/>
                <w:highlight w:val="none"/>
              </w:rPr>
            </w:pPr>
          </w:p>
        </w:tc>
        <w:tc>
          <w:tcPr>
            <w:tcW w:w="1066" w:type="dxa"/>
            <w:vAlign w:val="center"/>
          </w:tcPr>
          <w:p w14:paraId="4B6F17D3">
            <w:pPr>
              <w:adjustRightInd w:val="0"/>
              <w:snapToGrid w:val="0"/>
              <w:spacing w:line="240" w:lineRule="auto"/>
              <w:jc w:val="center"/>
              <w:rPr>
                <w:rFonts w:hint="eastAsia" w:ascii="宋体" w:hAnsi="宋体" w:eastAsia="宋体" w:cs="宋体"/>
                <w:color w:val="auto"/>
                <w:sz w:val="21"/>
                <w:szCs w:val="21"/>
                <w:highlight w:val="none"/>
              </w:rPr>
            </w:pPr>
          </w:p>
        </w:tc>
        <w:tc>
          <w:tcPr>
            <w:tcW w:w="947" w:type="dxa"/>
            <w:vAlign w:val="center"/>
          </w:tcPr>
          <w:p w14:paraId="1E8ED10E">
            <w:pPr>
              <w:adjustRightInd w:val="0"/>
              <w:snapToGrid w:val="0"/>
              <w:spacing w:line="240" w:lineRule="auto"/>
              <w:jc w:val="center"/>
              <w:rPr>
                <w:rFonts w:hint="eastAsia" w:ascii="宋体" w:hAnsi="宋体" w:eastAsia="宋体" w:cs="宋体"/>
                <w:color w:val="auto"/>
                <w:sz w:val="21"/>
                <w:szCs w:val="21"/>
                <w:highlight w:val="none"/>
              </w:rPr>
            </w:pPr>
          </w:p>
        </w:tc>
      </w:tr>
      <w:tr w14:paraId="353CE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4BB358B2">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3720" w:type="dxa"/>
            <w:vAlign w:val="center"/>
          </w:tcPr>
          <w:p w14:paraId="0B0031F2">
            <w:pPr>
              <w:adjustRightInd w:val="0"/>
              <w:snapToGrid w:val="0"/>
              <w:spacing w:line="240" w:lineRule="auto"/>
              <w:jc w:val="center"/>
              <w:rPr>
                <w:rFonts w:hint="eastAsia" w:ascii="宋体" w:hAnsi="宋体" w:eastAsia="宋体" w:cs="宋体"/>
                <w:color w:val="auto"/>
                <w:sz w:val="21"/>
                <w:szCs w:val="21"/>
                <w:highlight w:val="none"/>
              </w:rPr>
            </w:pPr>
          </w:p>
        </w:tc>
        <w:tc>
          <w:tcPr>
            <w:tcW w:w="1065" w:type="dxa"/>
            <w:vAlign w:val="center"/>
          </w:tcPr>
          <w:p w14:paraId="1A9AB905">
            <w:pPr>
              <w:adjustRightInd w:val="0"/>
              <w:snapToGrid w:val="0"/>
              <w:spacing w:line="240" w:lineRule="auto"/>
              <w:jc w:val="center"/>
              <w:rPr>
                <w:rFonts w:hint="eastAsia" w:ascii="宋体" w:hAnsi="宋体" w:eastAsia="宋体" w:cs="宋体"/>
                <w:color w:val="auto"/>
                <w:sz w:val="21"/>
                <w:szCs w:val="21"/>
                <w:highlight w:val="none"/>
              </w:rPr>
            </w:pPr>
          </w:p>
        </w:tc>
        <w:tc>
          <w:tcPr>
            <w:tcW w:w="1065" w:type="dxa"/>
            <w:vAlign w:val="center"/>
          </w:tcPr>
          <w:p w14:paraId="20C40B8C">
            <w:pPr>
              <w:adjustRightInd w:val="0"/>
              <w:snapToGrid w:val="0"/>
              <w:spacing w:line="240" w:lineRule="auto"/>
              <w:jc w:val="center"/>
              <w:rPr>
                <w:rFonts w:hint="eastAsia" w:ascii="宋体" w:hAnsi="宋体" w:eastAsia="宋体" w:cs="宋体"/>
                <w:color w:val="auto"/>
                <w:sz w:val="21"/>
                <w:szCs w:val="21"/>
                <w:highlight w:val="none"/>
              </w:rPr>
            </w:pPr>
          </w:p>
        </w:tc>
        <w:tc>
          <w:tcPr>
            <w:tcW w:w="1066" w:type="dxa"/>
            <w:vAlign w:val="center"/>
          </w:tcPr>
          <w:p w14:paraId="7FDFD679">
            <w:pPr>
              <w:adjustRightInd w:val="0"/>
              <w:snapToGrid w:val="0"/>
              <w:spacing w:line="240" w:lineRule="auto"/>
              <w:jc w:val="center"/>
              <w:rPr>
                <w:rFonts w:hint="eastAsia" w:ascii="宋体" w:hAnsi="宋体" w:eastAsia="宋体" w:cs="宋体"/>
                <w:color w:val="auto"/>
                <w:sz w:val="21"/>
                <w:szCs w:val="21"/>
                <w:highlight w:val="none"/>
              </w:rPr>
            </w:pPr>
          </w:p>
        </w:tc>
        <w:tc>
          <w:tcPr>
            <w:tcW w:w="947" w:type="dxa"/>
            <w:vAlign w:val="center"/>
          </w:tcPr>
          <w:p w14:paraId="3C259360">
            <w:pPr>
              <w:adjustRightInd w:val="0"/>
              <w:snapToGrid w:val="0"/>
              <w:spacing w:line="240" w:lineRule="auto"/>
              <w:jc w:val="center"/>
              <w:rPr>
                <w:rFonts w:hint="eastAsia" w:ascii="宋体" w:hAnsi="宋体" w:eastAsia="宋体" w:cs="宋体"/>
                <w:color w:val="auto"/>
                <w:sz w:val="21"/>
                <w:szCs w:val="21"/>
                <w:highlight w:val="none"/>
              </w:rPr>
            </w:pPr>
          </w:p>
        </w:tc>
      </w:tr>
      <w:tr w14:paraId="51C61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0ED2AC16">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3720" w:type="dxa"/>
            <w:vAlign w:val="center"/>
          </w:tcPr>
          <w:p w14:paraId="2B6E9910">
            <w:pPr>
              <w:adjustRightInd w:val="0"/>
              <w:snapToGrid w:val="0"/>
              <w:spacing w:line="240" w:lineRule="auto"/>
              <w:jc w:val="center"/>
              <w:rPr>
                <w:rFonts w:hint="eastAsia" w:ascii="宋体" w:hAnsi="宋体" w:eastAsia="宋体" w:cs="宋体"/>
                <w:color w:val="auto"/>
                <w:sz w:val="21"/>
                <w:szCs w:val="21"/>
                <w:highlight w:val="none"/>
              </w:rPr>
            </w:pPr>
          </w:p>
        </w:tc>
        <w:tc>
          <w:tcPr>
            <w:tcW w:w="1065" w:type="dxa"/>
            <w:vAlign w:val="center"/>
          </w:tcPr>
          <w:p w14:paraId="34E951A1">
            <w:pPr>
              <w:adjustRightInd w:val="0"/>
              <w:snapToGrid w:val="0"/>
              <w:spacing w:line="240" w:lineRule="auto"/>
              <w:jc w:val="center"/>
              <w:rPr>
                <w:rFonts w:hint="eastAsia" w:ascii="宋体" w:hAnsi="宋体" w:eastAsia="宋体" w:cs="宋体"/>
                <w:color w:val="auto"/>
                <w:sz w:val="21"/>
                <w:szCs w:val="21"/>
                <w:highlight w:val="none"/>
              </w:rPr>
            </w:pPr>
          </w:p>
        </w:tc>
        <w:tc>
          <w:tcPr>
            <w:tcW w:w="1065" w:type="dxa"/>
            <w:vAlign w:val="center"/>
          </w:tcPr>
          <w:p w14:paraId="5D9FC8D6">
            <w:pPr>
              <w:adjustRightInd w:val="0"/>
              <w:snapToGrid w:val="0"/>
              <w:spacing w:line="240" w:lineRule="auto"/>
              <w:jc w:val="center"/>
              <w:rPr>
                <w:rFonts w:hint="eastAsia" w:ascii="宋体" w:hAnsi="宋体" w:eastAsia="宋体" w:cs="宋体"/>
                <w:color w:val="auto"/>
                <w:sz w:val="21"/>
                <w:szCs w:val="21"/>
                <w:highlight w:val="none"/>
              </w:rPr>
            </w:pPr>
          </w:p>
        </w:tc>
        <w:tc>
          <w:tcPr>
            <w:tcW w:w="1066" w:type="dxa"/>
            <w:vAlign w:val="center"/>
          </w:tcPr>
          <w:p w14:paraId="7745BDE0">
            <w:pPr>
              <w:adjustRightInd w:val="0"/>
              <w:snapToGrid w:val="0"/>
              <w:spacing w:line="240" w:lineRule="auto"/>
              <w:jc w:val="center"/>
              <w:rPr>
                <w:rFonts w:hint="eastAsia" w:ascii="宋体" w:hAnsi="宋体" w:eastAsia="宋体" w:cs="宋体"/>
                <w:color w:val="auto"/>
                <w:sz w:val="21"/>
                <w:szCs w:val="21"/>
                <w:highlight w:val="none"/>
              </w:rPr>
            </w:pPr>
          </w:p>
        </w:tc>
        <w:tc>
          <w:tcPr>
            <w:tcW w:w="947" w:type="dxa"/>
            <w:vAlign w:val="center"/>
          </w:tcPr>
          <w:p w14:paraId="2F20BA25">
            <w:pPr>
              <w:adjustRightInd w:val="0"/>
              <w:snapToGrid w:val="0"/>
              <w:spacing w:line="240" w:lineRule="auto"/>
              <w:jc w:val="center"/>
              <w:rPr>
                <w:rFonts w:hint="eastAsia" w:ascii="宋体" w:hAnsi="宋体" w:eastAsia="宋体" w:cs="宋体"/>
                <w:color w:val="auto"/>
                <w:sz w:val="21"/>
                <w:szCs w:val="21"/>
                <w:highlight w:val="none"/>
              </w:rPr>
            </w:pPr>
          </w:p>
        </w:tc>
      </w:tr>
      <w:tr w14:paraId="054C0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469BF075">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3720" w:type="dxa"/>
            <w:vAlign w:val="center"/>
          </w:tcPr>
          <w:p w14:paraId="63E7761B">
            <w:pPr>
              <w:adjustRightInd w:val="0"/>
              <w:snapToGrid w:val="0"/>
              <w:spacing w:line="240" w:lineRule="auto"/>
              <w:jc w:val="center"/>
              <w:rPr>
                <w:rFonts w:hint="eastAsia" w:ascii="宋体" w:hAnsi="宋体" w:eastAsia="宋体" w:cs="宋体"/>
                <w:color w:val="auto"/>
                <w:sz w:val="21"/>
                <w:szCs w:val="21"/>
                <w:highlight w:val="none"/>
              </w:rPr>
            </w:pPr>
          </w:p>
        </w:tc>
        <w:tc>
          <w:tcPr>
            <w:tcW w:w="1065" w:type="dxa"/>
            <w:vAlign w:val="center"/>
          </w:tcPr>
          <w:p w14:paraId="3BA61A9A">
            <w:pPr>
              <w:adjustRightInd w:val="0"/>
              <w:snapToGrid w:val="0"/>
              <w:spacing w:line="240" w:lineRule="auto"/>
              <w:jc w:val="center"/>
              <w:rPr>
                <w:rFonts w:hint="eastAsia" w:ascii="宋体" w:hAnsi="宋体" w:eastAsia="宋体" w:cs="宋体"/>
                <w:color w:val="auto"/>
                <w:sz w:val="21"/>
                <w:szCs w:val="21"/>
                <w:highlight w:val="none"/>
              </w:rPr>
            </w:pPr>
          </w:p>
        </w:tc>
        <w:tc>
          <w:tcPr>
            <w:tcW w:w="1065" w:type="dxa"/>
            <w:vAlign w:val="center"/>
          </w:tcPr>
          <w:p w14:paraId="7DCA522F">
            <w:pPr>
              <w:adjustRightInd w:val="0"/>
              <w:snapToGrid w:val="0"/>
              <w:spacing w:line="240" w:lineRule="auto"/>
              <w:jc w:val="center"/>
              <w:rPr>
                <w:rFonts w:hint="eastAsia" w:ascii="宋体" w:hAnsi="宋体" w:eastAsia="宋体" w:cs="宋体"/>
                <w:color w:val="auto"/>
                <w:sz w:val="21"/>
                <w:szCs w:val="21"/>
                <w:highlight w:val="none"/>
              </w:rPr>
            </w:pPr>
          </w:p>
        </w:tc>
        <w:tc>
          <w:tcPr>
            <w:tcW w:w="1066" w:type="dxa"/>
            <w:vAlign w:val="center"/>
          </w:tcPr>
          <w:p w14:paraId="68A27993">
            <w:pPr>
              <w:adjustRightInd w:val="0"/>
              <w:snapToGrid w:val="0"/>
              <w:spacing w:line="240" w:lineRule="auto"/>
              <w:jc w:val="center"/>
              <w:rPr>
                <w:rFonts w:hint="eastAsia" w:ascii="宋体" w:hAnsi="宋体" w:eastAsia="宋体" w:cs="宋体"/>
                <w:color w:val="auto"/>
                <w:sz w:val="21"/>
                <w:szCs w:val="21"/>
                <w:highlight w:val="none"/>
              </w:rPr>
            </w:pPr>
          </w:p>
        </w:tc>
        <w:tc>
          <w:tcPr>
            <w:tcW w:w="947" w:type="dxa"/>
            <w:vAlign w:val="center"/>
          </w:tcPr>
          <w:p w14:paraId="33A904F9">
            <w:pPr>
              <w:adjustRightInd w:val="0"/>
              <w:snapToGrid w:val="0"/>
              <w:spacing w:line="240" w:lineRule="auto"/>
              <w:jc w:val="center"/>
              <w:rPr>
                <w:rFonts w:hint="eastAsia" w:ascii="宋体" w:hAnsi="宋体" w:eastAsia="宋体" w:cs="宋体"/>
                <w:color w:val="auto"/>
                <w:sz w:val="21"/>
                <w:szCs w:val="21"/>
                <w:highlight w:val="none"/>
              </w:rPr>
            </w:pPr>
          </w:p>
        </w:tc>
      </w:tr>
      <w:tr w14:paraId="57BAB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68C27991">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3720" w:type="dxa"/>
            <w:vAlign w:val="center"/>
          </w:tcPr>
          <w:p w14:paraId="7864625B">
            <w:pPr>
              <w:adjustRightInd w:val="0"/>
              <w:snapToGrid w:val="0"/>
              <w:spacing w:line="240" w:lineRule="auto"/>
              <w:jc w:val="center"/>
              <w:rPr>
                <w:rFonts w:hint="eastAsia" w:ascii="宋体" w:hAnsi="宋体" w:eastAsia="宋体" w:cs="宋体"/>
                <w:color w:val="auto"/>
                <w:sz w:val="21"/>
                <w:szCs w:val="21"/>
                <w:highlight w:val="none"/>
              </w:rPr>
            </w:pPr>
          </w:p>
        </w:tc>
        <w:tc>
          <w:tcPr>
            <w:tcW w:w="1065" w:type="dxa"/>
            <w:vAlign w:val="center"/>
          </w:tcPr>
          <w:p w14:paraId="2B4D906C">
            <w:pPr>
              <w:adjustRightInd w:val="0"/>
              <w:snapToGrid w:val="0"/>
              <w:spacing w:line="240" w:lineRule="auto"/>
              <w:jc w:val="center"/>
              <w:rPr>
                <w:rFonts w:hint="eastAsia" w:ascii="宋体" w:hAnsi="宋体" w:eastAsia="宋体" w:cs="宋体"/>
                <w:color w:val="auto"/>
                <w:sz w:val="21"/>
                <w:szCs w:val="21"/>
                <w:highlight w:val="none"/>
              </w:rPr>
            </w:pPr>
          </w:p>
        </w:tc>
        <w:tc>
          <w:tcPr>
            <w:tcW w:w="1065" w:type="dxa"/>
            <w:vAlign w:val="center"/>
          </w:tcPr>
          <w:p w14:paraId="6A8DF27F">
            <w:pPr>
              <w:adjustRightInd w:val="0"/>
              <w:snapToGrid w:val="0"/>
              <w:spacing w:line="240" w:lineRule="auto"/>
              <w:jc w:val="center"/>
              <w:rPr>
                <w:rFonts w:hint="eastAsia" w:ascii="宋体" w:hAnsi="宋体" w:eastAsia="宋体" w:cs="宋体"/>
                <w:color w:val="auto"/>
                <w:sz w:val="21"/>
                <w:szCs w:val="21"/>
                <w:highlight w:val="none"/>
              </w:rPr>
            </w:pPr>
          </w:p>
        </w:tc>
        <w:tc>
          <w:tcPr>
            <w:tcW w:w="1066" w:type="dxa"/>
            <w:vAlign w:val="center"/>
          </w:tcPr>
          <w:p w14:paraId="54C5FBF7">
            <w:pPr>
              <w:adjustRightInd w:val="0"/>
              <w:snapToGrid w:val="0"/>
              <w:spacing w:line="240" w:lineRule="auto"/>
              <w:jc w:val="center"/>
              <w:rPr>
                <w:rFonts w:hint="eastAsia" w:ascii="宋体" w:hAnsi="宋体" w:eastAsia="宋体" w:cs="宋体"/>
                <w:color w:val="auto"/>
                <w:sz w:val="21"/>
                <w:szCs w:val="21"/>
                <w:highlight w:val="none"/>
              </w:rPr>
            </w:pPr>
          </w:p>
        </w:tc>
        <w:tc>
          <w:tcPr>
            <w:tcW w:w="947" w:type="dxa"/>
            <w:vAlign w:val="center"/>
          </w:tcPr>
          <w:p w14:paraId="2690F475">
            <w:pPr>
              <w:adjustRightInd w:val="0"/>
              <w:snapToGrid w:val="0"/>
              <w:spacing w:line="240" w:lineRule="auto"/>
              <w:jc w:val="center"/>
              <w:rPr>
                <w:rFonts w:hint="eastAsia" w:ascii="宋体" w:hAnsi="宋体" w:eastAsia="宋体" w:cs="宋体"/>
                <w:color w:val="auto"/>
                <w:sz w:val="21"/>
                <w:szCs w:val="21"/>
                <w:highlight w:val="none"/>
              </w:rPr>
            </w:pPr>
          </w:p>
        </w:tc>
      </w:tr>
      <w:tr w14:paraId="27FCB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3F063049">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3720" w:type="dxa"/>
            <w:vAlign w:val="center"/>
          </w:tcPr>
          <w:p w14:paraId="7C3908AC">
            <w:pPr>
              <w:adjustRightInd w:val="0"/>
              <w:snapToGrid w:val="0"/>
              <w:spacing w:line="240" w:lineRule="auto"/>
              <w:jc w:val="center"/>
              <w:rPr>
                <w:rFonts w:hint="eastAsia" w:ascii="宋体" w:hAnsi="宋体" w:eastAsia="宋体" w:cs="宋体"/>
                <w:color w:val="auto"/>
                <w:sz w:val="21"/>
                <w:szCs w:val="21"/>
                <w:highlight w:val="none"/>
              </w:rPr>
            </w:pPr>
          </w:p>
        </w:tc>
        <w:tc>
          <w:tcPr>
            <w:tcW w:w="1065" w:type="dxa"/>
            <w:vAlign w:val="center"/>
          </w:tcPr>
          <w:p w14:paraId="362E8E82">
            <w:pPr>
              <w:adjustRightInd w:val="0"/>
              <w:snapToGrid w:val="0"/>
              <w:spacing w:line="240" w:lineRule="auto"/>
              <w:jc w:val="center"/>
              <w:rPr>
                <w:rFonts w:hint="eastAsia" w:ascii="宋体" w:hAnsi="宋体" w:eastAsia="宋体" w:cs="宋体"/>
                <w:color w:val="auto"/>
                <w:sz w:val="21"/>
                <w:szCs w:val="21"/>
                <w:highlight w:val="none"/>
              </w:rPr>
            </w:pPr>
          </w:p>
        </w:tc>
        <w:tc>
          <w:tcPr>
            <w:tcW w:w="1065" w:type="dxa"/>
            <w:vAlign w:val="center"/>
          </w:tcPr>
          <w:p w14:paraId="6F2704AB">
            <w:pPr>
              <w:adjustRightInd w:val="0"/>
              <w:snapToGrid w:val="0"/>
              <w:spacing w:line="240" w:lineRule="auto"/>
              <w:jc w:val="center"/>
              <w:rPr>
                <w:rFonts w:hint="eastAsia" w:ascii="宋体" w:hAnsi="宋体" w:eastAsia="宋体" w:cs="宋体"/>
                <w:color w:val="auto"/>
                <w:sz w:val="21"/>
                <w:szCs w:val="21"/>
                <w:highlight w:val="none"/>
              </w:rPr>
            </w:pPr>
          </w:p>
        </w:tc>
        <w:tc>
          <w:tcPr>
            <w:tcW w:w="1066" w:type="dxa"/>
            <w:vAlign w:val="center"/>
          </w:tcPr>
          <w:p w14:paraId="79394E0B">
            <w:pPr>
              <w:adjustRightInd w:val="0"/>
              <w:snapToGrid w:val="0"/>
              <w:spacing w:line="240" w:lineRule="auto"/>
              <w:jc w:val="center"/>
              <w:rPr>
                <w:rFonts w:hint="eastAsia" w:ascii="宋体" w:hAnsi="宋体" w:eastAsia="宋体" w:cs="宋体"/>
                <w:color w:val="auto"/>
                <w:sz w:val="21"/>
                <w:szCs w:val="21"/>
                <w:highlight w:val="none"/>
              </w:rPr>
            </w:pPr>
          </w:p>
        </w:tc>
        <w:tc>
          <w:tcPr>
            <w:tcW w:w="947" w:type="dxa"/>
            <w:vAlign w:val="center"/>
          </w:tcPr>
          <w:p w14:paraId="5A8DCEE1">
            <w:pPr>
              <w:adjustRightInd w:val="0"/>
              <w:snapToGrid w:val="0"/>
              <w:spacing w:line="240" w:lineRule="auto"/>
              <w:jc w:val="center"/>
              <w:rPr>
                <w:rFonts w:hint="eastAsia" w:ascii="宋体" w:hAnsi="宋体" w:eastAsia="宋体" w:cs="宋体"/>
                <w:color w:val="auto"/>
                <w:sz w:val="21"/>
                <w:szCs w:val="21"/>
                <w:highlight w:val="none"/>
              </w:rPr>
            </w:pPr>
          </w:p>
        </w:tc>
      </w:tr>
      <w:tr w14:paraId="2D0BD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shd w:val="clear" w:color="auto" w:fill="auto"/>
            <w:vAlign w:val="center"/>
          </w:tcPr>
          <w:p w14:paraId="36B30C90">
            <w:pPr>
              <w:adjustRightInd w:val="0"/>
              <w:snapToGrid w:val="0"/>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w:t>
            </w:r>
          </w:p>
        </w:tc>
        <w:tc>
          <w:tcPr>
            <w:tcW w:w="3720" w:type="dxa"/>
            <w:shd w:val="clear" w:color="auto" w:fill="auto"/>
            <w:vAlign w:val="center"/>
          </w:tcPr>
          <w:p w14:paraId="547CA859">
            <w:pPr>
              <w:adjustRightInd w:val="0"/>
              <w:snapToGrid w:val="0"/>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w:t>
            </w:r>
          </w:p>
        </w:tc>
        <w:tc>
          <w:tcPr>
            <w:tcW w:w="1065" w:type="dxa"/>
            <w:vAlign w:val="center"/>
          </w:tcPr>
          <w:p w14:paraId="7B9DBE1E">
            <w:pPr>
              <w:adjustRightInd w:val="0"/>
              <w:snapToGrid w:val="0"/>
              <w:spacing w:line="240" w:lineRule="auto"/>
              <w:jc w:val="center"/>
              <w:rPr>
                <w:rFonts w:hint="eastAsia" w:ascii="宋体" w:hAnsi="宋体" w:eastAsia="宋体" w:cs="宋体"/>
                <w:color w:val="auto"/>
                <w:sz w:val="21"/>
                <w:szCs w:val="21"/>
                <w:highlight w:val="none"/>
              </w:rPr>
            </w:pPr>
          </w:p>
        </w:tc>
        <w:tc>
          <w:tcPr>
            <w:tcW w:w="1065" w:type="dxa"/>
            <w:vAlign w:val="center"/>
          </w:tcPr>
          <w:p w14:paraId="6851C226">
            <w:pPr>
              <w:adjustRightInd w:val="0"/>
              <w:snapToGrid w:val="0"/>
              <w:spacing w:line="240" w:lineRule="auto"/>
              <w:jc w:val="center"/>
              <w:rPr>
                <w:rFonts w:hint="eastAsia" w:ascii="宋体" w:hAnsi="宋体" w:eastAsia="宋体" w:cs="宋体"/>
                <w:color w:val="auto"/>
                <w:sz w:val="21"/>
                <w:szCs w:val="21"/>
                <w:highlight w:val="none"/>
              </w:rPr>
            </w:pPr>
          </w:p>
        </w:tc>
        <w:tc>
          <w:tcPr>
            <w:tcW w:w="1066" w:type="dxa"/>
            <w:vAlign w:val="center"/>
          </w:tcPr>
          <w:p w14:paraId="39505459">
            <w:pPr>
              <w:adjustRightInd w:val="0"/>
              <w:snapToGrid w:val="0"/>
              <w:spacing w:line="240" w:lineRule="auto"/>
              <w:jc w:val="center"/>
              <w:rPr>
                <w:rFonts w:hint="eastAsia" w:ascii="宋体" w:hAnsi="宋体" w:eastAsia="宋体" w:cs="宋体"/>
                <w:color w:val="auto"/>
                <w:sz w:val="21"/>
                <w:szCs w:val="21"/>
                <w:highlight w:val="none"/>
              </w:rPr>
            </w:pPr>
          </w:p>
        </w:tc>
        <w:tc>
          <w:tcPr>
            <w:tcW w:w="947" w:type="dxa"/>
            <w:vAlign w:val="center"/>
          </w:tcPr>
          <w:p w14:paraId="14D910E3">
            <w:pPr>
              <w:adjustRightInd w:val="0"/>
              <w:snapToGrid w:val="0"/>
              <w:spacing w:line="240" w:lineRule="auto"/>
              <w:jc w:val="center"/>
              <w:rPr>
                <w:rFonts w:hint="eastAsia" w:ascii="宋体" w:hAnsi="宋体" w:eastAsia="宋体" w:cs="宋体"/>
                <w:color w:val="auto"/>
                <w:sz w:val="21"/>
                <w:szCs w:val="21"/>
                <w:highlight w:val="none"/>
              </w:rPr>
            </w:pPr>
          </w:p>
        </w:tc>
      </w:tr>
      <w:tr w14:paraId="0CABB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39727E85">
            <w:pPr>
              <w:adjustRightInd w:val="0"/>
              <w:snapToGrid w:val="0"/>
              <w:spacing w:line="240" w:lineRule="auto"/>
              <w:jc w:val="center"/>
              <w:rPr>
                <w:rFonts w:hint="eastAsia" w:ascii="宋体" w:hAnsi="宋体" w:eastAsia="宋体" w:cs="宋体"/>
                <w:color w:val="auto"/>
                <w:sz w:val="21"/>
                <w:szCs w:val="21"/>
                <w:highlight w:val="none"/>
              </w:rPr>
            </w:pPr>
          </w:p>
        </w:tc>
        <w:tc>
          <w:tcPr>
            <w:tcW w:w="3720" w:type="dxa"/>
            <w:vAlign w:val="center"/>
          </w:tcPr>
          <w:p w14:paraId="6E3D4C24">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其他费用</w:t>
            </w:r>
          </w:p>
        </w:tc>
        <w:tc>
          <w:tcPr>
            <w:tcW w:w="1065" w:type="dxa"/>
            <w:vAlign w:val="center"/>
          </w:tcPr>
          <w:p w14:paraId="34269FA2">
            <w:pPr>
              <w:adjustRightInd w:val="0"/>
              <w:snapToGrid w:val="0"/>
              <w:spacing w:line="240" w:lineRule="auto"/>
              <w:jc w:val="center"/>
              <w:rPr>
                <w:rFonts w:hint="eastAsia" w:ascii="宋体" w:hAnsi="宋体" w:eastAsia="宋体" w:cs="宋体"/>
                <w:color w:val="auto"/>
                <w:sz w:val="21"/>
                <w:szCs w:val="21"/>
                <w:highlight w:val="none"/>
              </w:rPr>
            </w:pPr>
          </w:p>
        </w:tc>
        <w:tc>
          <w:tcPr>
            <w:tcW w:w="1065" w:type="dxa"/>
            <w:vAlign w:val="center"/>
          </w:tcPr>
          <w:p w14:paraId="646717F9">
            <w:pPr>
              <w:adjustRightInd w:val="0"/>
              <w:snapToGrid w:val="0"/>
              <w:spacing w:line="240" w:lineRule="auto"/>
              <w:jc w:val="center"/>
              <w:rPr>
                <w:rFonts w:hint="eastAsia" w:ascii="宋体" w:hAnsi="宋体" w:eastAsia="宋体" w:cs="宋体"/>
                <w:color w:val="auto"/>
                <w:sz w:val="21"/>
                <w:szCs w:val="21"/>
                <w:highlight w:val="none"/>
              </w:rPr>
            </w:pPr>
          </w:p>
        </w:tc>
        <w:tc>
          <w:tcPr>
            <w:tcW w:w="1066" w:type="dxa"/>
            <w:vAlign w:val="center"/>
          </w:tcPr>
          <w:p w14:paraId="61629B6A">
            <w:pPr>
              <w:adjustRightInd w:val="0"/>
              <w:snapToGrid w:val="0"/>
              <w:spacing w:line="240" w:lineRule="auto"/>
              <w:jc w:val="center"/>
              <w:rPr>
                <w:rFonts w:hint="eastAsia" w:ascii="宋体" w:hAnsi="宋体" w:eastAsia="宋体" w:cs="宋体"/>
                <w:color w:val="auto"/>
                <w:sz w:val="21"/>
                <w:szCs w:val="21"/>
                <w:highlight w:val="none"/>
              </w:rPr>
            </w:pPr>
          </w:p>
        </w:tc>
        <w:tc>
          <w:tcPr>
            <w:tcW w:w="947" w:type="dxa"/>
            <w:vAlign w:val="center"/>
          </w:tcPr>
          <w:p w14:paraId="7F337C52">
            <w:pPr>
              <w:adjustRightInd w:val="0"/>
              <w:snapToGrid w:val="0"/>
              <w:spacing w:line="240" w:lineRule="auto"/>
              <w:jc w:val="center"/>
              <w:rPr>
                <w:rFonts w:hint="eastAsia" w:ascii="宋体" w:hAnsi="宋体" w:eastAsia="宋体" w:cs="宋体"/>
                <w:color w:val="auto"/>
                <w:sz w:val="21"/>
                <w:szCs w:val="21"/>
                <w:highlight w:val="none"/>
              </w:rPr>
            </w:pPr>
          </w:p>
        </w:tc>
      </w:tr>
      <w:tr w14:paraId="209E8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2C355F28">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3720" w:type="dxa"/>
            <w:vAlign w:val="center"/>
          </w:tcPr>
          <w:p w14:paraId="5D4BF5AE">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65" w:type="dxa"/>
            <w:vAlign w:val="center"/>
          </w:tcPr>
          <w:p w14:paraId="3E6B6F32">
            <w:pPr>
              <w:adjustRightInd w:val="0"/>
              <w:snapToGrid w:val="0"/>
              <w:spacing w:line="240" w:lineRule="auto"/>
              <w:jc w:val="center"/>
              <w:rPr>
                <w:rFonts w:hint="eastAsia" w:ascii="宋体" w:hAnsi="宋体" w:eastAsia="宋体" w:cs="宋体"/>
                <w:color w:val="auto"/>
                <w:sz w:val="21"/>
                <w:szCs w:val="21"/>
                <w:highlight w:val="none"/>
              </w:rPr>
            </w:pPr>
          </w:p>
        </w:tc>
        <w:tc>
          <w:tcPr>
            <w:tcW w:w="1065" w:type="dxa"/>
            <w:vAlign w:val="center"/>
          </w:tcPr>
          <w:p w14:paraId="02B6CE3C">
            <w:pPr>
              <w:adjustRightInd w:val="0"/>
              <w:snapToGrid w:val="0"/>
              <w:spacing w:line="240" w:lineRule="auto"/>
              <w:jc w:val="center"/>
              <w:rPr>
                <w:rFonts w:hint="eastAsia" w:ascii="宋体" w:hAnsi="宋体" w:eastAsia="宋体" w:cs="宋体"/>
                <w:color w:val="auto"/>
                <w:sz w:val="21"/>
                <w:szCs w:val="21"/>
                <w:highlight w:val="none"/>
              </w:rPr>
            </w:pPr>
          </w:p>
        </w:tc>
        <w:tc>
          <w:tcPr>
            <w:tcW w:w="1066" w:type="dxa"/>
            <w:vAlign w:val="center"/>
          </w:tcPr>
          <w:p w14:paraId="15025601">
            <w:pPr>
              <w:adjustRightInd w:val="0"/>
              <w:snapToGrid w:val="0"/>
              <w:spacing w:line="240" w:lineRule="auto"/>
              <w:jc w:val="center"/>
              <w:rPr>
                <w:rFonts w:hint="eastAsia" w:ascii="宋体" w:hAnsi="宋体" w:eastAsia="宋体" w:cs="宋体"/>
                <w:color w:val="auto"/>
                <w:sz w:val="21"/>
                <w:szCs w:val="21"/>
                <w:highlight w:val="none"/>
              </w:rPr>
            </w:pPr>
          </w:p>
        </w:tc>
        <w:tc>
          <w:tcPr>
            <w:tcW w:w="947" w:type="dxa"/>
            <w:vAlign w:val="center"/>
          </w:tcPr>
          <w:p w14:paraId="39116035">
            <w:pPr>
              <w:adjustRightInd w:val="0"/>
              <w:snapToGrid w:val="0"/>
              <w:spacing w:line="240" w:lineRule="auto"/>
              <w:jc w:val="center"/>
              <w:rPr>
                <w:rFonts w:hint="eastAsia" w:ascii="宋体" w:hAnsi="宋体" w:eastAsia="宋体" w:cs="宋体"/>
                <w:color w:val="auto"/>
                <w:sz w:val="21"/>
                <w:szCs w:val="21"/>
                <w:highlight w:val="none"/>
              </w:rPr>
            </w:pPr>
          </w:p>
        </w:tc>
      </w:tr>
      <w:tr w14:paraId="16F60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915" w:type="dxa"/>
            <w:gridSpan w:val="4"/>
            <w:vAlign w:val="center"/>
          </w:tcPr>
          <w:p w14:paraId="0EDD5DA9">
            <w:pPr>
              <w:adjustRightInd w:val="0"/>
              <w:snapToGrid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投标报价合计（元）</w:t>
            </w:r>
          </w:p>
        </w:tc>
        <w:tc>
          <w:tcPr>
            <w:tcW w:w="2013" w:type="dxa"/>
            <w:gridSpan w:val="2"/>
            <w:vAlign w:val="center"/>
          </w:tcPr>
          <w:p w14:paraId="0609C717">
            <w:pPr>
              <w:adjustRightInd w:val="0"/>
              <w:snapToGrid w:val="0"/>
              <w:spacing w:line="240" w:lineRule="auto"/>
              <w:jc w:val="center"/>
              <w:rPr>
                <w:rFonts w:hint="eastAsia" w:ascii="宋体" w:hAnsi="宋体" w:eastAsia="宋体" w:cs="宋体"/>
                <w:color w:val="auto"/>
                <w:sz w:val="21"/>
                <w:szCs w:val="21"/>
                <w:highlight w:val="none"/>
              </w:rPr>
            </w:pPr>
          </w:p>
        </w:tc>
      </w:tr>
    </w:tbl>
    <w:p w14:paraId="62480CF8">
      <w:pPr>
        <w:spacing w:line="300" w:lineRule="auto"/>
        <w:rPr>
          <w:rFonts w:ascii="Arial" w:hAnsi="Arial" w:cs="Arial"/>
          <w:color w:val="auto"/>
          <w:szCs w:val="21"/>
          <w:highlight w:val="none"/>
        </w:rPr>
      </w:pPr>
    </w:p>
    <w:p w14:paraId="51101AF7">
      <w:pPr>
        <w:spacing w:line="300" w:lineRule="auto"/>
        <w:rPr>
          <w:rFonts w:ascii="Arial" w:hAnsi="Arial" w:cs="Arial"/>
          <w:color w:val="auto"/>
          <w:szCs w:val="21"/>
          <w:highlight w:val="none"/>
        </w:rPr>
      </w:pPr>
      <w:r>
        <w:rPr>
          <w:rFonts w:ascii="Arial" w:hAnsi="Arial" w:cs="Arial"/>
          <w:color w:val="auto"/>
          <w:szCs w:val="21"/>
          <w:highlight w:val="none"/>
        </w:rPr>
        <w:t>投标人名称</w:t>
      </w:r>
      <w:r>
        <w:rPr>
          <w:rFonts w:hint="eastAsia" w:ascii="宋体" w:hAnsi="宋体" w:cs="宋体"/>
          <w:color w:val="auto"/>
          <w:kern w:val="0"/>
          <w:sz w:val="24"/>
          <w:highlight w:val="none"/>
          <w:lang w:val="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ascii="Arial" w:hAnsi="Arial" w:cs="Arial"/>
          <w:color w:val="auto"/>
          <w:szCs w:val="21"/>
          <w:highlight w:val="none"/>
        </w:rPr>
        <w:t>：</w:t>
      </w:r>
    </w:p>
    <w:p w14:paraId="2F327AC4">
      <w:pPr>
        <w:spacing w:line="300" w:lineRule="auto"/>
        <w:rPr>
          <w:rFonts w:ascii="Arial" w:hAnsi="Arial" w:cs="Arial"/>
          <w:color w:val="auto"/>
          <w:szCs w:val="21"/>
          <w:highlight w:val="none"/>
        </w:rPr>
      </w:pPr>
      <w:r>
        <w:rPr>
          <w:rFonts w:ascii="Arial" w:hAnsi="Arial" w:cs="Arial"/>
          <w:color w:val="auto"/>
          <w:szCs w:val="21"/>
          <w:highlight w:val="none"/>
        </w:rPr>
        <w:t>日期：</w:t>
      </w:r>
    </w:p>
    <w:p w14:paraId="28F15BC4">
      <w:pPr>
        <w:spacing w:line="300" w:lineRule="auto"/>
        <w:rPr>
          <w:rFonts w:ascii="Arial" w:hAnsi="Arial" w:cs="Arial"/>
          <w:color w:val="auto"/>
          <w:szCs w:val="21"/>
          <w:highlight w:val="none"/>
        </w:rPr>
      </w:pPr>
    </w:p>
    <w:p w14:paraId="19373AA9">
      <w:pP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注：</w:t>
      </w:r>
    </w:p>
    <w:p w14:paraId="4681585F">
      <w:pPr>
        <w:spacing w:line="360" w:lineRule="auto"/>
        <w:ind w:firstLine="435"/>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default" w:ascii="宋体" w:hAnsi="宋体" w:eastAsia="宋体" w:cs="宋体"/>
          <w:color w:val="auto"/>
          <w:sz w:val="21"/>
          <w:szCs w:val="21"/>
          <w:highlight w:val="none"/>
          <w:lang w:val="en-US" w:eastAsia="zh-CN"/>
        </w:rPr>
        <w:t>按照本表填写的各项目的投标报价合计填写到</w:t>
      </w:r>
      <w:r>
        <w:rPr>
          <w:rFonts w:hint="eastAsia" w:ascii="宋体" w:hAnsi="宋体" w:eastAsia="宋体" w:cs="宋体"/>
          <w:color w:val="auto"/>
          <w:sz w:val="21"/>
          <w:szCs w:val="21"/>
          <w:highlight w:val="none"/>
          <w:lang w:val="en-US" w:eastAsia="zh-CN"/>
        </w:rPr>
        <w:t>“开标一览表”</w:t>
      </w:r>
      <w:r>
        <w:rPr>
          <w:rFonts w:hint="default" w:ascii="宋体" w:hAnsi="宋体" w:eastAsia="宋体" w:cs="宋体"/>
          <w:color w:val="auto"/>
          <w:sz w:val="21"/>
          <w:szCs w:val="21"/>
          <w:highlight w:val="none"/>
          <w:lang w:val="en-US" w:eastAsia="zh-CN"/>
        </w:rPr>
        <w:t>中对应的</w:t>
      </w:r>
      <w:r>
        <w:rPr>
          <w:rFonts w:hint="eastAsia"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投标报价</w:t>
      </w:r>
      <w:r>
        <w:rPr>
          <w:rFonts w:hint="eastAsia"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栏中。</w:t>
      </w:r>
    </w:p>
    <w:p w14:paraId="25B9431E">
      <w:pPr>
        <w:spacing w:line="360" w:lineRule="auto"/>
        <w:ind w:firstLine="435"/>
        <w:rPr>
          <w:rFonts w:hint="eastAsia" w:ascii="宋体" w:hAnsi="宋体" w:eastAsia="宋体" w:cs="宋体"/>
          <w:color w:val="auto"/>
          <w:sz w:val="24"/>
          <w:szCs w:val="24"/>
          <w:highlight w:val="none"/>
        </w:rPr>
      </w:pP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rPr>
        <w:t>.所列服务为对应本项目需求的全部服务内容。如有漏项或缺项，投标人承担全部责任。</w:t>
      </w:r>
      <w:r>
        <w:rPr>
          <w:rFonts w:hint="eastAsia" w:ascii="宋体" w:hAnsi="宋体" w:eastAsia="宋体" w:cs="宋体"/>
          <w:color w:val="auto"/>
          <w:sz w:val="24"/>
          <w:szCs w:val="24"/>
          <w:highlight w:val="none"/>
        </w:rPr>
        <w:br w:type="page"/>
      </w:r>
    </w:p>
    <w:p w14:paraId="4A59D451">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42253C07">
      <w:pPr>
        <w:ind w:firstLine="480" w:firstLineChars="200"/>
        <w:rPr>
          <w:rFonts w:cs="仿宋_GB2312"/>
          <w:color w:val="auto"/>
          <w:szCs w:val="24"/>
          <w:highlight w:val="none"/>
          <w:lang w:val="zh-CN"/>
        </w:rPr>
      </w:pPr>
      <w:r>
        <w:rPr>
          <w:rFonts w:hint="eastAsia" w:cs="仿宋_GB2312"/>
          <w:color w:val="auto"/>
          <w:szCs w:val="24"/>
          <w:highlight w:val="none"/>
          <w:lang w:val="zh-CN"/>
        </w:rPr>
        <w:t>封面：</w:t>
      </w:r>
    </w:p>
    <w:p w14:paraId="1369E9F7">
      <w:pPr>
        <w:autoSpaceDE w:val="0"/>
        <w:autoSpaceDN w:val="0"/>
        <w:adjustRightInd w:val="0"/>
        <w:rPr>
          <w:color w:val="auto"/>
          <w:sz w:val="21"/>
          <w:szCs w:val="24"/>
          <w:highlight w:val="none"/>
        </w:rPr>
      </w:pPr>
    </w:p>
    <w:p w14:paraId="7545DFD8">
      <w:pPr>
        <w:autoSpaceDE w:val="0"/>
        <w:autoSpaceDN w:val="0"/>
        <w:adjustRightInd w:val="0"/>
        <w:rPr>
          <w:color w:val="auto"/>
          <w:sz w:val="21"/>
          <w:szCs w:val="24"/>
          <w:highlight w:val="none"/>
        </w:rPr>
      </w:pPr>
    </w:p>
    <w:p w14:paraId="6E9DF04D">
      <w:pPr>
        <w:autoSpaceDE w:val="0"/>
        <w:autoSpaceDN w:val="0"/>
        <w:adjustRightInd w:val="0"/>
        <w:jc w:val="center"/>
        <w:rPr>
          <w:color w:val="auto"/>
          <w:sz w:val="21"/>
          <w:szCs w:val="24"/>
          <w:highlight w:val="none"/>
        </w:rPr>
      </w:pPr>
    </w:p>
    <w:p w14:paraId="4A09F0AA">
      <w:pPr>
        <w:autoSpaceDE w:val="0"/>
        <w:autoSpaceDN w:val="0"/>
        <w:adjustRightInd w:val="0"/>
        <w:jc w:val="center"/>
        <w:rPr>
          <w:b/>
          <w:color w:val="auto"/>
          <w:sz w:val="84"/>
          <w:szCs w:val="84"/>
          <w:highlight w:val="none"/>
        </w:rPr>
      </w:pPr>
      <w:r>
        <w:rPr>
          <w:rFonts w:hint="eastAsia"/>
          <w:b/>
          <w:color w:val="auto"/>
          <w:sz w:val="84"/>
          <w:szCs w:val="84"/>
          <w:highlight w:val="none"/>
        </w:rPr>
        <w:t>投 标 文 件</w:t>
      </w:r>
    </w:p>
    <w:p w14:paraId="4E8ADE01">
      <w:pPr>
        <w:autoSpaceDE w:val="0"/>
        <w:autoSpaceDN w:val="0"/>
        <w:adjustRightInd w:val="0"/>
        <w:jc w:val="center"/>
        <w:rPr>
          <w:rFonts w:hint="eastAsia"/>
          <w:b/>
          <w:color w:val="auto"/>
          <w:sz w:val="56"/>
          <w:szCs w:val="56"/>
          <w:highlight w:val="none"/>
          <w:lang w:val="en-US" w:eastAsia="zh-CN"/>
        </w:rPr>
      </w:pPr>
      <w:r>
        <w:rPr>
          <w:rFonts w:hint="eastAsia"/>
          <w:b/>
          <w:color w:val="auto"/>
          <w:sz w:val="56"/>
          <w:szCs w:val="56"/>
          <w:highlight w:val="none"/>
          <w:lang w:val="en-US" w:eastAsia="zh-CN"/>
        </w:rPr>
        <w:t>商务技术文件</w:t>
      </w:r>
    </w:p>
    <w:p w14:paraId="570FB9DD">
      <w:pPr>
        <w:autoSpaceDE w:val="0"/>
        <w:autoSpaceDN w:val="0"/>
        <w:adjustRightInd w:val="0"/>
        <w:jc w:val="center"/>
        <w:rPr>
          <w:rFonts w:hint="eastAsia" w:eastAsia="宋体"/>
          <w:color w:val="auto"/>
          <w:sz w:val="36"/>
          <w:szCs w:val="36"/>
          <w:highlight w:val="none"/>
          <w:lang w:eastAsia="zh-CN"/>
        </w:rPr>
      </w:pPr>
      <w:r>
        <w:rPr>
          <w:rFonts w:hint="eastAsia"/>
          <w:color w:val="auto"/>
          <w:sz w:val="36"/>
          <w:szCs w:val="36"/>
          <w:highlight w:val="none"/>
          <w:lang w:val="en-US" w:eastAsia="zh-CN"/>
        </w:rPr>
        <w:t>（第XX包</w:t>
      </w:r>
      <w:r>
        <w:rPr>
          <w:rFonts w:hint="eastAsia"/>
          <w:color w:val="auto"/>
          <w:sz w:val="36"/>
          <w:szCs w:val="36"/>
          <w:highlight w:val="none"/>
          <w:lang w:eastAsia="zh-CN"/>
        </w:rPr>
        <w:t>）【</w:t>
      </w:r>
      <w:r>
        <w:rPr>
          <w:rFonts w:hint="eastAsia"/>
          <w:color w:val="auto"/>
          <w:sz w:val="36"/>
          <w:szCs w:val="36"/>
          <w:highlight w:val="none"/>
          <w:lang w:val="en-US" w:eastAsia="zh-CN"/>
        </w:rPr>
        <w:t>如不分包，请删去本行</w:t>
      </w:r>
      <w:r>
        <w:rPr>
          <w:rFonts w:hint="eastAsia"/>
          <w:color w:val="auto"/>
          <w:sz w:val="36"/>
          <w:szCs w:val="36"/>
          <w:highlight w:val="none"/>
          <w:lang w:eastAsia="zh-CN"/>
        </w:rPr>
        <w:t>】</w:t>
      </w:r>
    </w:p>
    <w:p w14:paraId="3BFF9900">
      <w:pPr>
        <w:pStyle w:val="3"/>
        <w:rPr>
          <w:color w:val="auto"/>
          <w:sz w:val="21"/>
          <w:szCs w:val="21"/>
          <w:highlight w:val="none"/>
        </w:rPr>
      </w:pPr>
    </w:p>
    <w:p w14:paraId="3304790D">
      <w:pPr>
        <w:rPr>
          <w:color w:val="auto"/>
          <w:sz w:val="21"/>
          <w:szCs w:val="21"/>
          <w:highlight w:val="none"/>
        </w:rPr>
      </w:pPr>
    </w:p>
    <w:p w14:paraId="414CC1ED">
      <w:pPr>
        <w:rPr>
          <w:color w:val="auto"/>
          <w:highlight w:val="none"/>
        </w:rPr>
      </w:pPr>
    </w:p>
    <w:p w14:paraId="789512AB">
      <w:pPr>
        <w:autoSpaceDE w:val="0"/>
        <w:autoSpaceDN w:val="0"/>
        <w:adjustRightInd w:val="0"/>
        <w:rPr>
          <w:color w:val="auto"/>
          <w:sz w:val="21"/>
          <w:szCs w:val="21"/>
          <w:highlight w:val="none"/>
        </w:rPr>
      </w:pPr>
    </w:p>
    <w:p w14:paraId="4BE21783">
      <w:pPr>
        <w:autoSpaceDE w:val="0"/>
        <w:autoSpaceDN w:val="0"/>
        <w:adjustRightInd w:val="0"/>
        <w:rPr>
          <w:color w:val="auto"/>
          <w:sz w:val="21"/>
          <w:szCs w:val="21"/>
          <w:highlight w:val="none"/>
        </w:rPr>
      </w:pPr>
    </w:p>
    <w:p w14:paraId="037029E5">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0538909E">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6D86FB53">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投</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标</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人：</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02BCF110">
      <w:pPr>
        <w:ind w:left="420" w:leftChars="175"/>
        <w:rPr>
          <w:rFonts w:ascii="黑体" w:hAnsi="黑体" w:eastAsia="黑体"/>
          <w:color w:val="auto"/>
          <w:sz w:val="32"/>
          <w:szCs w:val="32"/>
          <w:highlight w:val="none"/>
        </w:rPr>
      </w:pPr>
    </w:p>
    <w:p w14:paraId="70A32CAD">
      <w:pPr>
        <w:ind w:left="840" w:firstLine="420"/>
        <w:rPr>
          <w:b/>
          <w:bCs/>
          <w:color w:val="auto"/>
          <w:sz w:val="28"/>
          <w:szCs w:val="28"/>
          <w:highlight w:val="none"/>
        </w:rPr>
      </w:pPr>
    </w:p>
    <w:p w14:paraId="25D3DD60">
      <w:pPr>
        <w:ind w:left="840" w:firstLine="420"/>
        <w:rPr>
          <w:b/>
          <w:bCs/>
          <w:color w:val="auto"/>
          <w:sz w:val="28"/>
          <w:szCs w:val="28"/>
          <w:highlight w:val="none"/>
        </w:rPr>
      </w:pPr>
    </w:p>
    <w:p w14:paraId="2F9296DD">
      <w:pPr>
        <w:jc w:val="center"/>
        <w:rPr>
          <w:rFonts w:ascii="黑体" w:hAnsi="黑体" w:eastAsia="黑体"/>
          <w:color w:val="auto"/>
          <w:sz w:val="32"/>
          <w:szCs w:val="32"/>
          <w:highlight w:val="none"/>
        </w:rPr>
      </w:pPr>
      <w:r>
        <w:rPr>
          <w:rFonts w:hint="eastAsia" w:ascii="宋体" w:hAnsi="宋体" w:eastAsia="宋体" w:cs="宋体"/>
          <w:color w:val="auto"/>
          <w:sz w:val="32"/>
          <w:szCs w:val="32"/>
          <w:highlight w:val="none"/>
        </w:rPr>
        <w:t>年   月    日</w:t>
      </w:r>
    </w:p>
    <w:p w14:paraId="5C2AEB63">
      <w:pPr>
        <w:rPr>
          <w:color w:val="auto"/>
          <w:highlight w:val="none"/>
          <w:lang w:val="zh-CN"/>
        </w:rPr>
      </w:pPr>
      <w:r>
        <w:rPr>
          <w:color w:val="auto"/>
          <w:highlight w:val="none"/>
          <w:lang w:val="zh-CN"/>
        </w:rPr>
        <w:br w:type="page"/>
      </w:r>
    </w:p>
    <w:p w14:paraId="374BEE88">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653" w:name="_Toc155185921"/>
      <w:bookmarkStart w:id="654" w:name="_Toc109899489"/>
      <w:bookmarkStart w:id="655" w:name="_Toc3577"/>
      <w:bookmarkStart w:id="656" w:name="_Toc109899908"/>
      <w:bookmarkStart w:id="657" w:name="_Toc109900327"/>
      <w:bookmarkStart w:id="658" w:name="_Toc25402"/>
      <w:bookmarkStart w:id="659" w:name="_Toc32532"/>
      <w:bookmarkStart w:id="660" w:name="_Toc13736"/>
      <w:bookmarkStart w:id="661" w:name="_Toc140132831"/>
      <w:r>
        <w:rPr>
          <w:rFonts w:hint="eastAsia" w:eastAsia="宋体" w:asciiTheme="majorHAnsi" w:hAnsiTheme="majorHAnsi" w:cstheme="majorBidi"/>
          <w:b/>
          <w:bCs/>
          <w:color w:val="auto"/>
          <w:kern w:val="2"/>
          <w:sz w:val="32"/>
          <w:szCs w:val="32"/>
          <w:highlight w:val="none"/>
          <w:lang w:val="en-US" w:eastAsia="zh-CN" w:bidi="ar-SA"/>
        </w:rPr>
        <w:t>一、投标函</w:t>
      </w:r>
      <w:bookmarkEnd w:id="653"/>
      <w:bookmarkEnd w:id="654"/>
      <w:bookmarkEnd w:id="655"/>
      <w:bookmarkEnd w:id="656"/>
      <w:bookmarkEnd w:id="657"/>
      <w:bookmarkEnd w:id="658"/>
      <w:bookmarkEnd w:id="659"/>
      <w:bookmarkEnd w:id="660"/>
      <w:bookmarkEnd w:id="661"/>
    </w:p>
    <w:p w14:paraId="0ABD9EA3">
      <w:pPr>
        <w:rPr>
          <w:color w:val="auto"/>
          <w:highlight w:val="none"/>
        </w:rPr>
      </w:pPr>
      <w:r>
        <w:rPr>
          <w:rFonts w:hint="eastAsia"/>
          <w:color w:val="auto"/>
          <w:highlight w:val="none"/>
        </w:rPr>
        <w:t>致：（采购人）</w:t>
      </w:r>
    </w:p>
    <w:p w14:paraId="35C4266A">
      <w:pPr>
        <w:ind w:firstLine="480" w:firstLineChars="200"/>
        <w:rPr>
          <w:rFonts w:cs="仿宋_GB2312"/>
          <w:b/>
          <w:bCs/>
          <w:color w:val="auto"/>
          <w:szCs w:val="24"/>
          <w:highlight w:val="none"/>
        </w:rPr>
      </w:pPr>
      <w:r>
        <w:rPr>
          <w:rFonts w:hint="eastAsia" w:cs="仿宋_GB2312"/>
          <w:color w:val="auto"/>
          <w:szCs w:val="24"/>
          <w:highlight w:val="none"/>
        </w:rPr>
        <w:t>根据贵方</w:t>
      </w:r>
      <w:r>
        <w:rPr>
          <w:rFonts w:hint="eastAsia" w:cs="仿宋_GB2312"/>
          <w:color w:val="auto"/>
          <w:szCs w:val="24"/>
          <w:highlight w:val="none"/>
          <w:u w:val="single"/>
        </w:rPr>
        <w:t>（项目名称）（项目编号</w:t>
      </w:r>
      <w:r>
        <w:rPr>
          <w:rFonts w:hint="eastAsia" w:cs="仿宋_GB2312"/>
          <w:color w:val="auto"/>
          <w:szCs w:val="24"/>
          <w:highlight w:val="none"/>
          <w:u w:val="single"/>
          <w:lang w:val="en-US" w:eastAsia="zh-CN"/>
        </w:rPr>
        <w:t>/包号</w:t>
      </w:r>
      <w:r>
        <w:rPr>
          <w:rFonts w:hint="eastAsia" w:cs="仿宋_GB2312"/>
          <w:color w:val="auto"/>
          <w:szCs w:val="24"/>
          <w:highlight w:val="none"/>
          <w:u w:val="single"/>
        </w:rPr>
        <w:t>）</w:t>
      </w:r>
      <w:r>
        <w:rPr>
          <w:rFonts w:hint="eastAsia" w:cs="仿宋_GB2312"/>
          <w:color w:val="auto"/>
          <w:szCs w:val="24"/>
          <w:highlight w:val="none"/>
          <w:lang w:val="en-US" w:eastAsia="zh-CN"/>
        </w:rPr>
        <w:t>项目</w:t>
      </w:r>
      <w:r>
        <w:rPr>
          <w:rFonts w:hint="eastAsia" w:cs="仿宋_GB2312"/>
          <w:color w:val="auto"/>
          <w:szCs w:val="24"/>
          <w:highlight w:val="none"/>
        </w:rPr>
        <w:t>的</w:t>
      </w:r>
      <w:r>
        <w:rPr>
          <w:rFonts w:hint="eastAsia" w:cs="仿宋_GB2312"/>
          <w:color w:val="auto"/>
          <w:szCs w:val="24"/>
          <w:highlight w:val="none"/>
          <w:lang w:val="en-US" w:eastAsia="zh-CN"/>
        </w:rPr>
        <w:t>招标公告</w:t>
      </w:r>
      <w:r>
        <w:rPr>
          <w:rFonts w:hint="eastAsia" w:cs="仿宋_GB2312"/>
          <w:color w:val="auto"/>
          <w:szCs w:val="24"/>
          <w:highlight w:val="none"/>
        </w:rPr>
        <w:t>，签字代表</w:t>
      </w:r>
      <w:r>
        <w:rPr>
          <w:rFonts w:hint="eastAsia" w:cs="仿宋_GB2312"/>
          <w:color w:val="auto"/>
          <w:szCs w:val="24"/>
          <w:highlight w:val="none"/>
          <w:u w:val="single"/>
        </w:rPr>
        <w:t>（姓名、职务）</w:t>
      </w:r>
      <w:r>
        <w:rPr>
          <w:rFonts w:hint="eastAsia" w:cs="仿宋_GB2312"/>
          <w:color w:val="auto"/>
          <w:szCs w:val="24"/>
          <w:highlight w:val="none"/>
        </w:rPr>
        <w:t>经正式授权并代表投标人</w:t>
      </w:r>
      <w:r>
        <w:rPr>
          <w:rFonts w:hint="eastAsia" w:cs="仿宋_GB2312"/>
          <w:color w:val="auto"/>
          <w:szCs w:val="24"/>
          <w:highlight w:val="none"/>
          <w:u w:val="single"/>
        </w:rPr>
        <w:t>（投标人名称、地址）</w:t>
      </w:r>
      <w:r>
        <w:rPr>
          <w:rFonts w:hint="eastAsia" w:cs="仿宋_GB2312"/>
          <w:color w:val="auto"/>
          <w:szCs w:val="24"/>
          <w:highlight w:val="none"/>
        </w:rPr>
        <w:t>提交下述文件</w:t>
      </w:r>
      <w:r>
        <w:rPr>
          <w:rFonts w:hint="eastAsia" w:cs="仿宋_GB2312"/>
          <w:b/>
          <w:bCs/>
          <w:color w:val="auto"/>
          <w:szCs w:val="24"/>
          <w:highlight w:val="none"/>
        </w:rPr>
        <w:t>：</w:t>
      </w:r>
    </w:p>
    <w:p w14:paraId="21BBF032">
      <w:pPr>
        <w:numPr>
          <w:ilvl w:val="0"/>
          <w:numId w:val="0"/>
        </w:numPr>
        <w:spacing w:line="324" w:lineRule="auto"/>
        <w:ind w:firstLine="480" w:firstLineChars="200"/>
        <w:jc w:val="both"/>
        <w:rPr>
          <w:rFonts w:cs="Arial"/>
          <w:color w:val="auto"/>
          <w:szCs w:val="24"/>
          <w:highlight w:val="none"/>
        </w:rPr>
      </w:pPr>
      <w:r>
        <w:rPr>
          <w:rFonts w:hint="eastAsia" w:ascii="宋体" w:hAnsi="宋体" w:eastAsia="宋体" w:cs="Arial"/>
          <w:color w:val="auto"/>
          <w:kern w:val="2"/>
          <w:sz w:val="24"/>
          <w:szCs w:val="24"/>
          <w:highlight w:val="none"/>
          <w:lang w:val="en-US" w:eastAsia="zh-CN" w:bidi="ar-SA"/>
        </w:rPr>
        <w:t>1.</w:t>
      </w:r>
      <w:r>
        <w:rPr>
          <w:rFonts w:hint="eastAsia" w:cs="Arial"/>
          <w:color w:val="auto"/>
          <w:szCs w:val="24"/>
          <w:highlight w:val="none"/>
        </w:rPr>
        <w:t>资格</w:t>
      </w:r>
      <w:r>
        <w:rPr>
          <w:rFonts w:hint="eastAsia" w:cs="Arial"/>
          <w:color w:val="auto"/>
          <w:szCs w:val="24"/>
          <w:highlight w:val="none"/>
          <w:lang w:val="en-US" w:eastAsia="zh-CN"/>
        </w:rPr>
        <w:t>证明</w:t>
      </w:r>
      <w:r>
        <w:rPr>
          <w:rFonts w:hint="eastAsia" w:cs="Arial"/>
          <w:color w:val="auto"/>
          <w:szCs w:val="24"/>
          <w:highlight w:val="none"/>
        </w:rPr>
        <w:t>文件</w:t>
      </w:r>
      <w:r>
        <w:rPr>
          <w:rFonts w:cs="Arial"/>
          <w:color w:val="auto"/>
          <w:szCs w:val="24"/>
          <w:highlight w:val="none"/>
        </w:rPr>
        <w:t>；</w:t>
      </w:r>
    </w:p>
    <w:p w14:paraId="0A0EA079">
      <w:pPr>
        <w:numPr>
          <w:ilvl w:val="0"/>
          <w:numId w:val="0"/>
        </w:numPr>
        <w:spacing w:line="324" w:lineRule="auto"/>
        <w:ind w:firstLine="480" w:firstLineChars="200"/>
        <w:jc w:val="both"/>
        <w:rPr>
          <w:rFonts w:cs="Arial"/>
          <w:color w:val="auto"/>
          <w:szCs w:val="24"/>
          <w:highlight w:val="none"/>
        </w:rPr>
      </w:pPr>
      <w:r>
        <w:rPr>
          <w:rFonts w:hint="eastAsia" w:ascii="宋体" w:hAnsi="宋体" w:eastAsia="宋体" w:cs="Arial"/>
          <w:color w:val="auto"/>
          <w:kern w:val="2"/>
          <w:sz w:val="24"/>
          <w:szCs w:val="24"/>
          <w:highlight w:val="none"/>
          <w:lang w:val="en-US" w:eastAsia="zh-CN" w:bidi="ar-SA"/>
        </w:rPr>
        <w:t>2.</w:t>
      </w:r>
      <w:r>
        <w:rPr>
          <w:rFonts w:hint="eastAsia" w:cs="Arial"/>
          <w:color w:val="auto"/>
          <w:szCs w:val="24"/>
          <w:highlight w:val="none"/>
        </w:rPr>
        <w:t>投标报价</w:t>
      </w:r>
      <w:r>
        <w:rPr>
          <w:rFonts w:cs="Arial"/>
          <w:color w:val="auto"/>
          <w:szCs w:val="24"/>
          <w:highlight w:val="none"/>
        </w:rPr>
        <w:t>文件</w:t>
      </w:r>
      <w:r>
        <w:rPr>
          <w:rFonts w:hint="eastAsia" w:cs="Arial"/>
          <w:color w:val="auto"/>
          <w:szCs w:val="24"/>
          <w:highlight w:val="none"/>
        </w:rPr>
        <w:t>；</w:t>
      </w:r>
    </w:p>
    <w:p w14:paraId="7C008F28">
      <w:pPr>
        <w:numPr>
          <w:ilvl w:val="0"/>
          <w:numId w:val="0"/>
        </w:numPr>
        <w:spacing w:line="324" w:lineRule="auto"/>
        <w:ind w:firstLine="480" w:firstLineChars="200"/>
        <w:jc w:val="both"/>
        <w:rPr>
          <w:rFonts w:cs="Arial"/>
          <w:color w:val="auto"/>
          <w:szCs w:val="24"/>
          <w:highlight w:val="none"/>
        </w:rPr>
      </w:pPr>
      <w:r>
        <w:rPr>
          <w:rFonts w:hint="eastAsia" w:ascii="宋体" w:hAnsi="宋体" w:eastAsia="宋体" w:cs="Arial"/>
          <w:color w:val="auto"/>
          <w:kern w:val="2"/>
          <w:sz w:val="24"/>
          <w:szCs w:val="24"/>
          <w:highlight w:val="none"/>
          <w:lang w:val="en-US" w:eastAsia="zh-CN" w:bidi="ar-SA"/>
        </w:rPr>
        <w:t>3.</w:t>
      </w:r>
      <w:r>
        <w:rPr>
          <w:rFonts w:hint="eastAsia" w:cs="Arial"/>
          <w:color w:val="auto"/>
          <w:szCs w:val="24"/>
          <w:highlight w:val="none"/>
          <w:lang w:val="en-US" w:eastAsia="zh-CN"/>
        </w:rPr>
        <w:t>商务技术</w:t>
      </w:r>
      <w:r>
        <w:rPr>
          <w:rFonts w:hint="eastAsia" w:cs="Arial"/>
          <w:color w:val="auto"/>
          <w:szCs w:val="24"/>
          <w:highlight w:val="none"/>
        </w:rPr>
        <w:t>文件</w:t>
      </w:r>
      <w:r>
        <w:rPr>
          <w:rFonts w:cs="Arial"/>
          <w:color w:val="auto"/>
          <w:szCs w:val="24"/>
          <w:highlight w:val="none"/>
        </w:rPr>
        <w:t>。</w:t>
      </w:r>
    </w:p>
    <w:p w14:paraId="2038C573">
      <w:pPr>
        <w:spacing w:line="324" w:lineRule="auto"/>
        <w:ind w:firstLine="480" w:firstLineChars="200"/>
        <w:rPr>
          <w:rFonts w:cs="Arial"/>
          <w:color w:val="auto"/>
          <w:szCs w:val="24"/>
          <w:highlight w:val="none"/>
        </w:rPr>
      </w:pPr>
      <w:r>
        <w:rPr>
          <w:rFonts w:cs="Arial"/>
          <w:color w:val="auto"/>
          <w:szCs w:val="24"/>
          <w:highlight w:val="none"/>
        </w:rPr>
        <w:t>根据此函，签字代表宣布同意如下：</w:t>
      </w:r>
    </w:p>
    <w:p w14:paraId="7021F257">
      <w:pPr>
        <w:numPr>
          <w:ilvl w:val="0"/>
          <w:numId w:val="0"/>
        </w:numPr>
        <w:spacing w:line="324" w:lineRule="auto"/>
        <w:ind w:firstLine="480" w:firstLineChars="200"/>
        <w:jc w:val="both"/>
        <w:rPr>
          <w:rFonts w:cs="Arial"/>
          <w:color w:val="auto"/>
          <w:szCs w:val="24"/>
          <w:highlight w:val="none"/>
        </w:rPr>
      </w:pPr>
      <w:r>
        <w:rPr>
          <w:rFonts w:hint="eastAsia" w:ascii="宋体" w:hAnsi="宋体" w:eastAsia="宋体" w:cs="Arial"/>
          <w:color w:val="auto"/>
          <w:kern w:val="2"/>
          <w:sz w:val="24"/>
          <w:szCs w:val="24"/>
          <w:highlight w:val="none"/>
          <w:lang w:val="en-US" w:eastAsia="zh-CN" w:bidi="ar-SA"/>
        </w:rPr>
        <w:t>1.</w:t>
      </w:r>
      <w:r>
        <w:rPr>
          <w:rFonts w:cs="Arial"/>
          <w:color w:val="auto"/>
          <w:szCs w:val="24"/>
          <w:highlight w:val="none"/>
        </w:rPr>
        <w:t>所附投标价格表中规定的应提交和交付的服务和</w:t>
      </w:r>
      <w:r>
        <w:rPr>
          <w:rFonts w:hint="eastAsia" w:cs="Arial"/>
          <w:color w:val="auto"/>
          <w:szCs w:val="24"/>
          <w:highlight w:val="none"/>
          <w:lang w:val="en-US" w:eastAsia="zh-CN"/>
        </w:rPr>
        <w:t>相关</w:t>
      </w:r>
      <w:r>
        <w:rPr>
          <w:rFonts w:hint="eastAsia" w:cs="Arial"/>
          <w:color w:val="auto"/>
          <w:szCs w:val="24"/>
          <w:highlight w:val="none"/>
        </w:rPr>
        <w:t>货物（如有）</w:t>
      </w:r>
      <w:r>
        <w:rPr>
          <w:rFonts w:cs="Arial"/>
          <w:color w:val="auto"/>
          <w:szCs w:val="24"/>
          <w:highlight w:val="none"/>
        </w:rPr>
        <w:t>的</w:t>
      </w:r>
      <w:r>
        <w:rPr>
          <w:rFonts w:hint="eastAsia" w:cs="Arial"/>
          <w:color w:val="auto"/>
          <w:szCs w:val="24"/>
          <w:highlight w:val="none"/>
        </w:rPr>
        <w:t>投标报价</w:t>
      </w:r>
      <w:r>
        <w:rPr>
          <w:rFonts w:cs="Arial"/>
          <w:color w:val="auto"/>
          <w:szCs w:val="24"/>
          <w:highlight w:val="none"/>
        </w:rPr>
        <w:t>为</w:t>
      </w:r>
      <w:r>
        <w:rPr>
          <w:rFonts w:hint="eastAsia" w:cs="Arial"/>
          <w:color w:val="auto"/>
          <w:szCs w:val="24"/>
          <w:highlight w:val="none"/>
        </w:rPr>
        <w:t xml:space="preserve"> </w:t>
      </w:r>
      <w:r>
        <w:rPr>
          <w:rFonts w:hint="eastAsia" w:cs="Arial"/>
          <w:color w:val="auto"/>
          <w:szCs w:val="24"/>
          <w:highlight w:val="none"/>
          <w:u w:val="single"/>
        </w:rPr>
        <w:t xml:space="preserve">                  </w:t>
      </w:r>
      <w:r>
        <w:rPr>
          <w:rFonts w:cs="Arial"/>
          <w:color w:val="auto"/>
          <w:szCs w:val="24"/>
          <w:highlight w:val="none"/>
        </w:rPr>
        <w:t>。</w:t>
      </w:r>
    </w:p>
    <w:p w14:paraId="3FF1B405">
      <w:pPr>
        <w:numPr>
          <w:ilvl w:val="0"/>
          <w:numId w:val="0"/>
        </w:numPr>
        <w:spacing w:line="324" w:lineRule="auto"/>
        <w:ind w:firstLine="480" w:firstLineChars="200"/>
        <w:jc w:val="both"/>
        <w:rPr>
          <w:rFonts w:cs="Arial"/>
          <w:color w:val="auto"/>
          <w:szCs w:val="24"/>
          <w:highlight w:val="none"/>
        </w:rPr>
      </w:pPr>
      <w:r>
        <w:rPr>
          <w:rFonts w:hint="eastAsia" w:ascii="宋体" w:hAnsi="宋体" w:eastAsia="宋体" w:cs="Arial"/>
          <w:color w:val="auto"/>
          <w:kern w:val="2"/>
          <w:sz w:val="24"/>
          <w:szCs w:val="24"/>
          <w:highlight w:val="none"/>
          <w:lang w:val="en-US" w:eastAsia="zh-CN" w:bidi="ar-SA"/>
        </w:rPr>
        <w:t>2.</w:t>
      </w:r>
      <w:r>
        <w:rPr>
          <w:rFonts w:hint="eastAsia" w:cs="Arial"/>
          <w:color w:val="auto"/>
          <w:szCs w:val="24"/>
          <w:highlight w:val="none"/>
        </w:rPr>
        <w:t>我方</w:t>
      </w:r>
      <w:r>
        <w:rPr>
          <w:rFonts w:cs="Arial"/>
          <w:color w:val="auto"/>
          <w:szCs w:val="24"/>
          <w:highlight w:val="none"/>
        </w:rPr>
        <w:t>将按招标文件的规定履行合同责任和义务。</w:t>
      </w:r>
    </w:p>
    <w:p w14:paraId="464D767C">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color w:val="auto"/>
          <w:kern w:val="2"/>
          <w:sz w:val="24"/>
          <w:szCs w:val="24"/>
          <w:highlight w:val="none"/>
          <w:lang w:val="en-US" w:eastAsia="zh-CN" w:bidi="ar-SA"/>
        </w:rPr>
        <w:t>3.</w:t>
      </w:r>
      <w:r>
        <w:rPr>
          <w:rFonts w:hint="eastAsia" w:cs="Arial"/>
          <w:color w:val="auto"/>
          <w:szCs w:val="24"/>
          <w:highlight w:val="none"/>
        </w:rPr>
        <w:t>我方</w:t>
      </w:r>
      <w:r>
        <w:rPr>
          <w:rFonts w:cs="Arial"/>
          <w:color w:val="auto"/>
          <w:szCs w:val="24"/>
          <w:highlight w:val="none"/>
        </w:rPr>
        <w:t>已详细审查全部招标文件，包括</w:t>
      </w:r>
      <w:r>
        <w:rPr>
          <w:rFonts w:cs="Arial"/>
          <w:i w:val="0"/>
          <w:iCs w:val="0"/>
          <w:color w:val="auto"/>
          <w:szCs w:val="24"/>
          <w:highlight w:val="none"/>
        </w:rPr>
        <w:t>第</w:t>
      </w:r>
      <w:r>
        <w:rPr>
          <w:rFonts w:cs="Arial"/>
          <w:i w:val="0"/>
          <w:iCs w:val="0"/>
          <w:color w:val="auto"/>
          <w:szCs w:val="24"/>
          <w:highlight w:val="none"/>
          <w:u w:val="single"/>
        </w:rPr>
        <w:t>（编号、补遗书）（如果有的话）</w:t>
      </w:r>
      <w:r>
        <w:rPr>
          <w:rFonts w:cs="Arial"/>
          <w:i w:val="0"/>
          <w:iCs w:val="0"/>
          <w:color w:val="auto"/>
          <w:szCs w:val="24"/>
          <w:highlight w:val="none"/>
        </w:rPr>
        <w:t>。我</w:t>
      </w:r>
      <w:r>
        <w:rPr>
          <w:rFonts w:hint="eastAsia" w:cs="Arial"/>
          <w:i w:val="0"/>
          <w:iCs w:val="0"/>
          <w:color w:val="auto"/>
          <w:szCs w:val="24"/>
          <w:highlight w:val="none"/>
        </w:rPr>
        <w:t>方</w:t>
      </w:r>
      <w:r>
        <w:rPr>
          <w:rFonts w:cs="Arial"/>
          <w:i w:val="0"/>
          <w:iCs w:val="0"/>
          <w:color w:val="auto"/>
          <w:szCs w:val="24"/>
          <w:highlight w:val="none"/>
        </w:rPr>
        <w:t>完全理解并同意放弃对这方面有不明及误解的权力。</w:t>
      </w:r>
    </w:p>
    <w:p w14:paraId="70CAE828">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4.</w:t>
      </w:r>
      <w:r>
        <w:rPr>
          <w:rFonts w:hint="eastAsia" w:cs="Arial"/>
          <w:i w:val="0"/>
          <w:iCs w:val="0"/>
          <w:color w:val="auto"/>
          <w:szCs w:val="24"/>
          <w:highlight w:val="none"/>
        </w:rPr>
        <w:t>投标有效期为自提交投标文件的截止之日起</w:t>
      </w:r>
      <w:r>
        <w:rPr>
          <w:rFonts w:hint="eastAsia" w:cs="Arial"/>
          <w:i w:val="0"/>
          <w:iCs w:val="0"/>
          <w:color w:val="auto"/>
          <w:szCs w:val="24"/>
          <w:highlight w:val="none"/>
          <w:u w:val="single"/>
        </w:rPr>
        <w:t xml:space="preserve"> （由投标人填写）</w:t>
      </w:r>
      <w:r>
        <w:rPr>
          <w:rFonts w:cs="Arial"/>
          <w:i w:val="0"/>
          <w:iCs w:val="0"/>
          <w:color w:val="auto"/>
          <w:szCs w:val="24"/>
          <w:highlight w:val="none"/>
        </w:rPr>
        <w:t>个日历天。</w:t>
      </w:r>
    </w:p>
    <w:p w14:paraId="52EDF2A7">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5.</w:t>
      </w:r>
      <w:r>
        <w:rPr>
          <w:rFonts w:hint="eastAsia" w:cs="Arial"/>
          <w:i w:val="0"/>
          <w:iCs w:val="0"/>
          <w:color w:val="auto"/>
          <w:szCs w:val="24"/>
          <w:highlight w:val="none"/>
        </w:rPr>
        <w:t>我方</w:t>
      </w:r>
      <w:r>
        <w:rPr>
          <w:rFonts w:cs="Arial"/>
          <w:i w:val="0"/>
          <w:iCs w:val="0"/>
          <w:color w:val="auto"/>
          <w:szCs w:val="24"/>
          <w:highlight w:val="none"/>
        </w:rPr>
        <w:t>同意提供按照贵方</w:t>
      </w:r>
      <w:r>
        <w:rPr>
          <w:rFonts w:hint="eastAsia" w:cs="Arial"/>
          <w:i w:val="0"/>
          <w:iCs w:val="0"/>
          <w:color w:val="auto"/>
          <w:szCs w:val="24"/>
          <w:highlight w:val="none"/>
          <w:lang w:val="en-US" w:eastAsia="zh-CN"/>
        </w:rPr>
        <w:t>招标</w:t>
      </w:r>
      <w:r>
        <w:rPr>
          <w:rFonts w:hint="eastAsia" w:cs="Arial"/>
          <w:i w:val="0"/>
          <w:iCs w:val="0"/>
          <w:color w:val="auto"/>
          <w:szCs w:val="24"/>
          <w:highlight w:val="none"/>
        </w:rPr>
        <w:t>文件</w:t>
      </w:r>
      <w:r>
        <w:rPr>
          <w:rFonts w:cs="Arial"/>
          <w:i w:val="0"/>
          <w:iCs w:val="0"/>
          <w:color w:val="auto"/>
          <w:szCs w:val="24"/>
          <w:highlight w:val="none"/>
        </w:rPr>
        <w:t>要求的与投标有关的一切数据或资料，</w:t>
      </w:r>
      <w:r>
        <w:rPr>
          <w:rFonts w:hint="eastAsia" w:cs="Arial"/>
          <w:i w:val="0"/>
          <w:iCs w:val="0"/>
          <w:color w:val="auto"/>
          <w:szCs w:val="24"/>
          <w:highlight w:val="none"/>
        </w:rPr>
        <w:t>采用综合评分法时，我方</w:t>
      </w:r>
      <w:r>
        <w:rPr>
          <w:rFonts w:cs="Arial"/>
          <w:i w:val="0"/>
          <w:iCs w:val="0"/>
          <w:color w:val="auto"/>
          <w:szCs w:val="24"/>
          <w:highlight w:val="none"/>
        </w:rPr>
        <w:t>完全理解贵方不一定接受最低价的投标。</w:t>
      </w:r>
    </w:p>
    <w:p w14:paraId="3CF5A666">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6.</w:t>
      </w:r>
      <w:r>
        <w:rPr>
          <w:rFonts w:hint="eastAsia" w:cs="Arial"/>
          <w:i w:val="0"/>
          <w:iCs w:val="0"/>
          <w:color w:val="auto"/>
          <w:szCs w:val="24"/>
          <w:highlight w:val="none"/>
        </w:rPr>
        <w:t>本项目如由中标人支付采购代理服务费，我方同意按投标人须知前附表中规定向采购代理机构支付采购代理服务费。</w:t>
      </w:r>
    </w:p>
    <w:p w14:paraId="6A150207">
      <w:pPr>
        <w:numPr>
          <w:ilvl w:val="0"/>
          <w:numId w:val="0"/>
        </w:numPr>
        <w:snapToGrid w:val="0"/>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7.</w:t>
      </w:r>
      <w:r>
        <w:rPr>
          <w:rFonts w:hint="eastAsia" w:cs="Arial"/>
          <w:i w:val="0"/>
          <w:iCs w:val="0"/>
          <w:color w:val="auto"/>
          <w:szCs w:val="24"/>
          <w:highlight w:val="none"/>
        </w:rPr>
        <w:t>重要声明：</w:t>
      </w:r>
    </w:p>
    <w:p w14:paraId="40AFB77A">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1）与我方单位负责人为同一人的其他单位名称：</w:t>
      </w:r>
    </w:p>
    <w:p w14:paraId="409D2F71">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无；</w:t>
      </w:r>
      <w:r>
        <w:rPr>
          <w:rFonts w:hint="eastAsia"/>
          <w:i w:val="0"/>
          <w:iCs w:val="0"/>
          <w:color w:val="auto"/>
          <w:szCs w:val="24"/>
          <w:highlight w:val="none"/>
          <w:lang w:eastAsia="zh-CN"/>
        </w:rPr>
        <w:t>□</w:t>
      </w:r>
      <w:r>
        <w:rPr>
          <w:rFonts w:hint="eastAsia"/>
          <w:i w:val="0"/>
          <w:iCs w:val="0"/>
          <w:color w:val="auto"/>
          <w:szCs w:val="24"/>
          <w:highlight w:val="none"/>
        </w:rPr>
        <w:t>有，具体单位名称为：</w:t>
      </w:r>
      <w:r>
        <w:rPr>
          <w:rFonts w:hint="eastAsia" w:cs="Arial"/>
          <w:i w:val="0"/>
          <w:iCs w:val="0"/>
          <w:color w:val="auto"/>
          <w:szCs w:val="24"/>
          <w:highlight w:val="none"/>
          <w:u w:val="single"/>
        </w:rPr>
        <w:t>（由投标人如实填写）</w:t>
      </w:r>
      <w:r>
        <w:rPr>
          <w:rFonts w:hint="eastAsia"/>
          <w:i w:val="0"/>
          <w:iCs w:val="0"/>
          <w:color w:val="auto"/>
          <w:szCs w:val="24"/>
          <w:highlight w:val="none"/>
        </w:rPr>
        <w:t>。</w:t>
      </w:r>
    </w:p>
    <w:p w14:paraId="0B2F52C6">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2）与我方存在控股、管理关系的其他单位的名称：</w:t>
      </w:r>
    </w:p>
    <w:p w14:paraId="3BE8BBB8">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 xml:space="preserve">无；□有，具体单位名称为： </w:t>
      </w:r>
      <w:r>
        <w:rPr>
          <w:rFonts w:hint="eastAsia" w:cs="Arial"/>
          <w:i w:val="0"/>
          <w:iCs w:val="0"/>
          <w:color w:val="auto"/>
          <w:szCs w:val="24"/>
          <w:highlight w:val="none"/>
          <w:u w:val="single"/>
        </w:rPr>
        <w:t>（由投标人如实填写）</w:t>
      </w:r>
      <w:r>
        <w:rPr>
          <w:rFonts w:hint="eastAsia"/>
          <w:i w:val="0"/>
          <w:iCs w:val="0"/>
          <w:color w:val="auto"/>
          <w:szCs w:val="24"/>
          <w:highlight w:val="none"/>
        </w:rPr>
        <w:t>。</w:t>
      </w:r>
    </w:p>
    <w:p w14:paraId="1103F8A2">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3）参与本项目采购活动前，是否为本项目前期准备提供过整体设计、规范编制或者项目管理、监理、检测等服务：</w:t>
      </w:r>
    </w:p>
    <w:p w14:paraId="73BE978C">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 xml:space="preserve">无；□有，已提供的具体服务内容为： </w:t>
      </w:r>
      <w:r>
        <w:rPr>
          <w:rFonts w:hint="eastAsia" w:cs="Arial"/>
          <w:i w:val="0"/>
          <w:iCs w:val="0"/>
          <w:color w:val="auto"/>
          <w:szCs w:val="24"/>
          <w:highlight w:val="none"/>
          <w:u w:val="single"/>
        </w:rPr>
        <w:t>（由投标人如实填写）</w:t>
      </w:r>
      <w:r>
        <w:rPr>
          <w:rFonts w:hint="eastAsia"/>
          <w:i w:val="0"/>
          <w:iCs w:val="0"/>
          <w:color w:val="auto"/>
          <w:szCs w:val="24"/>
          <w:highlight w:val="none"/>
        </w:rPr>
        <w:t>。</w:t>
      </w:r>
    </w:p>
    <w:p w14:paraId="4FC84088">
      <w:pPr>
        <w:spacing w:line="324" w:lineRule="auto"/>
        <w:ind w:firstLine="480" w:firstLineChars="200"/>
        <w:rPr>
          <w:color w:val="auto"/>
          <w:szCs w:val="24"/>
          <w:highlight w:val="none"/>
        </w:rPr>
      </w:pPr>
      <w:r>
        <w:rPr>
          <w:rFonts w:hint="eastAsia"/>
          <w:color w:val="auto"/>
          <w:szCs w:val="24"/>
          <w:highlight w:val="none"/>
        </w:rPr>
        <w:t>（备注：以上</w:t>
      </w:r>
      <w:r>
        <w:rPr>
          <w:color w:val="auto"/>
          <w:szCs w:val="24"/>
          <w:highlight w:val="none"/>
        </w:rPr>
        <w:t>3</w:t>
      </w:r>
      <w:r>
        <w:rPr>
          <w:rFonts w:hint="eastAsia"/>
          <w:color w:val="auto"/>
          <w:szCs w:val="24"/>
          <w:highlight w:val="none"/>
        </w:rPr>
        <w:t>项声明，必须如实选择，选中项用</w:t>
      </w:r>
      <w:r>
        <w:rPr>
          <w:rFonts w:hint="eastAsia"/>
          <w:color w:val="auto"/>
          <w:szCs w:val="24"/>
          <w:highlight w:val="none"/>
          <w:lang w:eastAsia="zh-CN"/>
        </w:rPr>
        <w:t>☑</w:t>
      </w:r>
      <w:r>
        <w:rPr>
          <w:rFonts w:hint="eastAsia"/>
          <w:color w:val="auto"/>
          <w:szCs w:val="24"/>
          <w:highlight w:val="none"/>
        </w:rPr>
        <w:t>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14:paraId="19A44DC4">
      <w:pPr>
        <w:snapToGrid w:val="0"/>
        <w:spacing w:line="324" w:lineRule="auto"/>
        <w:ind w:firstLine="480" w:firstLineChars="200"/>
        <w:rPr>
          <w:color w:val="auto"/>
          <w:szCs w:val="24"/>
          <w:highlight w:val="none"/>
        </w:rPr>
      </w:pPr>
      <w:r>
        <w:rPr>
          <w:rFonts w:hint="eastAsia"/>
          <w:color w:val="auto"/>
          <w:szCs w:val="24"/>
          <w:highlight w:val="none"/>
        </w:rPr>
        <w:t>4）我方在本投标文件中所提供的全部资料均真实有效，我方承诺对其真实性负责并承担相应后果。</w:t>
      </w:r>
    </w:p>
    <w:p w14:paraId="5FB2607B">
      <w:pPr>
        <w:snapToGrid w:val="0"/>
        <w:spacing w:line="324" w:lineRule="auto"/>
        <w:ind w:firstLine="480" w:firstLineChars="200"/>
        <w:rPr>
          <w:color w:val="auto"/>
          <w:szCs w:val="24"/>
          <w:highlight w:val="none"/>
        </w:rPr>
      </w:pPr>
      <w:r>
        <w:rPr>
          <w:rFonts w:hint="eastAsia"/>
          <w:color w:val="auto"/>
          <w:szCs w:val="24"/>
          <w:highlight w:val="none"/>
        </w:rPr>
        <w:t>5）</w:t>
      </w:r>
      <w:bookmarkStart w:id="662" w:name="_Hlk161604053"/>
      <w:r>
        <w:rPr>
          <w:rFonts w:hint="eastAsia"/>
          <w:color w:val="auto"/>
          <w:szCs w:val="24"/>
          <w:highlight w:val="none"/>
        </w:rPr>
        <w:t>我方承诺本《投标函》的签章对本投标文件全部内容具有约束力并承担法律责任。</w:t>
      </w:r>
      <w:bookmarkEnd w:id="662"/>
    </w:p>
    <w:p w14:paraId="2A195747">
      <w:pPr>
        <w:spacing w:line="300" w:lineRule="auto"/>
        <w:rPr>
          <w:rFonts w:cs="Arial"/>
          <w:color w:val="auto"/>
          <w:szCs w:val="24"/>
          <w:highlight w:val="none"/>
        </w:rPr>
      </w:pPr>
    </w:p>
    <w:p w14:paraId="3F664789">
      <w:pPr>
        <w:spacing w:line="300" w:lineRule="auto"/>
        <w:rPr>
          <w:rFonts w:cs="Arial"/>
          <w:color w:val="auto"/>
          <w:szCs w:val="24"/>
          <w:highlight w:val="none"/>
        </w:rPr>
      </w:pPr>
    </w:p>
    <w:p w14:paraId="6C365FF0">
      <w:pPr>
        <w:spacing w:line="300" w:lineRule="auto"/>
        <w:rPr>
          <w:rFonts w:cs="Arial"/>
          <w:color w:val="auto"/>
          <w:szCs w:val="24"/>
          <w:highlight w:val="none"/>
        </w:rPr>
      </w:pPr>
    </w:p>
    <w:p w14:paraId="2DB608AC">
      <w:pPr>
        <w:autoSpaceDE w:val="0"/>
        <w:autoSpaceDN w:val="0"/>
        <w:adjustRightInd w:val="0"/>
        <w:snapToGrid w:val="0"/>
        <w:ind w:firstLine="480" w:firstLineChars="200"/>
        <w:rPr>
          <w:rFonts w:cs="宋体"/>
          <w:color w:val="auto"/>
          <w:highlight w:val="none"/>
        </w:rPr>
      </w:pPr>
      <w:r>
        <w:rPr>
          <w:rFonts w:hint="eastAsia" w:cs="宋体"/>
          <w:color w:val="auto"/>
          <w:highlight w:val="none"/>
        </w:rPr>
        <w:t xml:space="preserve">投 </w:t>
      </w:r>
      <w:r>
        <w:rPr>
          <w:rFonts w:cs="宋体"/>
          <w:color w:val="auto"/>
          <w:highlight w:val="none"/>
        </w:rPr>
        <w:t xml:space="preserve">   </w:t>
      </w:r>
      <w:r>
        <w:rPr>
          <w:rFonts w:hint="eastAsia" w:cs="宋体"/>
          <w:color w:val="auto"/>
          <w:highlight w:val="none"/>
        </w:rPr>
        <w:t xml:space="preserve">标 </w:t>
      </w:r>
      <w:r>
        <w:rPr>
          <w:rFonts w:cs="宋体"/>
          <w:color w:val="auto"/>
          <w:highlight w:val="none"/>
        </w:rPr>
        <w:t xml:space="preserve">   </w:t>
      </w:r>
      <w:r>
        <w:rPr>
          <w:rFonts w:hint="eastAsia" w:cs="宋体"/>
          <w:color w:val="auto"/>
          <w:highlight w:val="none"/>
        </w:rPr>
        <w:t>人</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p>
    <w:p w14:paraId="6B632FCF">
      <w:pPr>
        <w:autoSpaceDE w:val="0"/>
        <w:autoSpaceDN w:val="0"/>
        <w:adjustRightInd w:val="0"/>
        <w:snapToGrid w:val="0"/>
        <w:ind w:firstLine="480" w:firstLineChars="200"/>
        <w:rPr>
          <w:rFonts w:hint="eastAsia" w:cs="宋体"/>
          <w:color w:val="auto"/>
          <w:highlight w:val="none"/>
        </w:rPr>
      </w:pPr>
      <w:r>
        <w:rPr>
          <w:rFonts w:hint="eastAsia" w:cs="宋体"/>
          <w:color w:val="auto"/>
          <w:highlight w:val="none"/>
        </w:rPr>
        <w:t>法定代表人或授权代表</w:t>
      </w:r>
      <w:r>
        <w:rPr>
          <w:rFonts w:hint="eastAsia" w:cs="宋体"/>
          <w:color w:val="auto"/>
          <w:highlight w:val="none"/>
          <w:lang w:eastAsia="zh-CN"/>
        </w:rPr>
        <w:t>（</w:t>
      </w:r>
      <w:r>
        <w:rPr>
          <w:rFonts w:hint="eastAsia" w:cs="宋体"/>
          <w:color w:val="auto"/>
          <w:highlight w:val="none"/>
        </w:rPr>
        <w:t>签字或印章</w:t>
      </w:r>
      <w:r>
        <w:rPr>
          <w:rFonts w:hint="eastAsia" w:cs="宋体"/>
          <w:color w:val="auto"/>
          <w:highlight w:val="none"/>
          <w:lang w:eastAsia="zh-CN"/>
        </w:rPr>
        <w:t>）</w:t>
      </w:r>
      <w:r>
        <w:rPr>
          <w:rFonts w:hint="eastAsia" w:cs="宋体"/>
          <w:color w:val="auto"/>
          <w:highlight w:val="none"/>
        </w:rPr>
        <w:t>：</w:t>
      </w:r>
    </w:p>
    <w:p w14:paraId="4CCC9D16">
      <w:pPr>
        <w:autoSpaceDE w:val="0"/>
        <w:autoSpaceDN w:val="0"/>
        <w:adjustRightInd w:val="0"/>
        <w:snapToGrid w:val="0"/>
        <w:ind w:firstLine="480" w:firstLineChars="200"/>
        <w:rPr>
          <w:rFonts w:cs="宋体"/>
          <w:color w:val="auto"/>
          <w:highlight w:val="none"/>
        </w:rPr>
      </w:pPr>
      <w:r>
        <w:rPr>
          <w:rFonts w:hint="eastAsia" w:cs="宋体"/>
          <w:color w:val="auto"/>
          <w:highlight w:val="none"/>
        </w:rPr>
        <w:t>通  讯  地  址：</w:t>
      </w:r>
    </w:p>
    <w:p w14:paraId="268281DA">
      <w:pPr>
        <w:autoSpaceDE w:val="0"/>
        <w:autoSpaceDN w:val="0"/>
        <w:adjustRightInd w:val="0"/>
        <w:snapToGrid w:val="0"/>
        <w:ind w:firstLine="480" w:firstLineChars="200"/>
        <w:rPr>
          <w:rFonts w:cs="宋体"/>
          <w:color w:val="auto"/>
          <w:highlight w:val="none"/>
        </w:rPr>
      </w:pPr>
      <w:r>
        <w:rPr>
          <w:rFonts w:hint="eastAsia" w:cs="宋体"/>
          <w:color w:val="auto"/>
          <w:highlight w:val="none"/>
        </w:rPr>
        <w:t xml:space="preserve">传       </w:t>
      </w:r>
      <w:r>
        <w:rPr>
          <w:rFonts w:cs="宋体"/>
          <w:color w:val="auto"/>
          <w:highlight w:val="none"/>
        </w:rPr>
        <w:t xml:space="preserve">   </w:t>
      </w:r>
      <w:r>
        <w:rPr>
          <w:rFonts w:hint="eastAsia" w:cs="宋体"/>
          <w:color w:val="auto"/>
          <w:highlight w:val="none"/>
        </w:rPr>
        <w:t>真：</w:t>
      </w:r>
    </w:p>
    <w:p w14:paraId="0A396883">
      <w:pPr>
        <w:autoSpaceDE w:val="0"/>
        <w:autoSpaceDN w:val="0"/>
        <w:adjustRightInd w:val="0"/>
        <w:snapToGrid w:val="0"/>
        <w:ind w:firstLine="480" w:firstLineChars="200"/>
        <w:rPr>
          <w:rFonts w:cs="宋体"/>
          <w:color w:val="auto"/>
          <w:highlight w:val="none"/>
        </w:rPr>
      </w:pPr>
      <w:r>
        <w:rPr>
          <w:rFonts w:hint="eastAsia" w:cs="宋体"/>
          <w:color w:val="auto"/>
          <w:highlight w:val="none"/>
        </w:rPr>
        <w:t>电          话：</w:t>
      </w:r>
    </w:p>
    <w:p w14:paraId="63C92097">
      <w:pPr>
        <w:ind w:firstLine="480" w:firstLineChars="200"/>
        <w:rPr>
          <w:rFonts w:cs="Arial"/>
          <w:color w:val="auto"/>
          <w:szCs w:val="24"/>
          <w:highlight w:val="none"/>
        </w:rPr>
      </w:pPr>
      <w:r>
        <w:rPr>
          <w:rFonts w:hint="eastAsia" w:cs="宋体"/>
          <w:color w:val="auto"/>
          <w:highlight w:val="none"/>
        </w:rPr>
        <w:t xml:space="preserve">日     </w:t>
      </w:r>
      <w:r>
        <w:rPr>
          <w:rFonts w:cs="宋体"/>
          <w:color w:val="auto"/>
          <w:highlight w:val="none"/>
        </w:rPr>
        <w:t xml:space="preserve">  </w:t>
      </w:r>
      <w:r>
        <w:rPr>
          <w:rFonts w:hint="eastAsia" w:cs="宋体"/>
          <w:color w:val="auto"/>
          <w:highlight w:val="none"/>
        </w:rPr>
        <w:t xml:space="preserve">    期：</w:t>
      </w:r>
    </w:p>
    <w:p w14:paraId="6674502E">
      <w:pPr>
        <w:rPr>
          <w:rFonts w:cs="Arial"/>
          <w:color w:val="auto"/>
          <w:szCs w:val="24"/>
          <w:highlight w:val="none"/>
          <w:u w:val="single"/>
        </w:rPr>
      </w:pPr>
    </w:p>
    <w:p w14:paraId="478BFBB8">
      <w:pPr>
        <w:rPr>
          <w:rFonts w:cs="Arial"/>
          <w:color w:val="auto"/>
          <w:szCs w:val="24"/>
          <w:highlight w:val="none"/>
          <w:u w:val="single"/>
        </w:rPr>
      </w:pPr>
      <w:r>
        <w:rPr>
          <w:rFonts w:cs="Arial"/>
          <w:color w:val="auto"/>
          <w:szCs w:val="24"/>
          <w:highlight w:val="none"/>
          <w:u w:val="single"/>
        </w:rPr>
        <w:br w:type="page"/>
      </w:r>
    </w:p>
    <w:p w14:paraId="24B4BD65">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663" w:name="_Toc518"/>
      <w:bookmarkStart w:id="664" w:name="_Toc18974"/>
      <w:bookmarkStart w:id="665" w:name="_Toc155185924"/>
      <w:r>
        <w:rPr>
          <w:rFonts w:hint="eastAsia" w:cstheme="majorBidi"/>
          <w:b/>
          <w:bCs/>
          <w:color w:val="auto"/>
          <w:kern w:val="2"/>
          <w:sz w:val="32"/>
          <w:szCs w:val="32"/>
          <w:highlight w:val="none"/>
          <w:lang w:val="en-US" w:eastAsia="zh-CN" w:bidi="ar-SA"/>
        </w:rPr>
        <w:t>二</w:t>
      </w:r>
      <w:r>
        <w:rPr>
          <w:rFonts w:hint="eastAsia" w:eastAsia="宋体" w:asciiTheme="majorHAnsi" w:hAnsiTheme="majorHAnsi" w:cstheme="majorBidi"/>
          <w:b/>
          <w:bCs/>
          <w:color w:val="auto"/>
          <w:kern w:val="2"/>
          <w:sz w:val="32"/>
          <w:szCs w:val="32"/>
          <w:highlight w:val="none"/>
          <w:lang w:val="en-US" w:eastAsia="zh-CN" w:bidi="ar-SA"/>
        </w:rPr>
        <w:t>、法定代表人（单位负责人）身份证明</w:t>
      </w:r>
      <w:bookmarkEnd w:id="663"/>
      <w:bookmarkEnd w:id="664"/>
      <w:bookmarkEnd w:id="665"/>
    </w:p>
    <w:p w14:paraId="46CF1AA3">
      <w:pPr>
        <w:spacing w:line="480" w:lineRule="auto"/>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致：（采购人或采购代理机构） </w:t>
      </w:r>
    </w:p>
    <w:p w14:paraId="3DE52D6F">
      <w:pPr>
        <w:spacing w:line="480" w:lineRule="auto"/>
        <w:ind w:firstLine="960" w:firstLineChars="400"/>
        <w:rPr>
          <w:rFonts w:hint="eastAsia" w:cs="仿宋_GB2312"/>
          <w:color w:val="auto"/>
          <w:szCs w:val="24"/>
          <w:highlight w:val="none"/>
        </w:rPr>
      </w:pPr>
      <w:r>
        <w:rPr>
          <w:rFonts w:hint="eastAsia" w:cs="仿宋_GB2312"/>
          <w:color w:val="auto"/>
          <w:szCs w:val="24"/>
          <w:highlight w:val="none"/>
          <w:lang w:val="en-US" w:eastAsia="zh-CN"/>
        </w:rPr>
        <w:t xml:space="preserve">兹证明， </w:t>
      </w:r>
    </w:p>
    <w:p w14:paraId="1D36B9E0">
      <w:pPr>
        <w:spacing w:line="480" w:lineRule="auto"/>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姓名：____性别：____年龄：____职务：____ </w:t>
      </w:r>
    </w:p>
    <w:p w14:paraId="38746EB6">
      <w:pPr>
        <w:spacing w:line="480" w:lineRule="auto"/>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系 </w:t>
      </w:r>
      <w:r>
        <w:rPr>
          <w:rFonts w:hint="eastAsia" w:cs="仿宋_GB2312"/>
          <w:color w:val="auto"/>
          <w:szCs w:val="24"/>
          <w:highlight w:val="none"/>
          <w:u w:val="single"/>
          <w:lang w:val="en-US" w:eastAsia="zh-CN"/>
        </w:rPr>
        <w:t xml:space="preserve">            </w:t>
      </w:r>
      <w:r>
        <w:rPr>
          <w:rFonts w:hint="eastAsia" w:cs="仿宋_GB2312"/>
          <w:color w:val="auto"/>
          <w:szCs w:val="24"/>
          <w:highlight w:val="none"/>
          <w:lang w:val="en-US" w:eastAsia="zh-CN"/>
        </w:rPr>
        <w:t xml:space="preserve">（投标人名称）的法定代表人（单位负责人）。 </w:t>
      </w:r>
    </w:p>
    <w:p w14:paraId="3B002BC6">
      <w:pPr>
        <w:spacing w:line="480" w:lineRule="auto"/>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附：法定代表人（单位负责人）身份证、护照等身份证明文件电子件： </w:t>
      </w:r>
    </w:p>
    <w:p w14:paraId="60A8C36F">
      <w:pPr>
        <w:spacing w:line="480" w:lineRule="auto"/>
        <w:ind w:firstLine="480" w:firstLineChars="200"/>
        <w:rPr>
          <w:rFonts w:cs="仿宋_GB2312"/>
          <w:color w:val="auto"/>
          <w:szCs w:val="24"/>
          <w:highlight w:val="none"/>
        </w:rPr>
      </w:pPr>
    </w:p>
    <w:p w14:paraId="473563CD">
      <w:pPr>
        <w:rPr>
          <w:rFonts w:cs="Arial"/>
          <w:color w:val="auto"/>
          <w:sz w:val="21"/>
          <w:szCs w:val="21"/>
          <w:highlight w:val="none"/>
        </w:rPr>
      </w:pPr>
    </w:p>
    <w:tbl>
      <w:tblPr>
        <w:tblStyle w:val="29"/>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7"/>
      </w:tblGrid>
      <w:tr w14:paraId="2D4F4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8527" w:type="dxa"/>
          </w:tcPr>
          <w:p w14:paraId="4B7B7E19">
            <w:pPr>
              <w:rPr>
                <w:rFonts w:cs="Arial"/>
                <w:color w:val="auto"/>
                <w:highlight w:val="none"/>
              </w:rPr>
            </w:pPr>
          </w:p>
        </w:tc>
      </w:tr>
    </w:tbl>
    <w:p w14:paraId="76B5C725">
      <w:pPr>
        <w:ind w:firstLine="840" w:firstLineChars="350"/>
        <w:jc w:val="center"/>
        <w:rPr>
          <w:rFonts w:cs="Arial"/>
          <w:color w:val="auto"/>
          <w:highlight w:val="none"/>
        </w:rPr>
      </w:pPr>
    </w:p>
    <w:p w14:paraId="4AD74708">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投标人名称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ascii="DejaVuSans" w:hAnsi="DejaVuSans" w:eastAsia="DejaVuSans" w:cs="DejaVuSans"/>
          <w:color w:val="auto"/>
          <w:kern w:val="0"/>
          <w:sz w:val="24"/>
          <w:szCs w:val="24"/>
          <w:highlight w:val="none"/>
          <w:lang w:val="en-US" w:eastAsia="zh-CN" w:bidi="ar"/>
        </w:rPr>
        <w:t xml:space="preserve">________________ </w:t>
      </w:r>
    </w:p>
    <w:p w14:paraId="364A1245">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法定代表人（单位负责人）（签字或</w:t>
      </w:r>
      <w:r>
        <w:rPr>
          <w:rFonts w:hint="eastAsia" w:cs="宋体"/>
          <w:color w:val="auto"/>
          <w:kern w:val="0"/>
          <w:sz w:val="24"/>
          <w:szCs w:val="24"/>
          <w:highlight w:val="none"/>
          <w:lang w:eastAsia="zh-CN"/>
        </w:rPr>
        <w:t>盖</w:t>
      </w:r>
      <w:r>
        <w:rPr>
          <w:rFonts w:hint="eastAsia" w:ascii="宋体" w:hAnsi="宋体" w:eastAsia="宋体" w:cs="宋体"/>
          <w:color w:val="auto"/>
          <w:kern w:val="0"/>
          <w:sz w:val="24"/>
          <w:szCs w:val="24"/>
          <w:highlight w:val="none"/>
          <w:lang w:eastAsia="zh-CN"/>
        </w:rPr>
        <w:t>章</w:t>
      </w:r>
      <w:r>
        <w:rPr>
          <w:rFonts w:hint="eastAsia" w:ascii="宋体" w:hAnsi="宋体" w:eastAsia="宋体" w:cs="宋体"/>
          <w:color w:val="auto"/>
          <w:kern w:val="0"/>
          <w:sz w:val="24"/>
          <w:szCs w:val="24"/>
          <w:highlight w:val="none"/>
          <w:lang w:val="en-US" w:eastAsia="zh-CN" w:bidi="ar"/>
        </w:rPr>
        <w:t>）：</w:t>
      </w:r>
      <w:r>
        <w:rPr>
          <w:rFonts w:hint="default" w:ascii="DejaVuSans" w:hAnsi="DejaVuSans" w:eastAsia="DejaVuSans" w:cs="DejaVuSans"/>
          <w:color w:val="auto"/>
          <w:kern w:val="0"/>
          <w:sz w:val="24"/>
          <w:szCs w:val="24"/>
          <w:highlight w:val="none"/>
          <w:lang w:val="en-US" w:eastAsia="zh-CN" w:bidi="ar"/>
        </w:rPr>
        <w:t xml:space="preserve">_______ </w:t>
      </w:r>
    </w:p>
    <w:p w14:paraId="10B3C29F">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p>
    <w:p w14:paraId="7239FE13">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日期：</w:t>
      </w:r>
      <w:r>
        <w:rPr>
          <w:rFonts w:hint="default" w:ascii="DejaVuSans" w:hAnsi="DejaVuSans" w:eastAsia="DejaVuSans" w:cs="DejaVuSans"/>
          <w:color w:val="auto"/>
          <w:kern w:val="0"/>
          <w:sz w:val="24"/>
          <w:szCs w:val="24"/>
          <w:highlight w:val="none"/>
          <w:lang w:val="en-US" w:eastAsia="zh-CN" w:bidi="ar"/>
        </w:rPr>
        <w:t>_____</w:t>
      </w:r>
      <w:r>
        <w:rPr>
          <w:rFonts w:hint="eastAsia" w:ascii="宋体" w:hAnsi="宋体" w:eastAsia="宋体" w:cs="宋体"/>
          <w:color w:val="auto"/>
          <w:kern w:val="0"/>
          <w:sz w:val="24"/>
          <w:szCs w:val="24"/>
          <w:highlight w:val="none"/>
          <w:lang w:val="en-US" w:eastAsia="zh-CN" w:bidi="ar"/>
        </w:rPr>
        <w:t>年</w:t>
      </w:r>
      <w:r>
        <w:rPr>
          <w:rFonts w:hint="default" w:ascii="DejaVuSans" w:hAnsi="DejaVuSans" w:eastAsia="DejaVuSans" w:cs="DejaVuSans"/>
          <w:color w:val="auto"/>
          <w:kern w:val="0"/>
          <w:sz w:val="24"/>
          <w:szCs w:val="24"/>
          <w:highlight w:val="none"/>
          <w:lang w:val="en-US" w:eastAsia="zh-CN" w:bidi="ar"/>
        </w:rPr>
        <w:t>______</w:t>
      </w:r>
      <w:r>
        <w:rPr>
          <w:rFonts w:hint="eastAsia" w:ascii="宋体" w:hAnsi="宋体" w:eastAsia="宋体" w:cs="宋体"/>
          <w:color w:val="auto"/>
          <w:kern w:val="0"/>
          <w:sz w:val="24"/>
          <w:szCs w:val="24"/>
          <w:highlight w:val="none"/>
          <w:lang w:val="en-US" w:eastAsia="zh-CN" w:bidi="ar"/>
        </w:rPr>
        <w:t>月</w:t>
      </w:r>
      <w:r>
        <w:rPr>
          <w:rFonts w:hint="default" w:ascii="DejaVuSans" w:hAnsi="DejaVuSans" w:eastAsia="DejaVuSans" w:cs="DejaVuSans"/>
          <w:color w:val="auto"/>
          <w:kern w:val="0"/>
          <w:sz w:val="24"/>
          <w:szCs w:val="24"/>
          <w:highlight w:val="none"/>
          <w:lang w:val="en-US" w:eastAsia="zh-CN" w:bidi="ar"/>
        </w:rPr>
        <w:t>______</w:t>
      </w:r>
      <w:r>
        <w:rPr>
          <w:rFonts w:hint="eastAsia" w:ascii="宋体" w:hAnsi="宋体" w:eastAsia="宋体" w:cs="宋体"/>
          <w:color w:val="auto"/>
          <w:kern w:val="0"/>
          <w:sz w:val="24"/>
          <w:szCs w:val="24"/>
          <w:highlight w:val="none"/>
          <w:lang w:val="en-US" w:eastAsia="zh-CN" w:bidi="ar"/>
        </w:rPr>
        <w:t>日</w:t>
      </w:r>
    </w:p>
    <w:p w14:paraId="6948CD78">
      <w:pPr>
        <w:rPr>
          <w:b/>
          <w:color w:val="auto"/>
          <w:sz w:val="28"/>
          <w:szCs w:val="28"/>
          <w:highlight w:val="none"/>
        </w:rPr>
      </w:pPr>
    </w:p>
    <w:p w14:paraId="04FDD702">
      <w:pPr>
        <w:rPr>
          <w:b/>
          <w:color w:val="auto"/>
          <w:sz w:val="28"/>
          <w:szCs w:val="28"/>
          <w:highlight w:val="none"/>
        </w:rPr>
      </w:pPr>
      <w:r>
        <w:rPr>
          <w:b/>
          <w:color w:val="auto"/>
          <w:sz w:val="28"/>
          <w:szCs w:val="28"/>
          <w:highlight w:val="none"/>
        </w:rPr>
        <w:br w:type="page"/>
      </w:r>
    </w:p>
    <w:p w14:paraId="0EEE8A23">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666" w:name="_Toc29531"/>
      <w:bookmarkStart w:id="667" w:name="_Toc155185925"/>
      <w:bookmarkStart w:id="668" w:name="_Toc9024"/>
      <w:r>
        <w:rPr>
          <w:rFonts w:hint="eastAsia" w:cstheme="majorBidi"/>
          <w:b/>
          <w:bCs/>
          <w:color w:val="auto"/>
          <w:kern w:val="2"/>
          <w:sz w:val="32"/>
          <w:szCs w:val="32"/>
          <w:highlight w:val="none"/>
          <w:lang w:val="en-US" w:eastAsia="zh-CN" w:bidi="ar-SA"/>
        </w:rPr>
        <w:t>三</w:t>
      </w:r>
      <w:r>
        <w:rPr>
          <w:rFonts w:hint="eastAsia" w:eastAsia="宋体" w:asciiTheme="majorHAnsi" w:hAnsiTheme="majorHAnsi" w:cstheme="majorBidi"/>
          <w:b/>
          <w:bCs/>
          <w:color w:val="auto"/>
          <w:kern w:val="2"/>
          <w:sz w:val="32"/>
          <w:szCs w:val="32"/>
          <w:highlight w:val="none"/>
          <w:lang w:val="en-US" w:eastAsia="zh-CN" w:bidi="ar-SA"/>
        </w:rPr>
        <w:t>、授权委托书</w:t>
      </w:r>
      <w:bookmarkEnd w:id="666"/>
      <w:bookmarkEnd w:id="667"/>
      <w:bookmarkEnd w:id="668"/>
    </w:p>
    <w:p w14:paraId="593F068D">
      <w:pPr>
        <w:ind w:firstLine="480" w:firstLineChars="200"/>
        <w:rPr>
          <w:rFonts w:cs="仿宋_GB2312"/>
          <w:color w:val="auto"/>
          <w:szCs w:val="24"/>
          <w:highlight w:val="none"/>
        </w:rPr>
      </w:pPr>
      <w:r>
        <w:rPr>
          <w:rFonts w:hint="eastAsia" w:cs="仿宋_GB2312"/>
          <w:color w:val="auto"/>
          <w:szCs w:val="24"/>
          <w:highlight w:val="none"/>
        </w:rPr>
        <w:t>本人</w:t>
      </w:r>
      <w:r>
        <w:rPr>
          <w:rFonts w:cs="仿宋_GB2312"/>
          <w:color w:val="auto"/>
          <w:szCs w:val="24"/>
          <w:highlight w:val="none"/>
          <w:u w:val="single"/>
        </w:rPr>
        <w:t xml:space="preserve">     </w:t>
      </w:r>
      <w:r>
        <w:rPr>
          <w:rFonts w:hint="eastAsia" w:cs="仿宋_GB2312"/>
          <w:color w:val="auto"/>
          <w:szCs w:val="24"/>
          <w:highlight w:val="none"/>
          <w:u w:val="none"/>
        </w:rPr>
        <w:t>（姓名）</w:t>
      </w:r>
      <w:r>
        <w:rPr>
          <w:rFonts w:hint="eastAsia" w:cs="仿宋_GB2312"/>
          <w:color w:val="auto"/>
          <w:szCs w:val="24"/>
          <w:highlight w:val="none"/>
        </w:rPr>
        <w:t>系</w:t>
      </w:r>
      <w:r>
        <w:rPr>
          <w:rFonts w:hint="eastAsia" w:cs="仿宋_GB2312"/>
          <w:color w:val="auto"/>
          <w:szCs w:val="24"/>
          <w:highlight w:val="none"/>
          <w:u w:val="single"/>
        </w:rPr>
        <w:t xml:space="preserve">   </w:t>
      </w:r>
      <w:r>
        <w:rPr>
          <w:rFonts w:hint="eastAsia" w:cs="仿宋_GB2312"/>
          <w:color w:val="auto"/>
          <w:szCs w:val="24"/>
          <w:highlight w:val="none"/>
          <w:u w:val="single"/>
          <w:lang w:val="en-US" w:eastAsia="zh-CN"/>
        </w:rPr>
        <w:t xml:space="preserve">     </w:t>
      </w:r>
      <w:r>
        <w:rPr>
          <w:rFonts w:hint="eastAsia" w:cs="仿宋_GB2312"/>
          <w:color w:val="auto"/>
          <w:szCs w:val="24"/>
          <w:highlight w:val="none"/>
          <w:u w:val="single"/>
        </w:rPr>
        <w:t xml:space="preserve">  </w:t>
      </w:r>
      <w:r>
        <w:rPr>
          <w:rFonts w:hint="eastAsia" w:cs="仿宋_GB2312"/>
          <w:color w:val="auto"/>
          <w:szCs w:val="24"/>
          <w:highlight w:val="none"/>
          <w:u w:val="none"/>
        </w:rPr>
        <w:t>（投标人名称）</w:t>
      </w:r>
      <w:r>
        <w:rPr>
          <w:rFonts w:hint="eastAsia" w:cs="仿宋_GB2312"/>
          <w:color w:val="auto"/>
          <w:szCs w:val="24"/>
          <w:highlight w:val="none"/>
        </w:rPr>
        <w:t>的法定代表人</w:t>
      </w:r>
      <w:r>
        <w:rPr>
          <w:rFonts w:hint="eastAsia"/>
          <w:color w:val="auto"/>
          <w:highlight w:val="none"/>
        </w:rPr>
        <w:t>（</w:t>
      </w:r>
      <w:r>
        <w:rPr>
          <w:rFonts w:hint="eastAsia"/>
          <w:color w:val="auto"/>
          <w:highlight w:val="none"/>
          <w:lang w:val="en-US" w:eastAsia="zh-CN"/>
        </w:rPr>
        <w:t>单位</w:t>
      </w:r>
      <w:r>
        <w:rPr>
          <w:rFonts w:hint="eastAsia"/>
          <w:color w:val="auto"/>
          <w:highlight w:val="none"/>
        </w:rPr>
        <w:t>负责人）</w:t>
      </w:r>
      <w:r>
        <w:rPr>
          <w:rFonts w:hint="eastAsia" w:cs="仿宋_GB2312"/>
          <w:color w:val="auto"/>
          <w:szCs w:val="24"/>
          <w:highlight w:val="none"/>
        </w:rPr>
        <w:t>，现委托</w:t>
      </w:r>
      <w:r>
        <w:rPr>
          <w:rFonts w:hint="eastAsia" w:cs="仿宋_GB2312"/>
          <w:color w:val="auto"/>
          <w:szCs w:val="24"/>
          <w:highlight w:val="none"/>
          <w:u w:val="single"/>
        </w:rPr>
        <w:t xml:space="preserve">     </w:t>
      </w:r>
      <w:r>
        <w:rPr>
          <w:rFonts w:hint="eastAsia" w:cs="仿宋_GB2312"/>
          <w:color w:val="auto"/>
          <w:szCs w:val="24"/>
          <w:highlight w:val="none"/>
        </w:rPr>
        <w:t>（姓名）为我方代理人。代理人根据授权，以我方名义签署、澄清</w:t>
      </w:r>
      <w:r>
        <w:rPr>
          <w:rFonts w:hint="eastAsia" w:cs="仿宋_GB2312"/>
          <w:color w:val="auto"/>
          <w:szCs w:val="24"/>
          <w:highlight w:val="none"/>
          <w:lang w:val="en-US" w:eastAsia="zh-CN"/>
        </w:rPr>
        <w:t>确认</w:t>
      </w:r>
      <w:r>
        <w:rPr>
          <w:rFonts w:hint="eastAsia" w:cs="仿宋_GB2312"/>
          <w:color w:val="auto"/>
          <w:szCs w:val="24"/>
          <w:highlight w:val="none"/>
        </w:rPr>
        <w:t>、说明、补正、递交、撤回、修改</w:t>
      </w:r>
      <w:r>
        <w:rPr>
          <w:rFonts w:hint="eastAsia" w:cs="仿宋_GB2312"/>
          <w:color w:val="auto"/>
          <w:szCs w:val="24"/>
          <w:highlight w:val="none"/>
          <w:u w:val="single"/>
        </w:rPr>
        <w:t xml:space="preserve">   </w:t>
      </w:r>
      <w:r>
        <w:rPr>
          <w:rFonts w:hint="eastAsia" w:cs="仿宋_GB2312"/>
          <w:color w:val="auto"/>
          <w:szCs w:val="24"/>
          <w:highlight w:val="none"/>
          <w:u w:val="single"/>
          <w:lang w:val="en-US" w:eastAsia="zh-CN"/>
        </w:rPr>
        <w:t xml:space="preserve">      </w:t>
      </w:r>
      <w:r>
        <w:rPr>
          <w:rFonts w:hint="eastAsia" w:cs="仿宋_GB2312"/>
          <w:color w:val="auto"/>
          <w:szCs w:val="24"/>
          <w:highlight w:val="none"/>
          <w:u w:val="single"/>
        </w:rPr>
        <w:t xml:space="preserve">  </w:t>
      </w:r>
      <w:r>
        <w:rPr>
          <w:rFonts w:hint="eastAsia" w:cs="仿宋_GB2312"/>
          <w:color w:val="auto"/>
          <w:szCs w:val="24"/>
          <w:highlight w:val="none"/>
        </w:rPr>
        <w:t>（项目名称）投标文件、签订合同和处理有关事宜，其法律后果由我方承担。</w:t>
      </w:r>
    </w:p>
    <w:p w14:paraId="56B80D1C">
      <w:pPr>
        <w:ind w:firstLine="480" w:firstLineChars="200"/>
        <w:rPr>
          <w:rFonts w:hint="eastAsia" w:cs="仿宋_GB2312"/>
          <w:color w:val="auto"/>
          <w:szCs w:val="24"/>
          <w:highlight w:val="none"/>
        </w:rPr>
      </w:pPr>
      <w:r>
        <w:rPr>
          <w:rFonts w:hint="eastAsia" w:cs="仿宋_GB2312"/>
          <w:color w:val="auto"/>
          <w:szCs w:val="24"/>
          <w:highlight w:val="none"/>
        </w:rPr>
        <w:t>委托期限：</w:t>
      </w:r>
      <w:r>
        <w:rPr>
          <w:rFonts w:hint="eastAsia" w:cs="仿宋_GB2312"/>
          <w:color w:val="auto"/>
          <w:szCs w:val="24"/>
          <w:highlight w:val="none"/>
          <w:lang w:val="en-US" w:eastAsia="zh-CN"/>
        </w:rPr>
        <w:t>自本授权委托书签署之日起至投标有效期届满之日止。</w:t>
      </w:r>
    </w:p>
    <w:p w14:paraId="0A605ABE">
      <w:pPr>
        <w:ind w:firstLine="480" w:firstLineChars="200"/>
        <w:rPr>
          <w:rFonts w:cs="仿宋_GB2312"/>
          <w:color w:val="auto"/>
          <w:szCs w:val="24"/>
          <w:highlight w:val="none"/>
        </w:rPr>
      </w:pPr>
      <w:r>
        <w:rPr>
          <w:rFonts w:hint="eastAsia" w:cs="仿宋_GB2312"/>
          <w:color w:val="auto"/>
          <w:szCs w:val="24"/>
          <w:highlight w:val="none"/>
        </w:rPr>
        <w:t>代理人无转委托权。</w:t>
      </w:r>
    </w:p>
    <w:p w14:paraId="03C5EAD4">
      <w:pPr>
        <w:keepNext w:val="0"/>
        <w:keepLines w:val="0"/>
        <w:pageBreakBefore w:val="0"/>
        <w:widowControl w:val="0"/>
        <w:kinsoku/>
        <w:wordWrap/>
        <w:overflowPunct/>
        <w:topLinePunct w:val="0"/>
        <w:autoSpaceDE/>
        <w:autoSpaceDN/>
        <w:bidi w:val="0"/>
        <w:adjustRightInd/>
        <w:snapToGrid/>
        <w:spacing w:line="240" w:lineRule="exact"/>
        <w:ind w:firstLine="480" w:firstLineChars="200"/>
        <w:textAlignment w:val="auto"/>
        <w:rPr>
          <w:rFonts w:hint="eastAsia" w:cs="仿宋_GB2312"/>
          <w:color w:val="auto"/>
          <w:szCs w:val="24"/>
          <w:highlight w:val="none"/>
        </w:rPr>
      </w:pPr>
    </w:p>
    <w:p w14:paraId="27333291">
      <w:pPr>
        <w:keepNext w:val="0"/>
        <w:keepLines w:val="0"/>
        <w:pageBreakBefore w:val="0"/>
        <w:widowControl/>
        <w:suppressLineNumbers w:val="0"/>
        <w:kinsoku/>
        <w:wordWrap/>
        <w:overflowPunct/>
        <w:topLinePunct w:val="0"/>
        <w:autoSpaceDE/>
        <w:autoSpaceDN/>
        <w:bidi w:val="0"/>
        <w:adjustRightInd/>
        <w:snapToGrid/>
        <w:jc w:val="left"/>
        <w:textAlignment w:val="auto"/>
        <w:rPr>
          <w:color w:val="auto"/>
          <w:highlight w:val="none"/>
        </w:rPr>
      </w:pPr>
      <w:r>
        <w:rPr>
          <w:rFonts w:hint="eastAsia" w:ascii="宋体" w:hAnsi="宋体" w:eastAsia="宋体" w:cs="宋体"/>
          <w:color w:val="auto"/>
          <w:kern w:val="0"/>
          <w:sz w:val="24"/>
          <w:szCs w:val="24"/>
          <w:highlight w:val="none"/>
          <w:lang w:val="en-US" w:eastAsia="zh-CN" w:bidi="ar"/>
        </w:rPr>
        <w:t>投标人名称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ascii="DejaVuSans" w:hAnsi="DejaVuSans" w:eastAsia="DejaVuSans" w:cs="DejaVuSans"/>
          <w:color w:val="auto"/>
          <w:kern w:val="0"/>
          <w:sz w:val="24"/>
          <w:szCs w:val="24"/>
          <w:highlight w:val="none"/>
          <w:lang w:val="en-US" w:eastAsia="zh-CN" w:bidi="ar"/>
        </w:rPr>
        <w:t xml:space="preserve">________________ </w:t>
      </w:r>
    </w:p>
    <w:p w14:paraId="4CD5B2EF">
      <w:pPr>
        <w:keepNext w:val="0"/>
        <w:keepLines w:val="0"/>
        <w:pageBreakBefore w:val="0"/>
        <w:widowControl/>
        <w:suppressLineNumbers w:val="0"/>
        <w:kinsoku/>
        <w:wordWrap/>
        <w:overflowPunct/>
        <w:topLinePunct w:val="0"/>
        <w:autoSpaceDE/>
        <w:autoSpaceDN/>
        <w:bidi w:val="0"/>
        <w:adjustRightInd/>
        <w:snapToGrid/>
        <w:jc w:val="left"/>
        <w:textAlignment w:val="auto"/>
        <w:rPr>
          <w:color w:val="auto"/>
          <w:highlight w:val="none"/>
        </w:rPr>
      </w:pPr>
      <w:r>
        <w:rPr>
          <w:rFonts w:hint="eastAsia" w:ascii="宋体" w:hAnsi="宋体" w:eastAsia="宋体" w:cs="宋体"/>
          <w:color w:val="auto"/>
          <w:kern w:val="0"/>
          <w:sz w:val="24"/>
          <w:szCs w:val="24"/>
          <w:highlight w:val="none"/>
          <w:lang w:val="en-US" w:eastAsia="zh-CN" w:bidi="ar"/>
        </w:rPr>
        <w:t>法定代表人（单位负责人）（签字或</w:t>
      </w:r>
      <w:r>
        <w:rPr>
          <w:rFonts w:hint="eastAsia" w:cs="宋体"/>
          <w:color w:val="auto"/>
          <w:kern w:val="0"/>
          <w:sz w:val="24"/>
          <w:szCs w:val="24"/>
          <w:highlight w:val="none"/>
          <w:lang w:eastAsia="zh-CN"/>
        </w:rPr>
        <w:t>盖</w:t>
      </w:r>
      <w:r>
        <w:rPr>
          <w:rFonts w:hint="eastAsia" w:ascii="宋体" w:hAnsi="宋体" w:eastAsia="宋体" w:cs="宋体"/>
          <w:color w:val="auto"/>
          <w:kern w:val="0"/>
          <w:sz w:val="24"/>
          <w:szCs w:val="24"/>
          <w:highlight w:val="none"/>
          <w:lang w:eastAsia="zh-CN"/>
        </w:rPr>
        <w:t>章</w:t>
      </w:r>
      <w:r>
        <w:rPr>
          <w:rFonts w:hint="eastAsia" w:ascii="宋体" w:hAnsi="宋体" w:eastAsia="宋体" w:cs="宋体"/>
          <w:color w:val="auto"/>
          <w:kern w:val="0"/>
          <w:sz w:val="24"/>
          <w:szCs w:val="24"/>
          <w:highlight w:val="none"/>
          <w:lang w:val="en-US" w:eastAsia="zh-CN" w:bidi="ar"/>
        </w:rPr>
        <w:t>）：</w:t>
      </w:r>
      <w:r>
        <w:rPr>
          <w:rFonts w:hint="default" w:ascii="DejaVuSans" w:hAnsi="DejaVuSans" w:eastAsia="DejaVuSans" w:cs="DejaVuSans"/>
          <w:color w:val="auto"/>
          <w:kern w:val="0"/>
          <w:sz w:val="24"/>
          <w:szCs w:val="24"/>
          <w:highlight w:val="none"/>
          <w:lang w:val="en-US" w:eastAsia="zh-CN" w:bidi="ar"/>
        </w:rPr>
        <w:t xml:space="preserve">________________ </w:t>
      </w:r>
    </w:p>
    <w:p w14:paraId="77AA3C36">
      <w:pPr>
        <w:keepNext w:val="0"/>
        <w:keepLines w:val="0"/>
        <w:pageBreakBefore w:val="0"/>
        <w:widowControl/>
        <w:suppressLineNumbers w:val="0"/>
        <w:kinsoku/>
        <w:wordWrap/>
        <w:overflowPunct/>
        <w:topLinePunct w:val="0"/>
        <w:autoSpaceDE/>
        <w:autoSpaceDN/>
        <w:bidi w:val="0"/>
        <w:adjustRightInd/>
        <w:snapToGrid/>
        <w:jc w:val="left"/>
        <w:textAlignment w:val="auto"/>
        <w:rPr>
          <w:color w:val="auto"/>
          <w:highlight w:val="none"/>
        </w:rPr>
      </w:pPr>
      <w:r>
        <w:rPr>
          <w:rFonts w:hint="eastAsia" w:ascii="宋体" w:hAnsi="宋体" w:eastAsia="宋体" w:cs="宋体"/>
          <w:color w:val="auto"/>
          <w:kern w:val="0"/>
          <w:sz w:val="24"/>
          <w:szCs w:val="24"/>
          <w:highlight w:val="none"/>
          <w:lang w:val="en-US" w:eastAsia="zh-CN" w:bidi="ar"/>
        </w:rPr>
        <w:t>委托代理人（签字或</w:t>
      </w:r>
      <w:r>
        <w:rPr>
          <w:rFonts w:hint="eastAsia" w:cs="宋体"/>
          <w:color w:val="auto"/>
          <w:kern w:val="0"/>
          <w:sz w:val="24"/>
          <w:szCs w:val="24"/>
          <w:highlight w:val="none"/>
          <w:lang w:eastAsia="zh-CN"/>
        </w:rPr>
        <w:t>盖</w:t>
      </w:r>
      <w:r>
        <w:rPr>
          <w:rFonts w:hint="eastAsia" w:ascii="宋体" w:hAnsi="宋体" w:eastAsia="宋体" w:cs="宋体"/>
          <w:color w:val="auto"/>
          <w:kern w:val="0"/>
          <w:sz w:val="24"/>
          <w:szCs w:val="24"/>
          <w:highlight w:val="none"/>
          <w:lang w:eastAsia="zh-CN"/>
        </w:rPr>
        <w:t>章</w:t>
      </w:r>
      <w:r>
        <w:rPr>
          <w:rFonts w:hint="eastAsia" w:ascii="宋体" w:hAnsi="宋体" w:eastAsia="宋体" w:cs="宋体"/>
          <w:color w:val="auto"/>
          <w:kern w:val="0"/>
          <w:sz w:val="24"/>
          <w:szCs w:val="24"/>
          <w:highlight w:val="none"/>
          <w:lang w:val="en-US" w:eastAsia="zh-CN" w:bidi="ar"/>
        </w:rPr>
        <w:t>）：</w:t>
      </w:r>
      <w:r>
        <w:rPr>
          <w:rFonts w:hint="default" w:ascii="DejaVuSans" w:hAnsi="DejaVuSans" w:eastAsia="DejaVuSans" w:cs="DejaVuSans"/>
          <w:color w:val="auto"/>
          <w:kern w:val="0"/>
          <w:sz w:val="24"/>
          <w:szCs w:val="24"/>
          <w:highlight w:val="none"/>
          <w:lang w:val="en-US" w:eastAsia="zh-CN" w:bidi="ar"/>
        </w:rPr>
        <w:t xml:space="preserve">________________ </w:t>
      </w:r>
      <w:r>
        <w:rPr>
          <w:rFonts w:hint="eastAsia" w:ascii="DejaVuSans" w:hAnsi="DejaVuSans" w:eastAsia="DejaVuSans" w:cs="DejaVuSans"/>
          <w:color w:val="auto"/>
          <w:kern w:val="0"/>
          <w:sz w:val="24"/>
          <w:szCs w:val="24"/>
          <w:highlight w:val="none"/>
          <w:lang w:val="en-US" w:eastAsia="zh-CN" w:bidi="ar"/>
        </w:rPr>
        <w:t xml:space="preserve">   联系电话：</w:t>
      </w:r>
      <w:r>
        <w:rPr>
          <w:rFonts w:hint="eastAsia" w:ascii="DejaVuSans" w:hAnsi="DejaVuSans" w:eastAsia="DejaVuSans" w:cs="DejaVuSans"/>
          <w:color w:val="auto"/>
          <w:kern w:val="0"/>
          <w:sz w:val="24"/>
          <w:szCs w:val="24"/>
          <w:highlight w:val="none"/>
          <w:u w:val="single"/>
          <w:lang w:val="en-US" w:eastAsia="zh-CN" w:bidi="ar"/>
        </w:rPr>
        <w:t xml:space="preserve">               </w:t>
      </w:r>
      <w:r>
        <w:rPr>
          <w:rFonts w:hint="default" w:ascii="DejaVuSans" w:hAnsi="DejaVuSans" w:eastAsia="DejaVuSans" w:cs="DejaVuSans"/>
          <w:color w:val="auto"/>
          <w:kern w:val="0"/>
          <w:sz w:val="24"/>
          <w:szCs w:val="24"/>
          <w:highlight w:val="none"/>
          <w:lang w:val="en-US" w:eastAsia="zh-CN" w:bidi="ar"/>
        </w:rPr>
        <w:t xml:space="preserve"> </w:t>
      </w:r>
    </w:p>
    <w:p w14:paraId="4FD66B47">
      <w:pPr>
        <w:keepNext w:val="0"/>
        <w:keepLines w:val="0"/>
        <w:pageBreakBefore w:val="0"/>
        <w:widowControl/>
        <w:suppressLineNumbers w:val="0"/>
        <w:kinsoku/>
        <w:wordWrap/>
        <w:overflowPunct/>
        <w:topLinePunct w:val="0"/>
        <w:autoSpaceDE/>
        <w:autoSpaceDN/>
        <w:bidi w:val="0"/>
        <w:adjustRightInd/>
        <w:snapToGrid/>
        <w:jc w:val="left"/>
        <w:textAlignment w:val="auto"/>
        <w:rPr>
          <w:color w:val="auto"/>
          <w:highlight w:val="none"/>
        </w:rPr>
      </w:pPr>
      <w:r>
        <w:rPr>
          <w:rFonts w:hint="eastAsia" w:ascii="宋体" w:hAnsi="宋体" w:eastAsia="宋体" w:cs="宋体"/>
          <w:color w:val="auto"/>
          <w:kern w:val="0"/>
          <w:sz w:val="24"/>
          <w:szCs w:val="24"/>
          <w:highlight w:val="none"/>
          <w:lang w:val="en-US" w:eastAsia="zh-CN" w:bidi="ar"/>
        </w:rPr>
        <w:t>日期：</w:t>
      </w:r>
      <w:r>
        <w:rPr>
          <w:rFonts w:hint="default" w:ascii="DejaVuSans" w:hAnsi="DejaVuSans" w:eastAsia="DejaVuSans" w:cs="DejaVuSans"/>
          <w:color w:val="auto"/>
          <w:kern w:val="0"/>
          <w:sz w:val="24"/>
          <w:szCs w:val="24"/>
          <w:highlight w:val="none"/>
          <w:lang w:val="en-US" w:eastAsia="zh-CN" w:bidi="ar"/>
        </w:rPr>
        <w:t>_____</w:t>
      </w:r>
      <w:r>
        <w:rPr>
          <w:rFonts w:hint="eastAsia" w:ascii="宋体" w:hAnsi="宋体" w:eastAsia="宋体" w:cs="宋体"/>
          <w:color w:val="auto"/>
          <w:kern w:val="0"/>
          <w:sz w:val="24"/>
          <w:szCs w:val="24"/>
          <w:highlight w:val="none"/>
          <w:lang w:val="en-US" w:eastAsia="zh-CN" w:bidi="ar"/>
        </w:rPr>
        <w:t>年</w:t>
      </w:r>
      <w:r>
        <w:rPr>
          <w:rFonts w:hint="default" w:ascii="DejaVuSans" w:hAnsi="DejaVuSans" w:eastAsia="DejaVuSans" w:cs="DejaVuSans"/>
          <w:color w:val="auto"/>
          <w:kern w:val="0"/>
          <w:sz w:val="24"/>
          <w:szCs w:val="24"/>
          <w:highlight w:val="none"/>
          <w:lang w:val="en-US" w:eastAsia="zh-CN" w:bidi="ar"/>
        </w:rPr>
        <w:t>______</w:t>
      </w:r>
      <w:r>
        <w:rPr>
          <w:rFonts w:hint="eastAsia" w:ascii="宋体" w:hAnsi="宋体" w:eastAsia="宋体" w:cs="宋体"/>
          <w:color w:val="auto"/>
          <w:kern w:val="0"/>
          <w:sz w:val="24"/>
          <w:szCs w:val="24"/>
          <w:highlight w:val="none"/>
          <w:lang w:val="en-US" w:eastAsia="zh-CN" w:bidi="ar"/>
        </w:rPr>
        <w:t>月</w:t>
      </w:r>
      <w:r>
        <w:rPr>
          <w:rFonts w:hint="default" w:ascii="DejaVuSans" w:hAnsi="DejaVuSans" w:eastAsia="DejaVuSans" w:cs="DejaVuSans"/>
          <w:color w:val="auto"/>
          <w:kern w:val="0"/>
          <w:sz w:val="24"/>
          <w:szCs w:val="24"/>
          <w:highlight w:val="none"/>
          <w:lang w:val="en-US" w:eastAsia="zh-CN" w:bidi="ar"/>
        </w:rPr>
        <w:t>______</w:t>
      </w:r>
      <w:r>
        <w:rPr>
          <w:rFonts w:hint="eastAsia" w:ascii="宋体" w:hAnsi="宋体" w:eastAsia="宋体" w:cs="宋体"/>
          <w:color w:val="auto"/>
          <w:kern w:val="0"/>
          <w:sz w:val="24"/>
          <w:szCs w:val="24"/>
          <w:highlight w:val="none"/>
          <w:lang w:val="en-US" w:eastAsia="zh-CN" w:bidi="ar"/>
        </w:rPr>
        <w:t xml:space="preserve">日 </w:t>
      </w:r>
    </w:p>
    <w:p w14:paraId="0D7E210D">
      <w:pPr>
        <w:keepNext w:val="0"/>
        <w:keepLines w:val="0"/>
        <w:pageBreakBefore w:val="0"/>
        <w:widowControl w:val="0"/>
        <w:kinsoku/>
        <w:wordWrap/>
        <w:overflowPunct/>
        <w:topLinePunct w:val="0"/>
        <w:autoSpaceDE/>
        <w:autoSpaceDN/>
        <w:bidi w:val="0"/>
        <w:adjustRightInd/>
        <w:snapToGrid/>
        <w:spacing w:line="240" w:lineRule="exact"/>
        <w:ind w:firstLine="480" w:firstLineChars="200"/>
        <w:textAlignment w:val="auto"/>
        <w:rPr>
          <w:rFonts w:hint="eastAsia" w:cs="仿宋_GB2312"/>
          <w:color w:val="auto"/>
          <w:szCs w:val="24"/>
          <w:highlight w:val="none"/>
          <w:lang w:val="en-US" w:eastAsia="zh-CN"/>
        </w:rPr>
      </w:pPr>
    </w:p>
    <w:p w14:paraId="7CE346A7">
      <w:pPr>
        <w:keepNext w:val="0"/>
        <w:keepLines w:val="0"/>
        <w:pageBreakBefore w:val="0"/>
        <w:widowControl/>
        <w:suppressLineNumbers w:val="0"/>
        <w:kinsoku/>
        <w:wordWrap/>
        <w:overflowPunct/>
        <w:topLinePunct w:val="0"/>
        <w:autoSpaceDE/>
        <w:autoSpaceDN/>
        <w:bidi w:val="0"/>
        <w:adjustRightInd/>
        <w:snapToGrid/>
        <w:jc w:val="left"/>
        <w:textAlignment w:val="auto"/>
        <w:rPr>
          <w:color w:val="auto"/>
          <w:highlight w:val="none"/>
        </w:rPr>
      </w:pPr>
      <w:r>
        <w:rPr>
          <w:rFonts w:hint="eastAsia" w:ascii="宋体" w:hAnsi="宋体" w:eastAsia="宋体" w:cs="宋体"/>
          <w:color w:val="auto"/>
          <w:kern w:val="0"/>
          <w:sz w:val="24"/>
          <w:szCs w:val="24"/>
          <w:highlight w:val="none"/>
          <w:lang w:val="en-US" w:eastAsia="zh-CN" w:bidi="ar"/>
        </w:rPr>
        <w:t xml:space="preserve">附：法定代表人及委托代理人身份证明文件电子件： </w:t>
      </w:r>
    </w:p>
    <w:tbl>
      <w:tblPr>
        <w:tblStyle w:val="29"/>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7"/>
      </w:tblGrid>
      <w:tr w14:paraId="6A575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1" w:hRule="atLeast"/>
        </w:trPr>
        <w:tc>
          <w:tcPr>
            <w:tcW w:w="8527" w:type="dxa"/>
          </w:tcPr>
          <w:p w14:paraId="66EBC6FA">
            <w:pPr>
              <w:rPr>
                <w:rFonts w:cs="Arial"/>
                <w:color w:val="auto"/>
                <w:highlight w:val="none"/>
              </w:rPr>
            </w:pPr>
          </w:p>
        </w:tc>
      </w:tr>
    </w:tbl>
    <w:p w14:paraId="003FC2D7">
      <w:pPr>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说明： </w:t>
      </w:r>
    </w:p>
    <w:p w14:paraId="6A6FAC65">
      <w:pPr>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1.若投标人为事业单位或其他组织或分支机构，则法定代表人（单位负责人）处的签署人可为单位负责人。 </w:t>
      </w:r>
    </w:p>
    <w:p w14:paraId="7579C425">
      <w:pPr>
        <w:ind w:firstLine="480" w:firstLineChars="200"/>
        <w:rPr>
          <w:rFonts w:hint="eastAsia" w:cs="仿宋_GB2312"/>
          <w:color w:val="auto"/>
          <w:szCs w:val="24"/>
          <w:highlight w:val="none"/>
        </w:rPr>
      </w:pPr>
      <w:r>
        <w:rPr>
          <w:rFonts w:hint="default" w:cs="仿宋_GB2312"/>
          <w:color w:val="auto"/>
          <w:szCs w:val="24"/>
          <w:highlight w:val="none"/>
          <w:lang w:val="en-US" w:eastAsia="zh-CN"/>
        </w:rPr>
        <w:t>2.</w:t>
      </w:r>
      <w:r>
        <w:rPr>
          <w:rFonts w:hint="eastAsia" w:cs="仿宋_GB2312"/>
          <w:color w:val="auto"/>
          <w:szCs w:val="24"/>
          <w:highlight w:val="none"/>
          <w:lang w:val="en-US" w:eastAsia="zh-CN"/>
        </w:rPr>
        <w:t xml:space="preserve">若投标文件中签字之处均为法定代表人（单位负责人）本人签署，则可不提供本《授权委托书》，但须提供《法定代表人（单位负责人）身份证明》。 </w:t>
      </w:r>
    </w:p>
    <w:p w14:paraId="7D81952A">
      <w:pPr>
        <w:ind w:firstLine="480" w:firstLineChars="200"/>
        <w:rPr>
          <w:rFonts w:hint="eastAsia" w:cs="仿宋_GB2312"/>
          <w:color w:val="auto"/>
          <w:szCs w:val="24"/>
          <w:highlight w:val="none"/>
        </w:rPr>
      </w:pPr>
      <w:r>
        <w:rPr>
          <w:rFonts w:hint="default" w:cs="仿宋_GB2312"/>
          <w:color w:val="auto"/>
          <w:szCs w:val="24"/>
          <w:highlight w:val="none"/>
          <w:lang w:val="en-US" w:eastAsia="zh-CN"/>
        </w:rPr>
        <w:t>3.</w:t>
      </w:r>
      <w:r>
        <w:rPr>
          <w:rFonts w:hint="eastAsia" w:cs="仿宋_GB2312"/>
          <w:color w:val="auto"/>
          <w:szCs w:val="24"/>
          <w:highlight w:val="none"/>
          <w:lang w:val="en-US" w:eastAsia="zh-CN"/>
        </w:rPr>
        <w:t xml:space="preserve">投标人为自然人的情形，可不提供本《授权委托书》。 </w:t>
      </w:r>
    </w:p>
    <w:p w14:paraId="16E91B57">
      <w:pPr>
        <w:ind w:firstLine="480" w:firstLineChars="200"/>
        <w:rPr>
          <w:rFonts w:hint="eastAsia" w:cs="仿宋_GB2312"/>
          <w:color w:val="auto"/>
          <w:szCs w:val="24"/>
          <w:highlight w:val="none"/>
        </w:rPr>
      </w:pPr>
      <w:r>
        <w:rPr>
          <w:rFonts w:hint="default" w:cs="仿宋_GB2312"/>
          <w:color w:val="auto"/>
          <w:szCs w:val="24"/>
          <w:highlight w:val="none"/>
          <w:lang w:val="en-US" w:eastAsia="zh-CN"/>
        </w:rPr>
        <w:t>4.</w:t>
      </w:r>
      <w:r>
        <w:rPr>
          <w:rFonts w:hint="eastAsia" w:cs="仿宋_GB2312"/>
          <w:color w:val="auto"/>
          <w:szCs w:val="24"/>
          <w:highlight w:val="none"/>
          <w:lang w:val="en-US" w:eastAsia="zh-CN"/>
        </w:rPr>
        <w:t>投标人应随本《授权委托书》同时提供法定代表人（单位负责人）及委托代理人的有效的身份证、护照等身份证明文件电子件。提供身份证的，应同时提供身份证</w:t>
      </w:r>
      <w:r>
        <w:rPr>
          <w:rFonts w:hint="eastAsia" w:cs="仿宋_GB2312"/>
          <w:b/>
          <w:bCs/>
          <w:color w:val="auto"/>
          <w:szCs w:val="24"/>
          <w:highlight w:val="none"/>
          <w:lang w:val="en-US" w:eastAsia="zh-CN"/>
        </w:rPr>
        <w:t>双面</w:t>
      </w:r>
      <w:r>
        <w:rPr>
          <w:rFonts w:hint="eastAsia" w:cs="仿宋_GB2312"/>
          <w:color w:val="auto"/>
          <w:szCs w:val="24"/>
          <w:highlight w:val="none"/>
          <w:lang w:val="en-US" w:eastAsia="zh-CN"/>
        </w:rPr>
        <w:t>电子件。</w:t>
      </w:r>
    </w:p>
    <w:p w14:paraId="0B2EBA16">
      <w:pPr>
        <w:rPr>
          <w:color w:val="auto"/>
          <w:highlight w:val="none"/>
        </w:rPr>
      </w:pPr>
      <w:r>
        <w:rPr>
          <w:color w:val="auto"/>
          <w:highlight w:val="none"/>
        </w:rPr>
        <w:br w:type="page"/>
      </w:r>
    </w:p>
    <w:p w14:paraId="117D25C9">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669" w:name="_Toc155185934"/>
      <w:bookmarkStart w:id="670" w:name="_Toc163492928"/>
      <w:bookmarkStart w:id="671" w:name="_Toc30910"/>
      <w:bookmarkStart w:id="672" w:name="_Toc28878"/>
      <w:r>
        <w:rPr>
          <w:rFonts w:hint="eastAsia" w:cstheme="majorBidi"/>
          <w:b/>
          <w:bCs/>
          <w:color w:val="auto"/>
          <w:kern w:val="2"/>
          <w:sz w:val="32"/>
          <w:szCs w:val="32"/>
          <w:highlight w:val="none"/>
          <w:lang w:val="en-US" w:eastAsia="zh-CN" w:bidi="ar-SA"/>
        </w:rPr>
        <w:t>四</w:t>
      </w:r>
      <w:r>
        <w:rPr>
          <w:rFonts w:hint="eastAsia" w:eastAsia="宋体" w:asciiTheme="majorHAnsi" w:hAnsiTheme="majorHAnsi" w:cstheme="majorBidi"/>
          <w:b/>
          <w:bCs/>
          <w:color w:val="auto"/>
          <w:kern w:val="2"/>
          <w:sz w:val="32"/>
          <w:szCs w:val="32"/>
          <w:highlight w:val="none"/>
          <w:lang w:val="en-US" w:eastAsia="zh-CN" w:bidi="ar-SA"/>
        </w:rPr>
        <w:t>、</w:t>
      </w:r>
      <w:bookmarkEnd w:id="669"/>
      <w:bookmarkEnd w:id="670"/>
      <w:r>
        <w:rPr>
          <w:rFonts w:hint="eastAsia" w:eastAsia="宋体" w:asciiTheme="majorHAnsi" w:hAnsiTheme="majorHAnsi" w:cstheme="majorBidi"/>
          <w:b/>
          <w:bCs/>
          <w:color w:val="auto"/>
          <w:kern w:val="2"/>
          <w:sz w:val="32"/>
          <w:szCs w:val="32"/>
          <w:highlight w:val="none"/>
          <w:lang w:val="zh-CN" w:eastAsia="zh-CN" w:bidi="ar-SA"/>
        </w:rPr>
        <w:t>政府采购</w:t>
      </w:r>
      <w:r>
        <w:rPr>
          <w:rFonts w:hint="eastAsia" w:cstheme="majorBidi"/>
          <w:b/>
          <w:bCs/>
          <w:color w:val="auto"/>
          <w:kern w:val="2"/>
          <w:sz w:val="32"/>
          <w:szCs w:val="32"/>
          <w:highlight w:val="none"/>
          <w:lang w:val="en-US" w:eastAsia="zh-CN" w:bidi="ar-SA"/>
        </w:rPr>
        <w:t>投标人</w:t>
      </w:r>
      <w:r>
        <w:rPr>
          <w:rFonts w:hint="eastAsia" w:eastAsia="宋体" w:asciiTheme="majorHAnsi" w:hAnsiTheme="majorHAnsi" w:cstheme="majorBidi"/>
          <w:b/>
          <w:bCs/>
          <w:color w:val="auto"/>
          <w:kern w:val="2"/>
          <w:sz w:val="32"/>
          <w:szCs w:val="32"/>
          <w:highlight w:val="none"/>
          <w:lang w:val="zh-CN" w:eastAsia="zh-CN" w:bidi="ar-SA"/>
        </w:rPr>
        <w:t>廉洁自律承诺书</w:t>
      </w:r>
      <w:bookmarkEnd w:id="671"/>
      <w:bookmarkEnd w:id="672"/>
    </w:p>
    <w:p w14:paraId="2AB445CF">
      <w:pPr>
        <w:pStyle w:val="13"/>
        <w:rPr>
          <w:color w:val="auto"/>
          <w:highlight w:val="none"/>
        </w:rPr>
      </w:pPr>
    </w:p>
    <w:p w14:paraId="2CE177B4">
      <w:pPr>
        <w:snapToGrid w:val="0"/>
        <w:spacing w:line="360" w:lineRule="auto"/>
        <w:rPr>
          <w:rFonts w:ascii="宋体" w:hAnsi="宋体" w:cs="宋体"/>
          <w:color w:val="auto"/>
          <w:kern w:val="0"/>
          <w:sz w:val="24"/>
          <w:szCs w:val="24"/>
          <w:highlight w:val="none"/>
        </w:rPr>
      </w:pPr>
      <w:r>
        <w:rPr>
          <w:rFonts w:hint="eastAsia" w:ascii="宋体" w:hAnsi="宋体" w:cs="宋体"/>
          <w:color w:val="auto"/>
          <w:sz w:val="24"/>
          <w:szCs w:val="24"/>
          <w:highlight w:val="none"/>
        </w:rPr>
        <w:t>（采购人）、（采购代理机构）</w:t>
      </w:r>
      <w:r>
        <w:rPr>
          <w:rFonts w:hint="eastAsia" w:ascii="宋体" w:hAnsi="宋体" w:cs="宋体"/>
          <w:color w:val="auto"/>
          <w:kern w:val="0"/>
          <w:sz w:val="24"/>
          <w:szCs w:val="24"/>
          <w:highlight w:val="none"/>
          <w:lang w:val="zh-CN"/>
        </w:rPr>
        <w:t>：</w:t>
      </w:r>
    </w:p>
    <w:p w14:paraId="2139BFB4">
      <w:pPr>
        <w:autoSpaceDE w:val="0"/>
        <w:autoSpaceDN w:val="0"/>
        <w:spacing w:line="360" w:lineRule="auto"/>
        <w:ind w:left="2" w:leftChars="1" w:firstLine="480" w:firstLineChars="200"/>
        <w:jc w:val="left"/>
        <w:rPr>
          <w:rFonts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我单位响应你</w:t>
      </w:r>
      <w:r>
        <w:rPr>
          <w:rFonts w:hint="eastAsia" w:ascii="宋体" w:hAnsi="宋体" w:cs="宋体"/>
          <w:color w:val="auto"/>
          <w:sz w:val="24"/>
          <w:szCs w:val="24"/>
          <w:highlight w:val="none"/>
        </w:rPr>
        <w:t>单位</w:t>
      </w:r>
      <w:r>
        <w:rPr>
          <w:rFonts w:hint="eastAsia" w:ascii="宋体" w:hAnsi="宋体" w:cs="宋体"/>
          <w:color w:val="auto"/>
          <w:kern w:val="0"/>
          <w:sz w:val="24"/>
          <w:szCs w:val="24"/>
          <w:highlight w:val="none"/>
          <w:lang w:val="zh-CN"/>
        </w:rPr>
        <w:t>项目招标</w:t>
      </w:r>
      <w:r>
        <w:rPr>
          <w:rFonts w:hint="eastAsia" w:ascii="宋体" w:hAnsi="宋体" w:cs="宋体"/>
          <w:color w:val="auto"/>
          <w:kern w:val="0"/>
          <w:sz w:val="24"/>
          <w:szCs w:val="24"/>
          <w:highlight w:val="none"/>
          <w:lang w:val="en-US" w:eastAsia="zh-CN"/>
        </w:rPr>
        <w:t>文件</w:t>
      </w:r>
      <w:r>
        <w:rPr>
          <w:rFonts w:hint="eastAsia" w:ascii="宋体" w:hAnsi="宋体" w:cs="宋体"/>
          <w:color w:val="auto"/>
          <w:kern w:val="0"/>
          <w:sz w:val="24"/>
          <w:szCs w:val="24"/>
          <w:highlight w:val="none"/>
          <w:lang w:val="zh-CN"/>
        </w:rPr>
        <w:t>要求参加投标。在这次投标过程中和中标后，我们将严格遵守国家法律法规要求，并郑重承诺：</w:t>
      </w:r>
    </w:p>
    <w:p w14:paraId="2B87D13C">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 xml:space="preserve">一、不向项目有关人员及部门赠送礼金礼物、有价证券、回扣以及中介费、介绍费、咨询费等好处费； </w:t>
      </w:r>
    </w:p>
    <w:p w14:paraId="063D62B4">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 xml:space="preserve">二、不为项目有关人员及部门报销应由你方单位或个人支付的费用； </w:t>
      </w:r>
    </w:p>
    <w:p w14:paraId="5ADDE615">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三、不向项目有关人员及部门提供有可能影响公正的宴请和健身娱乐等活动；</w:t>
      </w:r>
    </w:p>
    <w:p w14:paraId="6B70337F">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四、不为项目有关人员及部门出国（境）、旅游等提供方便；</w:t>
      </w:r>
    </w:p>
    <w:p w14:paraId="6421E616">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五、不为项目有关人员个人装修住房、婚丧嫁娶、配偶子女工作安排等提供好处；</w:t>
      </w:r>
    </w:p>
    <w:p w14:paraId="663761CE">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六、严格遵守《中华人民共和国政府采购法》</w:t>
      </w:r>
      <w:r>
        <w:rPr>
          <w:rFonts w:hint="eastAsia"/>
          <w:color w:val="auto"/>
          <w:highlight w:val="none"/>
        </w:rPr>
        <w:t>《中华人民共和国政府采购法</w:t>
      </w:r>
      <w:r>
        <w:rPr>
          <w:rFonts w:hint="eastAsia"/>
          <w:color w:val="auto"/>
          <w:highlight w:val="none"/>
          <w:lang w:val="en-US" w:eastAsia="zh-CN"/>
        </w:rPr>
        <w:t>实施条例</w:t>
      </w:r>
      <w:r>
        <w:rPr>
          <w:rFonts w:hint="eastAsia"/>
          <w:color w:val="auto"/>
          <w:highlight w:val="none"/>
        </w:rPr>
        <w:t>》</w:t>
      </w:r>
      <w:r>
        <w:rPr>
          <w:rFonts w:hint="eastAsia" w:ascii="宋体" w:hAnsi="宋体" w:cs="宋体"/>
          <w:color w:val="auto"/>
          <w:kern w:val="0"/>
          <w:sz w:val="24"/>
          <w:szCs w:val="24"/>
          <w:highlight w:val="none"/>
          <w:lang w:val="zh-CN"/>
        </w:rPr>
        <w:t xml:space="preserve">《中华人民共和国民法典》等法律法规，诚实守信，合法经营，坚决抵制各种违法违纪行为。 </w:t>
      </w:r>
    </w:p>
    <w:p w14:paraId="5C8FD2B8">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如违反上述承诺，你单位有权立即取消我单位投标、中标或在建项目的建设资格，有权拒绝我单位在一定时期内进入你单位进行项目建设或其他经营活动，并通报</w:t>
      </w:r>
      <w:r>
        <w:rPr>
          <w:rFonts w:hint="eastAsia" w:cs="宋体"/>
          <w:color w:val="auto"/>
          <w:kern w:val="0"/>
          <w:sz w:val="24"/>
          <w:szCs w:val="24"/>
          <w:highlight w:val="none"/>
          <w:lang w:val="en-US" w:eastAsia="zh-CN"/>
        </w:rPr>
        <w:t>兵团</w:t>
      </w:r>
      <w:r>
        <w:rPr>
          <w:rFonts w:hint="eastAsia" w:ascii="宋体" w:hAnsi="宋体" w:cs="宋体"/>
          <w:color w:val="auto"/>
          <w:kern w:val="0"/>
          <w:sz w:val="24"/>
          <w:szCs w:val="24"/>
          <w:highlight w:val="none"/>
          <w:lang w:val="zh-CN"/>
        </w:rPr>
        <w:t>财政局。由此引起的相应损失均由我单位承担。</w:t>
      </w:r>
    </w:p>
    <w:p w14:paraId="5E22ECB4">
      <w:pPr>
        <w:autoSpaceDE w:val="0"/>
        <w:autoSpaceDN w:val="0"/>
        <w:spacing w:line="360" w:lineRule="auto"/>
        <w:ind w:left="2"/>
        <w:jc w:val="left"/>
        <w:rPr>
          <w:rFonts w:ascii="宋体" w:hAnsi="宋体" w:cs="宋体"/>
          <w:color w:val="auto"/>
          <w:kern w:val="0"/>
          <w:sz w:val="24"/>
          <w:szCs w:val="24"/>
          <w:highlight w:val="none"/>
          <w:lang w:val="zh-CN"/>
        </w:rPr>
      </w:pPr>
    </w:p>
    <w:p w14:paraId="0914ACDE">
      <w:pPr>
        <w:autoSpaceDE w:val="0"/>
        <w:autoSpaceDN w:val="0"/>
        <w:spacing w:line="360" w:lineRule="auto"/>
        <w:ind w:left="2"/>
        <w:jc w:val="left"/>
        <w:rPr>
          <w:rFonts w:ascii="宋体" w:hAnsi="宋体" w:cs="宋体"/>
          <w:color w:val="auto"/>
          <w:kern w:val="0"/>
          <w:sz w:val="24"/>
          <w:szCs w:val="24"/>
          <w:highlight w:val="none"/>
          <w:lang w:val="zh-CN"/>
        </w:rPr>
      </w:pPr>
    </w:p>
    <w:p w14:paraId="02E01AF0">
      <w:pPr>
        <w:autoSpaceDE w:val="0"/>
        <w:autoSpaceDN w:val="0"/>
        <w:spacing w:line="360" w:lineRule="auto"/>
        <w:ind w:left="2"/>
        <w:jc w:val="left"/>
        <w:rPr>
          <w:rFonts w:ascii="宋体" w:hAnsi="宋体" w:cs="宋体"/>
          <w:color w:val="auto"/>
          <w:kern w:val="0"/>
          <w:sz w:val="24"/>
          <w:szCs w:val="24"/>
          <w:highlight w:val="none"/>
          <w:lang w:val="zh-CN"/>
        </w:rPr>
      </w:pPr>
    </w:p>
    <w:p w14:paraId="3EA46769">
      <w:pPr>
        <w:autoSpaceDE w:val="0"/>
        <w:autoSpaceDN w:val="0"/>
        <w:spacing w:line="360" w:lineRule="auto"/>
        <w:ind w:left="2" w:leftChars="1" w:right="1120" w:firstLine="4560" w:firstLineChars="1900"/>
        <w:jc w:val="left"/>
        <w:rPr>
          <w:rFonts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投标人名称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hint="eastAsia" w:ascii="宋体" w:hAnsi="宋体" w:cs="宋体"/>
          <w:color w:val="auto"/>
          <w:kern w:val="0"/>
          <w:sz w:val="24"/>
          <w:szCs w:val="24"/>
          <w:highlight w:val="none"/>
          <w:lang w:val="zh-CN"/>
        </w:rPr>
        <w:t xml:space="preserve">：                                                                                                                                                                                                               </w:t>
      </w:r>
    </w:p>
    <w:p w14:paraId="0FD8A2DC">
      <w:pPr>
        <w:ind w:firstLine="4560" w:firstLineChars="1900"/>
        <w:rPr>
          <w:rFonts w:hint="eastAsia" w:eastAsia="宋体" w:asciiTheme="majorHAnsi" w:hAnsiTheme="majorHAnsi" w:cstheme="majorBidi"/>
          <w:b/>
          <w:bCs/>
          <w:color w:val="auto"/>
          <w:kern w:val="2"/>
          <w:sz w:val="24"/>
          <w:szCs w:val="24"/>
          <w:highlight w:val="none"/>
          <w:lang w:val="en-US" w:eastAsia="zh-CN" w:bidi="ar-SA"/>
        </w:rPr>
      </w:pPr>
      <w:r>
        <w:rPr>
          <w:rFonts w:hint="eastAsia" w:ascii="宋体" w:hAnsi="宋体" w:cs="宋体"/>
          <w:color w:val="auto"/>
          <w:kern w:val="0"/>
          <w:sz w:val="24"/>
          <w:szCs w:val="24"/>
          <w:highlight w:val="none"/>
          <w:lang w:val="zh-CN"/>
        </w:rPr>
        <w:t>日期</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zh-CN"/>
        </w:rPr>
        <w:t xml:space="preserve">   年   月   日</w:t>
      </w:r>
    </w:p>
    <w:p w14:paraId="5AA40BF9">
      <w:pPr>
        <w:rPr>
          <w:rFonts w:hint="eastAsia" w:eastAsia="宋体" w:asciiTheme="majorHAnsi" w:hAnsiTheme="majorHAnsi" w:cstheme="majorBidi"/>
          <w:b/>
          <w:bCs/>
          <w:color w:val="auto"/>
          <w:kern w:val="2"/>
          <w:sz w:val="24"/>
          <w:szCs w:val="24"/>
          <w:highlight w:val="none"/>
          <w:lang w:val="en-US" w:eastAsia="zh-CN" w:bidi="ar-SA"/>
        </w:rPr>
      </w:pPr>
    </w:p>
    <w:p w14:paraId="2917743B">
      <w:pPr>
        <w:pStyle w:val="13"/>
        <w:rPr>
          <w:rFonts w:hint="eastAsia" w:eastAsia="宋体" w:asciiTheme="majorHAnsi" w:hAnsiTheme="majorHAnsi" w:cstheme="majorBidi"/>
          <w:b/>
          <w:bCs/>
          <w:color w:val="auto"/>
          <w:kern w:val="2"/>
          <w:sz w:val="24"/>
          <w:szCs w:val="24"/>
          <w:highlight w:val="none"/>
          <w:lang w:val="en-US" w:eastAsia="zh-CN" w:bidi="ar-SA"/>
        </w:rPr>
      </w:pPr>
    </w:p>
    <w:p w14:paraId="2CC927CA">
      <w:pPr>
        <w:pStyle w:val="13"/>
        <w:rPr>
          <w:rFonts w:hint="eastAsia" w:eastAsia="宋体" w:asciiTheme="majorHAnsi" w:hAnsiTheme="majorHAnsi" w:cstheme="majorBidi"/>
          <w:b/>
          <w:bCs/>
          <w:color w:val="auto"/>
          <w:kern w:val="2"/>
          <w:sz w:val="24"/>
          <w:szCs w:val="24"/>
          <w:highlight w:val="none"/>
          <w:lang w:val="en-US" w:eastAsia="zh-CN" w:bidi="ar-SA"/>
        </w:rPr>
      </w:pPr>
    </w:p>
    <w:p w14:paraId="18FDCDE0">
      <w:pPr>
        <w:pStyle w:val="13"/>
        <w:rPr>
          <w:rFonts w:hint="eastAsia" w:eastAsia="宋体" w:asciiTheme="majorHAnsi" w:hAnsiTheme="majorHAnsi" w:cstheme="majorBidi"/>
          <w:b/>
          <w:bCs/>
          <w:color w:val="auto"/>
          <w:kern w:val="2"/>
          <w:sz w:val="24"/>
          <w:szCs w:val="24"/>
          <w:highlight w:val="none"/>
          <w:lang w:val="en-US" w:eastAsia="zh-CN" w:bidi="ar-SA"/>
        </w:rPr>
      </w:pPr>
    </w:p>
    <w:p w14:paraId="74E8B7C7">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jc w:val="center"/>
        <w:textAlignment w:val="auto"/>
        <w:rPr>
          <w:rFonts w:hint="default" w:ascii="宋体" w:hAnsi="宋体" w:eastAsia="宋体" w:cstheme="minorBidi"/>
          <w:b/>
          <w:bCs/>
          <w:color w:val="auto"/>
          <w:kern w:val="2"/>
          <w:sz w:val="30"/>
          <w:szCs w:val="32"/>
          <w:highlight w:val="none"/>
          <w:lang w:val="en-US" w:eastAsia="zh-CN" w:bidi="ar-SA"/>
        </w:rPr>
      </w:pPr>
      <w:bookmarkStart w:id="673" w:name="_Toc1633"/>
      <w:r>
        <w:rPr>
          <w:rFonts w:hint="eastAsia" w:eastAsia="宋体" w:asciiTheme="majorHAnsi" w:hAnsiTheme="majorHAnsi" w:cstheme="majorBidi"/>
          <w:b/>
          <w:bCs/>
          <w:color w:val="auto"/>
          <w:kern w:val="2"/>
          <w:sz w:val="32"/>
          <w:szCs w:val="32"/>
          <w:highlight w:val="none"/>
          <w:lang w:val="en-US" w:eastAsia="zh-CN" w:bidi="ar-SA"/>
        </w:rPr>
        <w:t>五、</w:t>
      </w:r>
      <w:r>
        <w:rPr>
          <w:rFonts w:hint="eastAsia" w:eastAsia="宋体" w:asciiTheme="majorHAnsi" w:hAnsiTheme="majorHAnsi" w:cstheme="majorBidi"/>
          <w:b/>
          <w:bCs/>
          <w:color w:val="auto"/>
          <w:kern w:val="2"/>
          <w:sz w:val="32"/>
          <w:szCs w:val="32"/>
          <w:highlight w:val="none"/>
          <w:lang w:val="zh-CN" w:eastAsia="zh-CN" w:bidi="ar-SA"/>
        </w:rPr>
        <w:t>实质性响应一览表</w:t>
      </w:r>
      <w:r>
        <w:rPr>
          <w:rFonts w:hint="eastAsia" w:ascii="宋体" w:hAnsi="宋体" w:eastAsia="宋体" w:cstheme="minorBidi"/>
          <w:b/>
          <w:bCs/>
          <w:color w:val="auto"/>
          <w:kern w:val="2"/>
          <w:sz w:val="30"/>
          <w:szCs w:val="32"/>
          <w:highlight w:val="none"/>
          <w:lang w:val="zh-CN" w:eastAsia="zh-CN" w:bidi="ar-SA"/>
        </w:rPr>
        <w:t>【</w:t>
      </w:r>
      <w:r>
        <w:rPr>
          <w:rFonts w:hint="eastAsia" w:ascii="宋体" w:hAnsi="宋体" w:eastAsia="宋体" w:cstheme="minorBidi"/>
          <w:b/>
          <w:bCs/>
          <w:color w:val="auto"/>
          <w:kern w:val="2"/>
          <w:sz w:val="30"/>
          <w:szCs w:val="32"/>
          <w:highlight w:val="none"/>
          <w:lang w:val="en-US" w:eastAsia="zh-CN" w:bidi="ar-SA"/>
        </w:rPr>
        <w:t>本表须与第五章的一致】</w:t>
      </w:r>
      <w:bookmarkEnd w:id="673"/>
    </w:p>
    <w:p w14:paraId="3FC7E450">
      <w:pPr>
        <w:shd w:val="clear" w:color="auto" w:fill="FFFFFF"/>
        <w:tabs>
          <w:tab w:val="left" w:pos="3045"/>
        </w:tabs>
        <w:autoSpaceDE w:val="0"/>
        <w:autoSpaceDN w:val="0"/>
        <w:adjustRightInd w:val="0"/>
        <w:snapToGrid w:val="0"/>
        <w:spacing w:line="360" w:lineRule="exact"/>
        <w:jc w:val="center"/>
        <w:rPr>
          <w:rFonts w:hint="eastAsia" w:ascii="宋体" w:hAnsi="宋体" w:cs="宋体"/>
          <w:b w:val="0"/>
          <w:bCs/>
          <w:color w:val="auto"/>
          <w:sz w:val="24"/>
          <w:highlight w:val="none"/>
        </w:rPr>
      </w:pPr>
      <w:r>
        <w:rPr>
          <w:rFonts w:hint="eastAsia" w:ascii="宋体" w:hAnsi="宋体" w:cs="宋体"/>
          <w:b w:val="0"/>
          <w:bCs/>
          <w:color w:val="auto"/>
          <w:sz w:val="24"/>
          <w:highlight w:val="none"/>
        </w:rPr>
        <w:t>（</w:t>
      </w:r>
      <w:r>
        <w:rPr>
          <w:rFonts w:hint="eastAsia" w:cs="宋体"/>
          <w:b w:val="0"/>
          <w:bCs/>
          <w:color w:val="auto"/>
          <w:sz w:val="24"/>
          <w:highlight w:val="none"/>
          <w:lang w:val="en-US" w:eastAsia="zh-CN"/>
        </w:rPr>
        <w:t>投标人</w:t>
      </w:r>
      <w:r>
        <w:rPr>
          <w:rFonts w:hint="eastAsia" w:ascii="宋体" w:hAnsi="宋体" w:cs="宋体"/>
          <w:b w:val="0"/>
          <w:bCs/>
          <w:color w:val="auto"/>
          <w:sz w:val="24"/>
          <w:highlight w:val="none"/>
        </w:rPr>
        <w:t>须对本附表所有内容逐条响应且无负偏离，否则</w:t>
      </w:r>
      <w:r>
        <w:rPr>
          <w:rFonts w:hint="eastAsia" w:cs="宋体"/>
          <w:b w:val="0"/>
          <w:bCs/>
          <w:color w:val="auto"/>
          <w:sz w:val="24"/>
          <w:highlight w:val="none"/>
          <w:lang w:val="en-US" w:eastAsia="zh-CN"/>
        </w:rPr>
        <w:t>其</w:t>
      </w:r>
      <w:r>
        <w:rPr>
          <w:rFonts w:hint="eastAsia" w:ascii="宋体" w:hAnsi="宋体" w:cs="宋体"/>
          <w:b/>
          <w:bCs w:val="0"/>
          <w:color w:val="auto"/>
          <w:sz w:val="24"/>
          <w:highlight w:val="none"/>
        </w:rPr>
        <w:t>投标无效</w:t>
      </w:r>
      <w:r>
        <w:rPr>
          <w:rFonts w:hint="eastAsia" w:ascii="宋体" w:hAnsi="宋体" w:cs="宋体"/>
          <w:b w:val="0"/>
          <w:bCs/>
          <w:color w:val="auto"/>
          <w:sz w:val="24"/>
          <w:highlight w:val="none"/>
        </w:rPr>
        <w:t>）</w:t>
      </w:r>
    </w:p>
    <w:p w14:paraId="3B3C031E">
      <w:pPr>
        <w:pStyle w:val="23"/>
        <w:rPr>
          <w:rFonts w:hint="eastAsia" w:ascii="宋体" w:hAnsi="宋体" w:cs="宋体"/>
          <w:color w:val="auto"/>
          <w:highlight w:val="none"/>
        </w:rPr>
      </w:pPr>
    </w:p>
    <w:tbl>
      <w:tblPr>
        <w:tblStyle w:val="29"/>
        <w:tblW w:w="5435" w:type="pct"/>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8"/>
        <w:gridCol w:w="1992"/>
        <w:gridCol w:w="4259"/>
        <w:gridCol w:w="1873"/>
        <w:gridCol w:w="732"/>
      </w:tblGrid>
      <w:tr w14:paraId="2EF50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220" w:type="pct"/>
            <w:vMerge w:val="restart"/>
            <w:noWrap w:val="0"/>
            <w:vAlign w:val="center"/>
          </w:tcPr>
          <w:p w14:paraId="101C805A">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373" w:type="pct"/>
            <w:gridSpan w:val="2"/>
            <w:noWrap w:val="0"/>
            <w:vAlign w:val="center"/>
          </w:tcPr>
          <w:p w14:paraId="02D6053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文件要求的实质性响应内容</w:t>
            </w:r>
          </w:p>
        </w:tc>
        <w:tc>
          <w:tcPr>
            <w:tcW w:w="1010" w:type="pct"/>
            <w:vMerge w:val="restart"/>
            <w:noWrap w:val="0"/>
            <w:vAlign w:val="center"/>
          </w:tcPr>
          <w:p w14:paraId="56144F2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投标文件响应</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具体内容</w:t>
            </w:r>
          </w:p>
        </w:tc>
        <w:tc>
          <w:tcPr>
            <w:tcW w:w="395" w:type="pct"/>
            <w:vMerge w:val="restart"/>
            <w:noWrap w:val="0"/>
            <w:vAlign w:val="center"/>
          </w:tcPr>
          <w:p w14:paraId="3D4BAC2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48FB1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220" w:type="pct"/>
            <w:vMerge w:val="continue"/>
            <w:noWrap w:val="0"/>
            <w:vAlign w:val="center"/>
          </w:tcPr>
          <w:p w14:paraId="61353542">
            <w:pPr>
              <w:keepNext w:val="0"/>
              <w:keepLines w:val="0"/>
              <w:pageBreakBefore w:val="0"/>
              <w:widowControl w:val="0"/>
              <w:kinsoku/>
              <w:wordWrap/>
              <w:overflowPunct/>
              <w:topLinePunct w:val="0"/>
              <w:bidi w:val="0"/>
              <w:adjustRightInd/>
              <w:snapToGrid/>
              <w:spacing w:line="360" w:lineRule="exact"/>
              <w:jc w:val="center"/>
              <w:textAlignment w:val="auto"/>
              <w:rPr>
                <w:color w:val="auto"/>
                <w:highlight w:val="none"/>
              </w:rPr>
            </w:pPr>
          </w:p>
        </w:tc>
        <w:tc>
          <w:tcPr>
            <w:tcW w:w="1075" w:type="pct"/>
            <w:noWrap w:val="0"/>
            <w:vAlign w:val="center"/>
          </w:tcPr>
          <w:p w14:paraId="6B0E164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cs="宋体"/>
                <w:color w:val="auto"/>
                <w:sz w:val="24"/>
                <w:highlight w:val="none"/>
                <w:lang w:val="en-US" w:eastAsia="zh-CN"/>
              </w:rPr>
              <w:t>实质性要求</w:t>
            </w:r>
          </w:p>
        </w:tc>
        <w:tc>
          <w:tcPr>
            <w:tcW w:w="2298" w:type="pct"/>
            <w:noWrap w:val="0"/>
            <w:vAlign w:val="center"/>
          </w:tcPr>
          <w:p w14:paraId="3466A6AA">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cs="宋体"/>
                <w:color w:val="auto"/>
                <w:sz w:val="24"/>
                <w:highlight w:val="none"/>
                <w:lang w:val="en-US" w:eastAsia="zh-CN"/>
              </w:rPr>
              <w:t>招标文件中的规定</w:t>
            </w:r>
          </w:p>
        </w:tc>
        <w:tc>
          <w:tcPr>
            <w:tcW w:w="1010" w:type="pct"/>
            <w:vMerge w:val="continue"/>
            <w:noWrap w:val="0"/>
            <w:vAlign w:val="center"/>
          </w:tcPr>
          <w:p w14:paraId="230A57B0">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395" w:type="pct"/>
            <w:vMerge w:val="continue"/>
            <w:noWrap w:val="0"/>
            <w:vAlign w:val="center"/>
          </w:tcPr>
          <w:p w14:paraId="1401563E">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p>
        </w:tc>
      </w:tr>
      <w:tr w14:paraId="0FCF1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trPr>
        <w:tc>
          <w:tcPr>
            <w:tcW w:w="220" w:type="pct"/>
            <w:noWrap w:val="0"/>
            <w:vAlign w:val="center"/>
          </w:tcPr>
          <w:p w14:paraId="5D4136A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75" w:type="pct"/>
            <w:shd w:val="clear" w:color="auto" w:fill="auto"/>
            <w:noWrap w:val="0"/>
            <w:vAlign w:val="center"/>
          </w:tcPr>
          <w:p w14:paraId="11E3D909">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4"/>
                <w:szCs w:val="24"/>
                <w:highlight w:val="none"/>
                <w:lang w:val="en-US" w:eastAsia="zh-CN" w:bidi="ar-SA"/>
              </w:rPr>
            </w:pPr>
          </w:p>
        </w:tc>
        <w:tc>
          <w:tcPr>
            <w:tcW w:w="2298" w:type="pct"/>
            <w:shd w:val="clear" w:color="auto" w:fill="auto"/>
            <w:noWrap w:val="0"/>
            <w:vAlign w:val="center"/>
          </w:tcPr>
          <w:p w14:paraId="2D62742B">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color w:val="auto"/>
                <w:kern w:val="2"/>
                <w:sz w:val="24"/>
                <w:szCs w:val="24"/>
                <w:highlight w:val="none"/>
                <w:lang w:val="en-US" w:eastAsia="zh-CN" w:bidi="ar-SA"/>
              </w:rPr>
            </w:pPr>
          </w:p>
        </w:tc>
        <w:tc>
          <w:tcPr>
            <w:tcW w:w="1010" w:type="pct"/>
            <w:noWrap w:val="0"/>
            <w:vAlign w:val="center"/>
          </w:tcPr>
          <w:p w14:paraId="1E4B729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95" w:type="pct"/>
            <w:noWrap w:val="0"/>
            <w:vAlign w:val="center"/>
          </w:tcPr>
          <w:p w14:paraId="2ED2EBD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29B14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8" w:hRule="atLeast"/>
        </w:trPr>
        <w:tc>
          <w:tcPr>
            <w:tcW w:w="220" w:type="pct"/>
            <w:noWrap w:val="0"/>
            <w:vAlign w:val="center"/>
          </w:tcPr>
          <w:p w14:paraId="708A3B90">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075" w:type="pct"/>
            <w:shd w:val="clear" w:color="auto" w:fill="auto"/>
            <w:noWrap w:val="0"/>
            <w:vAlign w:val="center"/>
          </w:tcPr>
          <w:p w14:paraId="7DC773B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4"/>
                <w:szCs w:val="24"/>
                <w:highlight w:val="none"/>
                <w:lang w:val="en-US" w:eastAsia="zh-CN" w:bidi="ar-SA"/>
              </w:rPr>
            </w:pPr>
          </w:p>
        </w:tc>
        <w:tc>
          <w:tcPr>
            <w:tcW w:w="2298" w:type="pct"/>
            <w:shd w:val="clear" w:color="auto" w:fill="auto"/>
            <w:noWrap w:val="0"/>
            <w:vAlign w:val="center"/>
          </w:tcPr>
          <w:p w14:paraId="011D967C">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color w:val="auto"/>
                <w:kern w:val="2"/>
                <w:sz w:val="24"/>
                <w:szCs w:val="24"/>
                <w:highlight w:val="none"/>
                <w:lang w:val="en-US" w:eastAsia="zh-CN" w:bidi="ar-SA"/>
              </w:rPr>
            </w:pPr>
          </w:p>
        </w:tc>
        <w:tc>
          <w:tcPr>
            <w:tcW w:w="1010" w:type="pct"/>
            <w:noWrap w:val="0"/>
            <w:vAlign w:val="center"/>
          </w:tcPr>
          <w:p w14:paraId="58F62CE4">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95" w:type="pct"/>
            <w:noWrap w:val="0"/>
            <w:vAlign w:val="center"/>
          </w:tcPr>
          <w:p w14:paraId="194CC2D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547BF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trPr>
        <w:tc>
          <w:tcPr>
            <w:tcW w:w="220" w:type="pct"/>
            <w:shd w:val="clear" w:color="auto" w:fill="auto"/>
            <w:noWrap w:val="0"/>
            <w:vAlign w:val="center"/>
          </w:tcPr>
          <w:p w14:paraId="6A2DB15C">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3</w:t>
            </w:r>
          </w:p>
        </w:tc>
        <w:tc>
          <w:tcPr>
            <w:tcW w:w="1075" w:type="pct"/>
            <w:shd w:val="clear" w:color="auto" w:fill="auto"/>
            <w:noWrap w:val="0"/>
            <w:vAlign w:val="center"/>
          </w:tcPr>
          <w:p w14:paraId="46BFE239">
            <w:pPr>
              <w:pStyle w:val="48"/>
              <w:rPr>
                <w:rFonts w:hint="eastAsia" w:ascii="宋体" w:hAnsi="宋体" w:eastAsia="宋体" w:cstheme="minorBidi"/>
                <w:color w:val="auto"/>
                <w:kern w:val="2"/>
                <w:sz w:val="24"/>
                <w:szCs w:val="22"/>
                <w:highlight w:val="none"/>
                <w:lang w:val="en-US" w:eastAsia="zh-CN" w:bidi="ar-SA"/>
              </w:rPr>
            </w:pPr>
          </w:p>
        </w:tc>
        <w:tc>
          <w:tcPr>
            <w:tcW w:w="2298" w:type="pct"/>
            <w:shd w:val="clear" w:color="auto" w:fill="auto"/>
            <w:noWrap w:val="0"/>
            <w:vAlign w:val="center"/>
          </w:tcPr>
          <w:p w14:paraId="486ABA85">
            <w:pPr>
              <w:pStyle w:val="48"/>
              <w:rPr>
                <w:rFonts w:hint="eastAsia" w:ascii="宋体" w:hAnsi="宋体" w:eastAsia="宋体" w:cstheme="minorBidi"/>
                <w:color w:val="auto"/>
                <w:kern w:val="2"/>
                <w:sz w:val="24"/>
                <w:szCs w:val="22"/>
                <w:highlight w:val="none"/>
                <w:lang w:val="en-US" w:eastAsia="zh-CN" w:bidi="ar-SA"/>
              </w:rPr>
            </w:pPr>
          </w:p>
        </w:tc>
        <w:tc>
          <w:tcPr>
            <w:tcW w:w="1010" w:type="pct"/>
            <w:noWrap w:val="0"/>
            <w:vAlign w:val="center"/>
          </w:tcPr>
          <w:p w14:paraId="59491DC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95" w:type="pct"/>
            <w:noWrap w:val="0"/>
            <w:vAlign w:val="center"/>
          </w:tcPr>
          <w:p w14:paraId="1511A2D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5B874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220" w:type="pct"/>
            <w:shd w:val="clear" w:color="auto" w:fill="auto"/>
            <w:noWrap w:val="0"/>
            <w:vAlign w:val="center"/>
          </w:tcPr>
          <w:p w14:paraId="12289F6C">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4</w:t>
            </w:r>
          </w:p>
        </w:tc>
        <w:tc>
          <w:tcPr>
            <w:tcW w:w="1075" w:type="pct"/>
            <w:shd w:val="clear" w:color="auto" w:fill="auto"/>
            <w:noWrap w:val="0"/>
            <w:vAlign w:val="center"/>
          </w:tcPr>
          <w:p w14:paraId="1D3E0310">
            <w:pPr>
              <w:pStyle w:val="48"/>
              <w:rPr>
                <w:rFonts w:hint="eastAsia" w:ascii="宋体" w:hAnsi="宋体" w:eastAsia="宋体" w:cstheme="minorBidi"/>
                <w:color w:val="auto"/>
                <w:kern w:val="2"/>
                <w:sz w:val="24"/>
                <w:szCs w:val="22"/>
                <w:highlight w:val="none"/>
                <w:lang w:val="en-US" w:eastAsia="zh-CN" w:bidi="ar-SA"/>
              </w:rPr>
            </w:pPr>
          </w:p>
        </w:tc>
        <w:tc>
          <w:tcPr>
            <w:tcW w:w="2298" w:type="pct"/>
            <w:shd w:val="clear" w:color="auto" w:fill="auto"/>
            <w:noWrap w:val="0"/>
            <w:vAlign w:val="center"/>
          </w:tcPr>
          <w:p w14:paraId="281089E1">
            <w:pPr>
              <w:pStyle w:val="48"/>
              <w:rPr>
                <w:rFonts w:hint="eastAsia" w:ascii="宋体" w:hAnsi="宋体" w:eastAsia="宋体" w:cstheme="minorBidi"/>
                <w:color w:val="auto"/>
                <w:kern w:val="2"/>
                <w:sz w:val="24"/>
                <w:szCs w:val="22"/>
                <w:highlight w:val="none"/>
                <w:lang w:val="en-US" w:eastAsia="zh-CN" w:bidi="ar-SA"/>
              </w:rPr>
            </w:pPr>
          </w:p>
        </w:tc>
        <w:tc>
          <w:tcPr>
            <w:tcW w:w="1010" w:type="pct"/>
            <w:noWrap w:val="0"/>
            <w:vAlign w:val="center"/>
          </w:tcPr>
          <w:p w14:paraId="6CCA3E7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95" w:type="pct"/>
            <w:noWrap w:val="0"/>
            <w:vAlign w:val="center"/>
          </w:tcPr>
          <w:p w14:paraId="0A8FC1EC">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70A77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220" w:type="pct"/>
            <w:shd w:val="clear" w:color="auto" w:fill="auto"/>
            <w:noWrap w:val="0"/>
            <w:vAlign w:val="center"/>
          </w:tcPr>
          <w:p w14:paraId="36B59CD3">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5</w:t>
            </w:r>
          </w:p>
        </w:tc>
        <w:tc>
          <w:tcPr>
            <w:tcW w:w="1075" w:type="pct"/>
            <w:noWrap w:val="0"/>
            <w:vAlign w:val="center"/>
          </w:tcPr>
          <w:p w14:paraId="43A0BEF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w:t>
            </w:r>
          </w:p>
        </w:tc>
        <w:tc>
          <w:tcPr>
            <w:tcW w:w="2298" w:type="pct"/>
            <w:noWrap w:val="0"/>
            <w:vAlign w:val="center"/>
          </w:tcPr>
          <w:p w14:paraId="310F1D1A">
            <w:pPr>
              <w:pStyle w:val="72"/>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color w:val="auto"/>
                <w:kern w:val="0"/>
                <w:sz w:val="24"/>
                <w:szCs w:val="24"/>
                <w:highlight w:val="none"/>
                <w:lang w:val="en-US" w:eastAsia="zh-CN" w:bidi="ar-SA"/>
              </w:rPr>
            </w:pPr>
          </w:p>
        </w:tc>
        <w:tc>
          <w:tcPr>
            <w:tcW w:w="1010" w:type="pct"/>
            <w:noWrap w:val="0"/>
            <w:vAlign w:val="center"/>
          </w:tcPr>
          <w:p w14:paraId="492A3FE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95" w:type="pct"/>
            <w:noWrap w:val="0"/>
            <w:vAlign w:val="center"/>
          </w:tcPr>
          <w:p w14:paraId="7AFD0B5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366B3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220" w:type="pct"/>
            <w:shd w:val="clear" w:color="auto" w:fill="auto"/>
            <w:noWrap w:val="0"/>
            <w:vAlign w:val="center"/>
          </w:tcPr>
          <w:p w14:paraId="0C145DE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6</w:t>
            </w:r>
          </w:p>
        </w:tc>
        <w:tc>
          <w:tcPr>
            <w:tcW w:w="1075" w:type="pct"/>
            <w:noWrap w:val="0"/>
            <w:vAlign w:val="center"/>
          </w:tcPr>
          <w:p w14:paraId="24DF7F3A">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w:t>
            </w:r>
          </w:p>
        </w:tc>
        <w:tc>
          <w:tcPr>
            <w:tcW w:w="2298" w:type="pct"/>
            <w:noWrap w:val="0"/>
            <w:vAlign w:val="center"/>
          </w:tcPr>
          <w:p w14:paraId="5482D5F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4"/>
                <w:szCs w:val="24"/>
                <w:highlight w:val="none"/>
                <w:lang w:val="en-US" w:eastAsia="zh-CN" w:bidi="ar-SA"/>
              </w:rPr>
            </w:pPr>
          </w:p>
        </w:tc>
        <w:tc>
          <w:tcPr>
            <w:tcW w:w="1010" w:type="pct"/>
            <w:noWrap w:val="0"/>
            <w:vAlign w:val="center"/>
          </w:tcPr>
          <w:p w14:paraId="24D82CE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95" w:type="pct"/>
            <w:noWrap w:val="0"/>
            <w:vAlign w:val="center"/>
          </w:tcPr>
          <w:p w14:paraId="190A3A2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2E09A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220" w:type="pct"/>
            <w:shd w:val="clear" w:color="auto" w:fill="auto"/>
            <w:noWrap w:val="0"/>
            <w:vAlign w:val="center"/>
          </w:tcPr>
          <w:p w14:paraId="2F26FC6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7</w:t>
            </w:r>
          </w:p>
        </w:tc>
        <w:tc>
          <w:tcPr>
            <w:tcW w:w="1075" w:type="pct"/>
            <w:noWrap w:val="0"/>
            <w:vAlign w:val="center"/>
          </w:tcPr>
          <w:p w14:paraId="7BD1DFF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w:t>
            </w:r>
          </w:p>
        </w:tc>
        <w:tc>
          <w:tcPr>
            <w:tcW w:w="2298" w:type="pct"/>
            <w:noWrap w:val="0"/>
            <w:vAlign w:val="center"/>
          </w:tcPr>
          <w:p w14:paraId="0998D7BE">
            <w:pPr>
              <w:keepNext w:val="0"/>
              <w:keepLines w:val="0"/>
              <w:pageBreakBefore w:val="0"/>
              <w:widowControl w:val="0"/>
              <w:shd w:val="clear" w:color="auto" w:fill="FFFFFF"/>
              <w:kinsoku/>
              <w:wordWrap/>
              <w:overflowPunct/>
              <w:topLinePunct w:val="0"/>
              <w:autoSpaceDE/>
              <w:autoSpaceDN/>
              <w:bidi w:val="0"/>
              <w:adjustRightInd/>
              <w:snapToGrid/>
              <w:spacing w:line="400" w:lineRule="atLeast"/>
              <w:textAlignment w:val="auto"/>
              <w:rPr>
                <w:rFonts w:hint="eastAsia" w:ascii="宋体" w:hAnsi="宋体" w:eastAsia="宋体" w:cs="宋体"/>
                <w:color w:val="auto"/>
                <w:sz w:val="24"/>
                <w:szCs w:val="24"/>
                <w:highlight w:val="none"/>
                <w:lang w:val="en-US" w:eastAsia="zh-CN"/>
              </w:rPr>
            </w:pPr>
          </w:p>
        </w:tc>
        <w:tc>
          <w:tcPr>
            <w:tcW w:w="1010" w:type="pct"/>
            <w:noWrap w:val="0"/>
            <w:vAlign w:val="center"/>
          </w:tcPr>
          <w:p w14:paraId="4CB9861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95" w:type="pct"/>
            <w:noWrap w:val="0"/>
            <w:vAlign w:val="center"/>
          </w:tcPr>
          <w:p w14:paraId="015D30C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5EA1B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220" w:type="pct"/>
            <w:noWrap w:val="0"/>
            <w:vAlign w:val="center"/>
          </w:tcPr>
          <w:p w14:paraId="4ED2BCC7">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p>
        </w:tc>
        <w:tc>
          <w:tcPr>
            <w:tcW w:w="1075" w:type="pct"/>
            <w:shd w:val="clear" w:color="auto" w:fill="auto"/>
            <w:noWrap w:val="0"/>
            <w:vAlign w:val="center"/>
          </w:tcPr>
          <w:p w14:paraId="28BAA9A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w:t>
            </w:r>
          </w:p>
        </w:tc>
        <w:tc>
          <w:tcPr>
            <w:tcW w:w="2298" w:type="pct"/>
            <w:noWrap w:val="0"/>
            <w:vAlign w:val="center"/>
          </w:tcPr>
          <w:p w14:paraId="6246E55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lang w:eastAsia="zh-CN"/>
              </w:rPr>
            </w:pPr>
          </w:p>
        </w:tc>
        <w:tc>
          <w:tcPr>
            <w:tcW w:w="1010" w:type="pct"/>
            <w:noWrap w:val="0"/>
            <w:vAlign w:val="center"/>
          </w:tcPr>
          <w:p w14:paraId="1853010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95" w:type="pct"/>
            <w:noWrap w:val="0"/>
            <w:vAlign w:val="center"/>
          </w:tcPr>
          <w:p w14:paraId="796ECCFA">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bl>
    <w:p w14:paraId="1BAA11F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eastAsia="宋体" w:asciiTheme="majorHAnsi" w:hAnsiTheme="majorHAnsi" w:cstheme="majorBidi"/>
          <w:b/>
          <w:bCs/>
          <w:color w:val="auto"/>
          <w:kern w:val="2"/>
          <w:sz w:val="28"/>
          <w:szCs w:val="28"/>
          <w:highlight w:val="none"/>
          <w:lang w:val="en-US" w:eastAsia="zh-CN" w:bidi="ar-SA"/>
        </w:rPr>
      </w:pPr>
    </w:p>
    <w:p w14:paraId="3588AE8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eastAsia="宋体" w:asciiTheme="majorHAnsi" w:hAnsiTheme="majorHAnsi" w:cstheme="majorBidi"/>
          <w:b/>
          <w:bCs/>
          <w:color w:val="auto"/>
          <w:kern w:val="2"/>
          <w:sz w:val="28"/>
          <w:szCs w:val="28"/>
          <w:highlight w:val="none"/>
          <w:lang w:val="en-US" w:eastAsia="zh-CN" w:bidi="ar-SA"/>
        </w:rPr>
      </w:pPr>
    </w:p>
    <w:p w14:paraId="626EF50E">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674" w:name="_Toc9779"/>
      <w:bookmarkStart w:id="675" w:name="_Toc17991"/>
      <w:r>
        <w:rPr>
          <w:rFonts w:hint="eastAsia" w:cstheme="majorBidi"/>
          <w:b/>
          <w:bCs/>
          <w:color w:val="auto"/>
          <w:kern w:val="2"/>
          <w:sz w:val="32"/>
          <w:szCs w:val="32"/>
          <w:highlight w:val="none"/>
          <w:lang w:val="en-US" w:eastAsia="zh-CN" w:bidi="ar-SA"/>
        </w:rPr>
        <w:t>六</w:t>
      </w:r>
      <w:r>
        <w:rPr>
          <w:rFonts w:hint="eastAsia" w:eastAsia="宋体" w:asciiTheme="majorHAnsi" w:hAnsiTheme="majorHAnsi" w:cstheme="majorBidi"/>
          <w:b/>
          <w:bCs/>
          <w:color w:val="auto"/>
          <w:kern w:val="2"/>
          <w:sz w:val="32"/>
          <w:szCs w:val="32"/>
          <w:highlight w:val="none"/>
          <w:lang w:val="en-US" w:eastAsia="zh-CN" w:bidi="ar-SA"/>
        </w:rPr>
        <w:t>、商务响应偏离表</w:t>
      </w:r>
      <w:bookmarkEnd w:id="674"/>
      <w:bookmarkEnd w:id="675"/>
    </w:p>
    <w:p w14:paraId="1D186498">
      <w:pPr>
        <w:rPr>
          <w:rFonts w:cs="仿宋_GB2312"/>
          <w:color w:val="auto"/>
          <w:szCs w:val="24"/>
          <w:highlight w:val="none"/>
        </w:rPr>
      </w:pPr>
      <w:r>
        <w:rPr>
          <w:rFonts w:hint="eastAsia" w:cs="仿宋_GB2312"/>
          <w:color w:val="auto"/>
          <w:szCs w:val="24"/>
          <w:highlight w:val="none"/>
        </w:rPr>
        <w:t xml:space="preserve">项目名称：                                         </w:t>
      </w:r>
    </w:p>
    <w:p w14:paraId="49D93B14">
      <w:pPr>
        <w:rPr>
          <w:rFonts w:cs="仿宋_GB2312"/>
          <w:color w:val="auto"/>
          <w:szCs w:val="24"/>
          <w:highlight w:val="none"/>
        </w:rPr>
      </w:pPr>
      <w:r>
        <w:rPr>
          <w:rFonts w:hint="eastAsia" w:cs="仿宋_GB2312"/>
          <w:color w:val="auto"/>
          <w:szCs w:val="24"/>
          <w:highlight w:val="none"/>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r>
        <w:rPr>
          <w:rFonts w:hint="eastAsia" w:cs="仿宋_GB2312"/>
          <w:color w:val="auto"/>
          <w:szCs w:val="24"/>
          <w:highlight w:val="none"/>
        </w:rPr>
        <w:t xml:space="preserve">：        </w:t>
      </w:r>
    </w:p>
    <w:tbl>
      <w:tblPr>
        <w:tblStyle w:val="29"/>
        <w:tblW w:w="50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2394"/>
        <w:gridCol w:w="1720"/>
        <w:gridCol w:w="1871"/>
        <w:gridCol w:w="1871"/>
      </w:tblGrid>
      <w:tr w14:paraId="33127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420" w:type="pct"/>
            <w:vAlign w:val="center"/>
          </w:tcPr>
          <w:p w14:paraId="61EA1055">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395" w:type="pct"/>
            <w:vAlign w:val="center"/>
          </w:tcPr>
          <w:p w14:paraId="49200A2F">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招标文件的商务条款</w:t>
            </w:r>
          </w:p>
        </w:tc>
        <w:tc>
          <w:tcPr>
            <w:tcW w:w="1002" w:type="pct"/>
            <w:vAlign w:val="center"/>
          </w:tcPr>
          <w:p w14:paraId="2B47A594">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投标文件的响应内容</w:t>
            </w:r>
          </w:p>
        </w:tc>
        <w:tc>
          <w:tcPr>
            <w:tcW w:w="1090" w:type="pct"/>
            <w:vAlign w:val="center"/>
          </w:tcPr>
          <w:p w14:paraId="0A22DBCC">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响应情况</w:t>
            </w:r>
          </w:p>
        </w:tc>
        <w:tc>
          <w:tcPr>
            <w:tcW w:w="1090" w:type="pct"/>
            <w:vAlign w:val="center"/>
          </w:tcPr>
          <w:p w14:paraId="030997F0">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说明及索引</w:t>
            </w:r>
          </w:p>
        </w:tc>
      </w:tr>
      <w:tr w14:paraId="2C90D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6F94D579">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395" w:type="pct"/>
            <w:vAlign w:val="center"/>
          </w:tcPr>
          <w:p w14:paraId="4BC6C9AE">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02" w:type="pct"/>
            <w:vAlign w:val="center"/>
          </w:tcPr>
          <w:p w14:paraId="5FBB3652">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90" w:type="pct"/>
            <w:vAlign w:val="center"/>
          </w:tcPr>
          <w:p w14:paraId="0BE3ED73">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响应/偏离</w:t>
            </w:r>
          </w:p>
        </w:tc>
        <w:tc>
          <w:tcPr>
            <w:tcW w:w="1090" w:type="pct"/>
            <w:vAlign w:val="center"/>
          </w:tcPr>
          <w:p w14:paraId="38155B65">
            <w:pPr>
              <w:pStyle w:val="48"/>
              <w:jc w:val="center"/>
              <w:rPr>
                <w:rFonts w:hint="eastAsia" w:ascii="宋体" w:hAnsi="宋体" w:eastAsia="宋体" w:cs="宋体"/>
                <w:color w:val="auto"/>
                <w:sz w:val="21"/>
                <w:szCs w:val="21"/>
                <w:highlight w:val="none"/>
              </w:rPr>
            </w:pPr>
          </w:p>
        </w:tc>
      </w:tr>
      <w:tr w14:paraId="2C680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1A99A42">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395" w:type="pct"/>
            <w:vAlign w:val="center"/>
          </w:tcPr>
          <w:p w14:paraId="45C9EA13">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02" w:type="pct"/>
            <w:vAlign w:val="center"/>
          </w:tcPr>
          <w:p w14:paraId="78716E39">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90" w:type="pct"/>
            <w:vAlign w:val="center"/>
          </w:tcPr>
          <w:p w14:paraId="7FF2D014">
            <w:pPr>
              <w:pStyle w:val="48"/>
              <w:jc w:val="center"/>
              <w:rPr>
                <w:rFonts w:hint="eastAsia" w:ascii="宋体" w:hAnsi="宋体" w:eastAsia="宋体" w:cs="宋体"/>
                <w:color w:val="auto"/>
                <w:sz w:val="21"/>
                <w:szCs w:val="21"/>
                <w:highlight w:val="none"/>
              </w:rPr>
            </w:pPr>
          </w:p>
        </w:tc>
        <w:tc>
          <w:tcPr>
            <w:tcW w:w="1090" w:type="pct"/>
            <w:vAlign w:val="center"/>
          </w:tcPr>
          <w:p w14:paraId="4FD2DF22">
            <w:pPr>
              <w:pStyle w:val="48"/>
              <w:jc w:val="center"/>
              <w:rPr>
                <w:rFonts w:hint="eastAsia" w:ascii="宋体" w:hAnsi="宋体" w:eastAsia="宋体" w:cs="宋体"/>
                <w:color w:val="auto"/>
                <w:sz w:val="21"/>
                <w:szCs w:val="21"/>
                <w:highlight w:val="none"/>
              </w:rPr>
            </w:pPr>
          </w:p>
        </w:tc>
      </w:tr>
      <w:tr w14:paraId="3CF1E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21DCD2EC">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395" w:type="pct"/>
            <w:vAlign w:val="center"/>
          </w:tcPr>
          <w:p w14:paraId="69CD6442">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02" w:type="pct"/>
            <w:vAlign w:val="center"/>
          </w:tcPr>
          <w:p w14:paraId="0A18A482">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90" w:type="pct"/>
            <w:vAlign w:val="center"/>
          </w:tcPr>
          <w:p w14:paraId="4CBAA73E">
            <w:pPr>
              <w:pStyle w:val="48"/>
              <w:jc w:val="center"/>
              <w:rPr>
                <w:rFonts w:hint="eastAsia" w:ascii="宋体" w:hAnsi="宋体" w:eastAsia="宋体" w:cs="宋体"/>
                <w:color w:val="auto"/>
                <w:sz w:val="21"/>
                <w:szCs w:val="21"/>
                <w:highlight w:val="none"/>
              </w:rPr>
            </w:pPr>
          </w:p>
        </w:tc>
        <w:tc>
          <w:tcPr>
            <w:tcW w:w="1090" w:type="pct"/>
            <w:vAlign w:val="center"/>
          </w:tcPr>
          <w:p w14:paraId="7E83BCC4">
            <w:pPr>
              <w:pStyle w:val="48"/>
              <w:jc w:val="center"/>
              <w:rPr>
                <w:rFonts w:hint="eastAsia" w:ascii="宋体" w:hAnsi="宋体" w:eastAsia="宋体" w:cs="宋体"/>
                <w:color w:val="auto"/>
                <w:sz w:val="21"/>
                <w:szCs w:val="21"/>
                <w:highlight w:val="none"/>
              </w:rPr>
            </w:pPr>
          </w:p>
        </w:tc>
      </w:tr>
      <w:tr w14:paraId="15C0F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7F30B680">
            <w:pPr>
              <w:pStyle w:val="48"/>
              <w:jc w:val="center"/>
              <w:rPr>
                <w:rFonts w:hint="eastAsia" w:ascii="宋体" w:hAnsi="宋体" w:eastAsia="宋体" w:cs="宋体"/>
                <w:color w:val="auto"/>
                <w:sz w:val="21"/>
                <w:szCs w:val="21"/>
                <w:highlight w:val="none"/>
              </w:rPr>
            </w:pPr>
          </w:p>
        </w:tc>
        <w:tc>
          <w:tcPr>
            <w:tcW w:w="1395" w:type="pct"/>
            <w:vAlign w:val="center"/>
          </w:tcPr>
          <w:p w14:paraId="4AADEA29">
            <w:pPr>
              <w:pStyle w:val="48"/>
              <w:jc w:val="center"/>
              <w:rPr>
                <w:rFonts w:hint="eastAsia" w:ascii="宋体" w:hAnsi="宋体" w:eastAsia="宋体" w:cs="宋体"/>
                <w:color w:val="auto"/>
                <w:sz w:val="21"/>
                <w:szCs w:val="21"/>
                <w:highlight w:val="none"/>
              </w:rPr>
            </w:pPr>
          </w:p>
        </w:tc>
        <w:tc>
          <w:tcPr>
            <w:tcW w:w="1002" w:type="pct"/>
            <w:vAlign w:val="center"/>
          </w:tcPr>
          <w:p w14:paraId="38D5F739">
            <w:pPr>
              <w:pStyle w:val="48"/>
              <w:jc w:val="center"/>
              <w:rPr>
                <w:rFonts w:hint="eastAsia" w:ascii="宋体" w:hAnsi="宋体" w:eastAsia="宋体" w:cs="宋体"/>
                <w:color w:val="auto"/>
                <w:sz w:val="21"/>
                <w:szCs w:val="21"/>
                <w:highlight w:val="none"/>
              </w:rPr>
            </w:pPr>
          </w:p>
        </w:tc>
        <w:tc>
          <w:tcPr>
            <w:tcW w:w="1090" w:type="pct"/>
            <w:vAlign w:val="center"/>
          </w:tcPr>
          <w:p w14:paraId="225853EF">
            <w:pPr>
              <w:pStyle w:val="48"/>
              <w:jc w:val="center"/>
              <w:rPr>
                <w:rFonts w:hint="eastAsia" w:ascii="宋体" w:hAnsi="宋体" w:eastAsia="宋体" w:cs="宋体"/>
                <w:color w:val="auto"/>
                <w:sz w:val="21"/>
                <w:szCs w:val="21"/>
                <w:highlight w:val="none"/>
              </w:rPr>
            </w:pPr>
          </w:p>
        </w:tc>
        <w:tc>
          <w:tcPr>
            <w:tcW w:w="1090" w:type="pct"/>
            <w:vAlign w:val="center"/>
          </w:tcPr>
          <w:p w14:paraId="701964E1">
            <w:pPr>
              <w:pStyle w:val="48"/>
              <w:jc w:val="center"/>
              <w:rPr>
                <w:rFonts w:hint="eastAsia" w:ascii="宋体" w:hAnsi="宋体" w:eastAsia="宋体" w:cs="宋体"/>
                <w:color w:val="auto"/>
                <w:sz w:val="21"/>
                <w:szCs w:val="21"/>
                <w:highlight w:val="none"/>
              </w:rPr>
            </w:pPr>
          </w:p>
        </w:tc>
      </w:tr>
      <w:tr w14:paraId="0D3DF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5F3EE02">
            <w:pPr>
              <w:pStyle w:val="48"/>
              <w:jc w:val="center"/>
              <w:rPr>
                <w:rFonts w:hint="eastAsia" w:ascii="宋体" w:hAnsi="宋体" w:eastAsia="宋体" w:cs="宋体"/>
                <w:color w:val="auto"/>
                <w:sz w:val="21"/>
                <w:szCs w:val="21"/>
                <w:highlight w:val="none"/>
              </w:rPr>
            </w:pPr>
          </w:p>
        </w:tc>
        <w:tc>
          <w:tcPr>
            <w:tcW w:w="1395" w:type="pct"/>
            <w:vAlign w:val="center"/>
          </w:tcPr>
          <w:p w14:paraId="4393079D">
            <w:pPr>
              <w:pStyle w:val="48"/>
              <w:jc w:val="center"/>
              <w:rPr>
                <w:rFonts w:hint="eastAsia" w:ascii="宋体" w:hAnsi="宋体" w:eastAsia="宋体" w:cs="宋体"/>
                <w:color w:val="auto"/>
                <w:sz w:val="21"/>
                <w:szCs w:val="21"/>
                <w:highlight w:val="none"/>
              </w:rPr>
            </w:pPr>
          </w:p>
        </w:tc>
        <w:tc>
          <w:tcPr>
            <w:tcW w:w="1002" w:type="pct"/>
            <w:vAlign w:val="center"/>
          </w:tcPr>
          <w:p w14:paraId="25A3A5BC">
            <w:pPr>
              <w:pStyle w:val="48"/>
              <w:jc w:val="center"/>
              <w:rPr>
                <w:rFonts w:hint="eastAsia" w:ascii="宋体" w:hAnsi="宋体" w:eastAsia="宋体" w:cs="宋体"/>
                <w:color w:val="auto"/>
                <w:sz w:val="21"/>
                <w:szCs w:val="21"/>
                <w:highlight w:val="none"/>
              </w:rPr>
            </w:pPr>
          </w:p>
        </w:tc>
        <w:tc>
          <w:tcPr>
            <w:tcW w:w="1090" w:type="pct"/>
            <w:vAlign w:val="center"/>
          </w:tcPr>
          <w:p w14:paraId="1B49FF8B">
            <w:pPr>
              <w:pStyle w:val="48"/>
              <w:jc w:val="center"/>
              <w:rPr>
                <w:rFonts w:hint="eastAsia" w:ascii="宋体" w:hAnsi="宋体" w:eastAsia="宋体" w:cs="宋体"/>
                <w:color w:val="auto"/>
                <w:sz w:val="21"/>
                <w:szCs w:val="21"/>
                <w:highlight w:val="none"/>
              </w:rPr>
            </w:pPr>
          </w:p>
        </w:tc>
        <w:tc>
          <w:tcPr>
            <w:tcW w:w="1090" w:type="pct"/>
            <w:vAlign w:val="center"/>
          </w:tcPr>
          <w:p w14:paraId="7AD8A67B">
            <w:pPr>
              <w:pStyle w:val="48"/>
              <w:jc w:val="center"/>
              <w:rPr>
                <w:rFonts w:hint="eastAsia" w:ascii="宋体" w:hAnsi="宋体" w:eastAsia="宋体" w:cs="宋体"/>
                <w:color w:val="auto"/>
                <w:sz w:val="21"/>
                <w:szCs w:val="21"/>
                <w:highlight w:val="none"/>
              </w:rPr>
            </w:pPr>
          </w:p>
        </w:tc>
      </w:tr>
      <w:tr w14:paraId="193F5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08504A9">
            <w:pPr>
              <w:pStyle w:val="48"/>
              <w:jc w:val="center"/>
              <w:rPr>
                <w:rFonts w:hint="eastAsia" w:ascii="宋体" w:hAnsi="宋体" w:eastAsia="宋体" w:cs="宋体"/>
                <w:color w:val="auto"/>
                <w:sz w:val="21"/>
                <w:szCs w:val="21"/>
                <w:highlight w:val="none"/>
              </w:rPr>
            </w:pPr>
          </w:p>
        </w:tc>
        <w:tc>
          <w:tcPr>
            <w:tcW w:w="1395" w:type="pct"/>
            <w:vAlign w:val="center"/>
          </w:tcPr>
          <w:p w14:paraId="0B05BA21">
            <w:pPr>
              <w:pStyle w:val="48"/>
              <w:jc w:val="center"/>
              <w:rPr>
                <w:rFonts w:hint="eastAsia" w:ascii="宋体" w:hAnsi="宋体" w:eastAsia="宋体" w:cs="宋体"/>
                <w:color w:val="auto"/>
                <w:sz w:val="21"/>
                <w:szCs w:val="21"/>
                <w:highlight w:val="none"/>
              </w:rPr>
            </w:pPr>
          </w:p>
        </w:tc>
        <w:tc>
          <w:tcPr>
            <w:tcW w:w="1002" w:type="pct"/>
            <w:vAlign w:val="center"/>
          </w:tcPr>
          <w:p w14:paraId="6EE2FD7A">
            <w:pPr>
              <w:pStyle w:val="48"/>
              <w:jc w:val="center"/>
              <w:rPr>
                <w:rFonts w:hint="eastAsia" w:ascii="宋体" w:hAnsi="宋体" w:eastAsia="宋体" w:cs="宋体"/>
                <w:color w:val="auto"/>
                <w:sz w:val="21"/>
                <w:szCs w:val="21"/>
                <w:highlight w:val="none"/>
              </w:rPr>
            </w:pPr>
          </w:p>
        </w:tc>
        <w:tc>
          <w:tcPr>
            <w:tcW w:w="1090" w:type="pct"/>
            <w:vAlign w:val="center"/>
          </w:tcPr>
          <w:p w14:paraId="3C3EE3D6">
            <w:pPr>
              <w:pStyle w:val="48"/>
              <w:jc w:val="center"/>
              <w:rPr>
                <w:rFonts w:hint="eastAsia" w:ascii="宋体" w:hAnsi="宋体" w:eastAsia="宋体" w:cs="宋体"/>
                <w:color w:val="auto"/>
                <w:sz w:val="21"/>
                <w:szCs w:val="21"/>
                <w:highlight w:val="none"/>
              </w:rPr>
            </w:pPr>
          </w:p>
        </w:tc>
        <w:tc>
          <w:tcPr>
            <w:tcW w:w="1090" w:type="pct"/>
            <w:vAlign w:val="center"/>
          </w:tcPr>
          <w:p w14:paraId="0D0213B3">
            <w:pPr>
              <w:pStyle w:val="48"/>
              <w:jc w:val="center"/>
              <w:rPr>
                <w:rFonts w:hint="eastAsia" w:ascii="宋体" w:hAnsi="宋体" w:eastAsia="宋体" w:cs="宋体"/>
                <w:color w:val="auto"/>
                <w:sz w:val="21"/>
                <w:szCs w:val="21"/>
                <w:highlight w:val="none"/>
              </w:rPr>
            </w:pPr>
          </w:p>
        </w:tc>
      </w:tr>
      <w:tr w14:paraId="05BC6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2DE1BBEB">
            <w:pPr>
              <w:pStyle w:val="48"/>
              <w:jc w:val="center"/>
              <w:rPr>
                <w:rFonts w:hint="eastAsia" w:ascii="宋体" w:hAnsi="宋体" w:eastAsia="宋体" w:cs="宋体"/>
                <w:color w:val="auto"/>
                <w:sz w:val="21"/>
                <w:szCs w:val="21"/>
                <w:highlight w:val="none"/>
              </w:rPr>
            </w:pPr>
          </w:p>
        </w:tc>
        <w:tc>
          <w:tcPr>
            <w:tcW w:w="1395" w:type="pct"/>
            <w:vAlign w:val="center"/>
          </w:tcPr>
          <w:p w14:paraId="2369E7CE">
            <w:pPr>
              <w:pStyle w:val="48"/>
              <w:jc w:val="center"/>
              <w:rPr>
                <w:rFonts w:hint="eastAsia" w:ascii="宋体" w:hAnsi="宋体" w:eastAsia="宋体" w:cs="宋体"/>
                <w:color w:val="auto"/>
                <w:sz w:val="21"/>
                <w:szCs w:val="21"/>
                <w:highlight w:val="none"/>
              </w:rPr>
            </w:pPr>
          </w:p>
        </w:tc>
        <w:tc>
          <w:tcPr>
            <w:tcW w:w="1002" w:type="pct"/>
            <w:vAlign w:val="center"/>
          </w:tcPr>
          <w:p w14:paraId="1C290511">
            <w:pPr>
              <w:pStyle w:val="48"/>
              <w:jc w:val="center"/>
              <w:rPr>
                <w:rFonts w:hint="eastAsia" w:ascii="宋体" w:hAnsi="宋体" w:eastAsia="宋体" w:cs="宋体"/>
                <w:color w:val="auto"/>
                <w:sz w:val="21"/>
                <w:szCs w:val="21"/>
                <w:highlight w:val="none"/>
              </w:rPr>
            </w:pPr>
          </w:p>
        </w:tc>
        <w:tc>
          <w:tcPr>
            <w:tcW w:w="1090" w:type="pct"/>
            <w:vAlign w:val="center"/>
          </w:tcPr>
          <w:p w14:paraId="2E4702A6">
            <w:pPr>
              <w:pStyle w:val="48"/>
              <w:jc w:val="center"/>
              <w:rPr>
                <w:rFonts w:hint="eastAsia" w:ascii="宋体" w:hAnsi="宋体" w:eastAsia="宋体" w:cs="宋体"/>
                <w:color w:val="auto"/>
                <w:sz w:val="21"/>
                <w:szCs w:val="21"/>
                <w:highlight w:val="none"/>
              </w:rPr>
            </w:pPr>
          </w:p>
        </w:tc>
        <w:tc>
          <w:tcPr>
            <w:tcW w:w="1090" w:type="pct"/>
            <w:vAlign w:val="center"/>
          </w:tcPr>
          <w:p w14:paraId="65DCC158">
            <w:pPr>
              <w:pStyle w:val="48"/>
              <w:jc w:val="center"/>
              <w:rPr>
                <w:rFonts w:hint="eastAsia" w:ascii="宋体" w:hAnsi="宋体" w:eastAsia="宋体" w:cs="宋体"/>
                <w:color w:val="auto"/>
                <w:sz w:val="21"/>
                <w:szCs w:val="21"/>
                <w:highlight w:val="none"/>
              </w:rPr>
            </w:pPr>
          </w:p>
        </w:tc>
      </w:tr>
      <w:tr w14:paraId="086EA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4A27D4B4">
            <w:pPr>
              <w:pStyle w:val="48"/>
              <w:jc w:val="center"/>
              <w:rPr>
                <w:rFonts w:hint="eastAsia" w:ascii="宋体" w:hAnsi="宋体" w:eastAsia="宋体" w:cs="宋体"/>
                <w:color w:val="auto"/>
                <w:sz w:val="21"/>
                <w:szCs w:val="21"/>
                <w:highlight w:val="none"/>
              </w:rPr>
            </w:pPr>
          </w:p>
        </w:tc>
        <w:tc>
          <w:tcPr>
            <w:tcW w:w="1395" w:type="pct"/>
            <w:vAlign w:val="center"/>
          </w:tcPr>
          <w:p w14:paraId="15CE8362">
            <w:pPr>
              <w:pStyle w:val="48"/>
              <w:jc w:val="center"/>
              <w:rPr>
                <w:rFonts w:hint="eastAsia" w:ascii="宋体" w:hAnsi="宋体" w:eastAsia="宋体" w:cs="宋体"/>
                <w:color w:val="auto"/>
                <w:sz w:val="21"/>
                <w:szCs w:val="21"/>
                <w:highlight w:val="none"/>
              </w:rPr>
            </w:pPr>
          </w:p>
        </w:tc>
        <w:tc>
          <w:tcPr>
            <w:tcW w:w="1002" w:type="pct"/>
            <w:vAlign w:val="center"/>
          </w:tcPr>
          <w:p w14:paraId="78520959">
            <w:pPr>
              <w:pStyle w:val="48"/>
              <w:jc w:val="center"/>
              <w:rPr>
                <w:rFonts w:hint="eastAsia" w:ascii="宋体" w:hAnsi="宋体" w:eastAsia="宋体" w:cs="宋体"/>
                <w:color w:val="auto"/>
                <w:sz w:val="21"/>
                <w:szCs w:val="21"/>
                <w:highlight w:val="none"/>
              </w:rPr>
            </w:pPr>
          </w:p>
        </w:tc>
        <w:tc>
          <w:tcPr>
            <w:tcW w:w="1090" w:type="pct"/>
            <w:vAlign w:val="center"/>
          </w:tcPr>
          <w:p w14:paraId="6B647A83">
            <w:pPr>
              <w:pStyle w:val="48"/>
              <w:jc w:val="center"/>
              <w:rPr>
                <w:rFonts w:hint="eastAsia" w:ascii="宋体" w:hAnsi="宋体" w:eastAsia="宋体" w:cs="宋体"/>
                <w:color w:val="auto"/>
                <w:sz w:val="21"/>
                <w:szCs w:val="21"/>
                <w:highlight w:val="none"/>
              </w:rPr>
            </w:pPr>
          </w:p>
        </w:tc>
        <w:tc>
          <w:tcPr>
            <w:tcW w:w="1090" w:type="pct"/>
            <w:vAlign w:val="center"/>
          </w:tcPr>
          <w:p w14:paraId="53ABE546">
            <w:pPr>
              <w:pStyle w:val="48"/>
              <w:jc w:val="center"/>
              <w:rPr>
                <w:rFonts w:hint="eastAsia" w:ascii="宋体" w:hAnsi="宋体" w:eastAsia="宋体" w:cs="宋体"/>
                <w:color w:val="auto"/>
                <w:sz w:val="21"/>
                <w:szCs w:val="21"/>
                <w:highlight w:val="none"/>
              </w:rPr>
            </w:pPr>
          </w:p>
        </w:tc>
      </w:tr>
      <w:tr w14:paraId="2CD73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BECA690">
            <w:pPr>
              <w:pStyle w:val="48"/>
              <w:jc w:val="center"/>
              <w:rPr>
                <w:rFonts w:hint="eastAsia" w:ascii="宋体" w:hAnsi="宋体" w:eastAsia="宋体" w:cs="宋体"/>
                <w:color w:val="auto"/>
                <w:sz w:val="21"/>
                <w:szCs w:val="21"/>
                <w:highlight w:val="none"/>
              </w:rPr>
            </w:pPr>
          </w:p>
        </w:tc>
        <w:tc>
          <w:tcPr>
            <w:tcW w:w="1395" w:type="pct"/>
            <w:vAlign w:val="center"/>
          </w:tcPr>
          <w:p w14:paraId="1376A9AF">
            <w:pPr>
              <w:pStyle w:val="48"/>
              <w:jc w:val="center"/>
              <w:rPr>
                <w:rFonts w:hint="eastAsia" w:ascii="宋体" w:hAnsi="宋体" w:eastAsia="宋体" w:cs="宋体"/>
                <w:color w:val="auto"/>
                <w:sz w:val="21"/>
                <w:szCs w:val="21"/>
                <w:highlight w:val="none"/>
              </w:rPr>
            </w:pPr>
          </w:p>
        </w:tc>
        <w:tc>
          <w:tcPr>
            <w:tcW w:w="1002" w:type="pct"/>
            <w:vAlign w:val="center"/>
          </w:tcPr>
          <w:p w14:paraId="021889CB">
            <w:pPr>
              <w:pStyle w:val="48"/>
              <w:jc w:val="center"/>
              <w:rPr>
                <w:rFonts w:hint="eastAsia" w:ascii="宋体" w:hAnsi="宋体" w:eastAsia="宋体" w:cs="宋体"/>
                <w:color w:val="auto"/>
                <w:sz w:val="21"/>
                <w:szCs w:val="21"/>
                <w:highlight w:val="none"/>
              </w:rPr>
            </w:pPr>
          </w:p>
        </w:tc>
        <w:tc>
          <w:tcPr>
            <w:tcW w:w="1090" w:type="pct"/>
            <w:vAlign w:val="center"/>
          </w:tcPr>
          <w:p w14:paraId="1AA6C389">
            <w:pPr>
              <w:pStyle w:val="48"/>
              <w:jc w:val="center"/>
              <w:rPr>
                <w:rFonts w:hint="eastAsia" w:ascii="宋体" w:hAnsi="宋体" w:eastAsia="宋体" w:cs="宋体"/>
                <w:color w:val="auto"/>
                <w:sz w:val="21"/>
                <w:szCs w:val="21"/>
                <w:highlight w:val="none"/>
              </w:rPr>
            </w:pPr>
          </w:p>
        </w:tc>
        <w:tc>
          <w:tcPr>
            <w:tcW w:w="1090" w:type="pct"/>
            <w:vAlign w:val="center"/>
          </w:tcPr>
          <w:p w14:paraId="326386ED">
            <w:pPr>
              <w:pStyle w:val="48"/>
              <w:jc w:val="center"/>
              <w:rPr>
                <w:rFonts w:hint="eastAsia" w:ascii="宋体" w:hAnsi="宋体" w:eastAsia="宋体" w:cs="宋体"/>
                <w:color w:val="auto"/>
                <w:sz w:val="21"/>
                <w:szCs w:val="21"/>
                <w:highlight w:val="none"/>
              </w:rPr>
            </w:pPr>
          </w:p>
        </w:tc>
      </w:tr>
      <w:tr w14:paraId="53B15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0" w:type="pct"/>
            <w:vAlign w:val="center"/>
          </w:tcPr>
          <w:p w14:paraId="06D2AB52">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395" w:type="pct"/>
            <w:vAlign w:val="center"/>
          </w:tcPr>
          <w:p w14:paraId="67994701">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02" w:type="pct"/>
            <w:vAlign w:val="center"/>
          </w:tcPr>
          <w:p w14:paraId="460CD4A3">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90" w:type="pct"/>
            <w:vAlign w:val="center"/>
          </w:tcPr>
          <w:p w14:paraId="6A230043">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90" w:type="pct"/>
            <w:vAlign w:val="center"/>
          </w:tcPr>
          <w:p w14:paraId="68EC7DE5">
            <w:pPr>
              <w:pStyle w:val="48"/>
              <w:jc w:val="center"/>
              <w:rPr>
                <w:rFonts w:hint="eastAsia" w:ascii="宋体" w:hAnsi="宋体" w:eastAsia="宋体" w:cs="宋体"/>
                <w:color w:val="auto"/>
                <w:sz w:val="21"/>
                <w:szCs w:val="21"/>
                <w:highlight w:val="none"/>
              </w:rPr>
            </w:pPr>
          </w:p>
        </w:tc>
      </w:tr>
    </w:tbl>
    <w:p w14:paraId="5516D2ED">
      <w:pPr>
        <w:ind w:firstLine="420" w:firstLineChars="200"/>
        <w:rPr>
          <w:rFonts w:hint="eastAsia" w:cs="仿宋_GB2312"/>
          <w:color w:val="auto"/>
          <w:sz w:val="21"/>
          <w:szCs w:val="21"/>
          <w:highlight w:val="none"/>
        </w:rPr>
      </w:pPr>
    </w:p>
    <w:p w14:paraId="5CB06622">
      <w:pPr>
        <w:ind w:firstLine="480" w:firstLineChars="200"/>
        <w:rPr>
          <w:rFonts w:cs="仿宋_GB2312"/>
          <w:color w:val="auto"/>
          <w:szCs w:val="24"/>
          <w:highlight w:val="none"/>
        </w:rPr>
      </w:pPr>
    </w:p>
    <w:p w14:paraId="2E8083B6">
      <w:pPr>
        <w:ind w:firstLine="480" w:firstLineChars="200"/>
        <w:rPr>
          <w:rFonts w:cs="仿宋_GB2312"/>
          <w:color w:val="auto"/>
          <w:szCs w:val="24"/>
          <w:highlight w:val="none"/>
        </w:rPr>
      </w:pPr>
      <w:r>
        <w:rPr>
          <w:rFonts w:hint="eastAsia" w:cs="仿宋_GB2312"/>
          <w:color w:val="auto"/>
          <w:szCs w:val="24"/>
          <w:highlight w:val="none"/>
        </w:rPr>
        <w:t>投标人名称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hint="eastAsia" w:cs="仿宋_GB2312"/>
          <w:color w:val="auto"/>
          <w:szCs w:val="24"/>
          <w:highlight w:val="none"/>
        </w:rPr>
        <w:t>：</w:t>
      </w:r>
      <w:r>
        <w:rPr>
          <w:rFonts w:cs="仿宋_GB2312"/>
          <w:color w:val="auto"/>
          <w:szCs w:val="24"/>
          <w:highlight w:val="none"/>
        </w:rPr>
        <w:t xml:space="preserve"> </w:t>
      </w:r>
    </w:p>
    <w:p w14:paraId="77655944">
      <w:pPr>
        <w:ind w:firstLine="420"/>
        <w:rPr>
          <w:rFonts w:cs="仿宋_GB2312"/>
          <w:color w:val="auto"/>
          <w:szCs w:val="24"/>
          <w:highlight w:val="none"/>
        </w:rPr>
      </w:pPr>
      <w:r>
        <w:rPr>
          <w:rFonts w:hint="eastAsia" w:cs="仿宋_GB2312"/>
          <w:color w:val="auto"/>
          <w:szCs w:val="24"/>
          <w:highlight w:val="none"/>
        </w:rPr>
        <w:t>日      期：</w:t>
      </w:r>
    </w:p>
    <w:p w14:paraId="258EF608">
      <w:pPr>
        <w:ind w:firstLine="420"/>
        <w:rPr>
          <w:rFonts w:cs="仿宋_GB2312"/>
          <w:color w:val="auto"/>
          <w:szCs w:val="24"/>
          <w:highlight w:val="none"/>
        </w:rPr>
      </w:pPr>
    </w:p>
    <w:p w14:paraId="3F428C59">
      <w:pPr>
        <w:ind w:firstLine="420" w:firstLineChars="200"/>
        <w:rPr>
          <w:rFonts w:cs="仿宋_GB2312"/>
          <w:color w:val="auto"/>
          <w:szCs w:val="24"/>
          <w:highlight w:val="none"/>
        </w:rPr>
      </w:pPr>
      <w:r>
        <w:rPr>
          <w:rFonts w:hint="eastAsia" w:cs="仿宋_GB2312"/>
          <w:color w:val="auto"/>
          <w:sz w:val="21"/>
          <w:szCs w:val="21"/>
          <w:highlight w:val="none"/>
        </w:rPr>
        <w:t>注：投标人应按照招标文件“第三章 采购需求”</w:t>
      </w:r>
      <w:r>
        <w:rPr>
          <w:rFonts w:hint="eastAsia" w:cs="仿宋_GB2312"/>
          <w:color w:val="auto"/>
          <w:sz w:val="21"/>
          <w:szCs w:val="21"/>
          <w:highlight w:val="none"/>
          <w:lang w:val="en-US" w:eastAsia="zh-CN"/>
        </w:rPr>
        <w:t>中的商务要求</w:t>
      </w:r>
      <w:r>
        <w:rPr>
          <w:rFonts w:hint="eastAsia" w:cs="仿宋_GB2312"/>
          <w:color w:val="auto"/>
          <w:sz w:val="21"/>
          <w:szCs w:val="21"/>
          <w:highlight w:val="none"/>
        </w:rPr>
        <w:t>填写</w:t>
      </w:r>
      <w:r>
        <w:rPr>
          <w:rFonts w:hint="eastAsia" w:cs="仿宋_GB2312"/>
          <w:color w:val="auto"/>
          <w:sz w:val="21"/>
          <w:szCs w:val="21"/>
          <w:highlight w:val="none"/>
          <w:lang w:eastAsia="zh-CN"/>
        </w:rPr>
        <w:t>：</w:t>
      </w:r>
    </w:p>
    <w:p w14:paraId="16749689">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1.“招标文件的商务条款”栏应详细列明招标文件中的商务要求。 </w:t>
      </w:r>
    </w:p>
    <w:p w14:paraId="5CB91061">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2.“投标文件的响应内容”栏填写投标人对招标文件提出的商务条款作出的明确响应，并列明具体响应数值或内容，只注明符合、满足等无具体内容表述的，将视为未实质性满足招标文件要求</w:t>
      </w:r>
      <w:r>
        <w:rPr>
          <w:rFonts w:hint="default" w:cs="仿宋_GB2312"/>
          <w:color w:val="auto"/>
          <w:sz w:val="21"/>
          <w:szCs w:val="21"/>
          <w:highlight w:val="none"/>
          <w:lang w:val="en-US" w:eastAsia="zh-CN"/>
        </w:rPr>
        <w:t>，</w:t>
      </w:r>
      <w:r>
        <w:rPr>
          <w:rFonts w:hint="eastAsia" w:cs="仿宋_GB2312"/>
          <w:b/>
          <w:bCs/>
          <w:color w:val="auto"/>
          <w:sz w:val="21"/>
          <w:szCs w:val="21"/>
          <w:highlight w:val="none"/>
          <w:lang w:val="en-US" w:eastAsia="zh-CN"/>
        </w:rPr>
        <w:t>投标</w:t>
      </w:r>
      <w:r>
        <w:rPr>
          <w:rFonts w:hint="default" w:cs="仿宋_GB2312"/>
          <w:b/>
          <w:bCs/>
          <w:color w:val="auto"/>
          <w:sz w:val="21"/>
          <w:szCs w:val="21"/>
          <w:highlight w:val="none"/>
          <w:lang w:val="en-US" w:eastAsia="zh-CN"/>
        </w:rPr>
        <w:t>无效</w:t>
      </w:r>
      <w:r>
        <w:rPr>
          <w:rFonts w:hint="eastAsia" w:cs="仿宋_GB2312"/>
          <w:color w:val="auto"/>
          <w:sz w:val="21"/>
          <w:szCs w:val="21"/>
          <w:highlight w:val="none"/>
          <w:lang w:val="en-US" w:eastAsia="zh-CN"/>
        </w:rPr>
        <w:t xml:space="preserve">。 </w:t>
      </w:r>
    </w:p>
    <w:p w14:paraId="0F350247">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3.“响应情况”栏应据实填写“响应”、“正偏离”或“负偏离”。 </w:t>
      </w:r>
    </w:p>
    <w:p w14:paraId="5B002B53">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4.“说明及索引”栏可填写偏离情况的具体说明及索引。</w:t>
      </w:r>
    </w:p>
    <w:p w14:paraId="598C43A6">
      <w:pPr>
        <w:ind w:firstLine="420"/>
        <w:rPr>
          <w:rFonts w:cs="仿宋_GB2312"/>
          <w:color w:val="auto"/>
          <w:szCs w:val="24"/>
          <w:highlight w:val="none"/>
        </w:rPr>
      </w:pPr>
      <w:r>
        <w:rPr>
          <w:rFonts w:hint="eastAsia" w:cs="仿宋_GB2312"/>
          <w:color w:val="auto"/>
          <w:sz w:val="21"/>
          <w:szCs w:val="21"/>
          <w:highlight w:val="none"/>
          <w:lang w:val="en-US" w:eastAsia="zh-CN"/>
        </w:rPr>
        <w:t>5.对招标文件中的所有商务要求，除本表所列明的所有偏离外，均视作供应商</w:t>
      </w:r>
      <w:r>
        <w:rPr>
          <w:rFonts w:hint="default" w:cs="仿宋_GB2312"/>
          <w:color w:val="auto"/>
          <w:sz w:val="21"/>
          <w:szCs w:val="21"/>
          <w:highlight w:val="none"/>
          <w:lang w:val="en-US" w:eastAsia="zh-CN"/>
        </w:rPr>
        <w:t>已对之理解和响应。此表中若无任何文字说明，内容为空白的，</w:t>
      </w:r>
      <w:r>
        <w:rPr>
          <w:rFonts w:hint="default" w:cs="仿宋_GB2312"/>
          <w:b/>
          <w:bCs/>
          <w:color w:val="auto"/>
          <w:sz w:val="21"/>
          <w:szCs w:val="21"/>
          <w:highlight w:val="none"/>
          <w:lang w:val="en-US" w:eastAsia="zh-CN"/>
        </w:rPr>
        <w:t>投标无效</w:t>
      </w:r>
      <w:r>
        <w:rPr>
          <w:rFonts w:hint="default" w:cs="仿宋_GB2312"/>
          <w:color w:val="auto"/>
          <w:sz w:val="21"/>
          <w:szCs w:val="21"/>
          <w:highlight w:val="none"/>
          <w:lang w:val="en-US" w:eastAsia="zh-CN"/>
        </w:rPr>
        <w:t>。</w:t>
      </w:r>
      <w:r>
        <w:rPr>
          <w:rFonts w:cs="仿宋_GB2312"/>
          <w:color w:val="auto"/>
          <w:szCs w:val="24"/>
          <w:highlight w:val="none"/>
        </w:rPr>
        <w:br w:type="page"/>
      </w:r>
    </w:p>
    <w:p w14:paraId="3BEF2EC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eastAsia="宋体" w:asciiTheme="majorHAnsi" w:hAnsiTheme="majorHAnsi" w:cstheme="majorBidi"/>
          <w:b/>
          <w:bCs/>
          <w:color w:val="auto"/>
          <w:kern w:val="2"/>
          <w:sz w:val="28"/>
          <w:szCs w:val="28"/>
          <w:highlight w:val="none"/>
          <w:lang w:val="en-US" w:eastAsia="zh-CN" w:bidi="ar-SA"/>
        </w:rPr>
      </w:pPr>
    </w:p>
    <w:p w14:paraId="287724FC">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676" w:name="_Toc17815"/>
      <w:bookmarkStart w:id="677" w:name="_Toc28934"/>
      <w:r>
        <w:rPr>
          <w:rFonts w:hint="eastAsia" w:cstheme="majorBidi"/>
          <w:b/>
          <w:bCs/>
          <w:color w:val="auto"/>
          <w:kern w:val="2"/>
          <w:sz w:val="32"/>
          <w:szCs w:val="32"/>
          <w:highlight w:val="none"/>
          <w:lang w:val="en-US" w:eastAsia="zh-CN" w:bidi="ar-SA"/>
        </w:rPr>
        <w:t>七</w:t>
      </w:r>
      <w:r>
        <w:rPr>
          <w:rFonts w:hint="eastAsia" w:eastAsia="宋体" w:asciiTheme="majorHAnsi" w:hAnsiTheme="majorHAnsi" w:cstheme="majorBidi"/>
          <w:b/>
          <w:bCs/>
          <w:color w:val="auto"/>
          <w:kern w:val="2"/>
          <w:sz w:val="32"/>
          <w:szCs w:val="32"/>
          <w:highlight w:val="none"/>
          <w:lang w:val="en-US" w:eastAsia="zh-CN" w:bidi="ar-SA"/>
        </w:rPr>
        <w:t>、业绩证明文件</w:t>
      </w:r>
      <w:bookmarkEnd w:id="676"/>
      <w:bookmarkEnd w:id="677"/>
    </w:p>
    <w:p w14:paraId="7DB08DA5">
      <w:pPr>
        <w:rPr>
          <w:rFonts w:cs="仿宋_GB2312"/>
          <w:color w:val="auto"/>
          <w:szCs w:val="24"/>
          <w:highlight w:val="none"/>
        </w:rPr>
      </w:pPr>
      <w:r>
        <w:rPr>
          <w:rFonts w:cs="Arial"/>
          <w:bCs/>
          <w:color w:val="auto"/>
          <w:szCs w:val="21"/>
          <w:highlight w:val="none"/>
        </w:rPr>
        <w:fldChar w:fldCharType="begin"/>
      </w:r>
      <w:r>
        <w:rPr>
          <w:rFonts w:cs="Arial"/>
          <w:bCs/>
          <w:color w:val="auto"/>
          <w:szCs w:val="21"/>
          <w:highlight w:val="none"/>
        </w:rPr>
        <w:instrText xml:space="preserve"> LINK Word.Document.8 "D:\\音乐厅\\4通用设备\\招标文件\\音乐厅空调设备招标文件v1.0.doc" "OLE_LINK8" \r  \* MERGEFORMAT </w:instrText>
      </w:r>
      <w:r>
        <w:rPr>
          <w:rFonts w:cs="Arial"/>
          <w:bCs/>
          <w:color w:val="auto"/>
          <w:szCs w:val="21"/>
          <w:highlight w:val="none"/>
        </w:rPr>
        <w:fldChar w:fldCharType="separate"/>
      </w:r>
      <w:r>
        <w:rPr>
          <w:rFonts w:hint="eastAsia" w:cs="仿宋_GB2312"/>
          <w:color w:val="auto"/>
          <w:szCs w:val="24"/>
          <w:highlight w:val="none"/>
        </w:rPr>
        <w:t xml:space="preserve">项目名称：                                         </w:t>
      </w:r>
    </w:p>
    <w:p w14:paraId="4A687997">
      <w:pPr>
        <w:rPr>
          <w:rFonts w:cs="Arial"/>
          <w:bCs/>
          <w:color w:val="auto"/>
          <w:szCs w:val="21"/>
          <w:highlight w:val="none"/>
        </w:rPr>
      </w:pPr>
      <w:r>
        <w:rPr>
          <w:rFonts w:hint="eastAsia" w:cs="仿宋_GB2312"/>
          <w:color w:val="auto"/>
          <w:szCs w:val="24"/>
          <w:highlight w:val="none"/>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r>
        <w:rPr>
          <w:rFonts w:hint="eastAsia" w:cs="仿宋_GB2312"/>
          <w:color w:val="auto"/>
          <w:szCs w:val="24"/>
          <w:highlight w:val="none"/>
        </w:rPr>
        <w:t xml:space="preserve">：      </w:t>
      </w:r>
      <w:r>
        <w:rPr>
          <w:rFonts w:cs="Arial"/>
          <w:bCs/>
          <w:color w:val="auto"/>
          <w:szCs w:val="21"/>
          <w:highlight w:val="none"/>
        </w:rPr>
        <w:fldChar w:fldCharType="end"/>
      </w:r>
    </w:p>
    <w:tbl>
      <w:tblPr>
        <w:tblStyle w:val="29"/>
        <w:tblW w:w="8722" w:type="dxa"/>
        <w:tblInd w:w="-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1180"/>
        <w:gridCol w:w="1364"/>
        <w:gridCol w:w="1419"/>
        <w:gridCol w:w="1402"/>
        <w:gridCol w:w="1495"/>
        <w:gridCol w:w="1049"/>
      </w:tblGrid>
      <w:tr w14:paraId="0BB30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813" w:type="dxa"/>
            <w:vAlign w:val="center"/>
          </w:tcPr>
          <w:p w14:paraId="37278D52">
            <w:pPr>
              <w:jc w:val="center"/>
              <w:rPr>
                <w:rFonts w:hint="eastAsia" w:ascii="宋体" w:hAnsi="宋体" w:eastAsia="宋体" w:cs="宋体"/>
                <w:color w:val="auto"/>
                <w:sz w:val="21"/>
                <w:szCs w:val="21"/>
                <w:highlight w:val="none"/>
              </w:rPr>
            </w:pPr>
            <w:bookmarkStart w:id="678" w:name="_Hlk46779239"/>
            <w:r>
              <w:rPr>
                <w:rFonts w:hint="eastAsia" w:ascii="宋体" w:hAnsi="宋体" w:eastAsia="宋体" w:cs="宋体"/>
                <w:color w:val="auto"/>
                <w:sz w:val="21"/>
                <w:szCs w:val="21"/>
                <w:highlight w:val="none"/>
              </w:rPr>
              <w:t>序号</w:t>
            </w:r>
          </w:p>
        </w:tc>
        <w:tc>
          <w:tcPr>
            <w:tcW w:w="1180" w:type="dxa"/>
            <w:shd w:val="clear" w:color="auto" w:fill="auto"/>
            <w:vAlign w:val="center"/>
          </w:tcPr>
          <w:p w14:paraId="5EA65C0E">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项目名称</w:t>
            </w:r>
          </w:p>
        </w:tc>
        <w:tc>
          <w:tcPr>
            <w:tcW w:w="1364" w:type="dxa"/>
            <w:shd w:val="clear" w:color="auto" w:fill="auto"/>
            <w:vAlign w:val="center"/>
          </w:tcPr>
          <w:p w14:paraId="15F71199">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标的</w:t>
            </w:r>
            <w:r>
              <w:rPr>
                <w:rFonts w:hint="eastAsia" w:ascii="宋体" w:hAnsi="宋体" w:eastAsia="宋体" w:cs="宋体"/>
                <w:color w:val="auto"/>
                <w:sz w:val="21"/>
                <w:szCs w:val="21"/>
                <w:highlight w:val="none"/>
              </w:rPr>
              <w:t>内容</w:t>
            </w:r>
          </w:p>
        </w:tc>
        <w:tc>
          <w:tcPr>
            <w:tcW w:w="1419" w:type="dxa"/>
            <w:shd w:val="clear" w:color="auto" w:fill="auto"/>
            <w:vAlign w:val="center"/>
          </w:tcPr>
          <w:p w14:paraId="7F2B957F">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名称</w:t>
            </w:r>
          </w:p>
        </w:tc>
        <w:tc>
          <w:tcPr>
            <w:tcW w:w="1402" w:type="dxa"/>
            <w:shd w:val="clear" w:color="auto" w:fill="auto"/>
            <w:vAlign w:val="center"/>
          </w:tcPr>
          <w:p w14:paraId="56A87752">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中标（成交）金额</w:t>
            </w:r>
          </w:p>
        </w:tc>
        <w:tc>
          <w:tcPr>
            <w:tcW w:w="1495" w:type="dxa"/>
            <w:shd w:val="clear" w:color="auto" w:fill="auto"/>
            <w:vAlign w:val="center"/>
          </w:tcPr>
          <w:p w14:paraId="55D436A5">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采购合同签订时间</w:t>
            </w:r>
          </w:p>
        </w:tc>
        <w:tc>
          <w:tcPr>
            <w:tcW w:w="1049" w:type="dxa"/>
            <w:shd w:val="clear" w:color="auto" w:fill="auto"/>
            <w:vAlign w:val="center"/>
          </w:tcPr>
          <w:p w14:paraId="0DD0D2D4">
            <w:pPr>
              <w:jc w:val="center"/>
              <w:rPr>
                <w:rFonts w:hint="eastAsia" w:ascii="宋体" w:hAnsi="宋体" w:eastAsia="宋体" w:cs="宋体"/>
                <w:color w:val="auto"/>
                <w:kern w:val="2"/>
                <w:sz w:val="21"/>
                <w:szCs w:val="21"/>
                <w:highlight w:val="none"/>
                <w:lang w:val="en-US" w:eastAsia="zh-CN" w:bidi="ar-SA"/>
              </w:rPr>
            </w:pPr>
            <w:r>
              <w:rPr>
                <w:rFonts w:hint="eastAsia" w:cs="宋体"/>
                <w:color w:val="auto"/>
                <w:sz w:val="21"/>
                <w:szCs w:val="21"/>
                <w:highlight w:val="none"/>
                <w:lang w:val="en-US" w:eastAsia="zh-CN"/>
              </w:rPr>
              <w:t>备注</w:t>
            </w:r>
          </w:p>
        </w:tc>
      </w:tr>
      <w:tr w14:paraId="49BD0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813" w:type="dxa"/>
            <w:vAlign w:val="center"/>
          </w:tcPr>
          <w:p w14:paraId="61F1D14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80" w:type="dxa"/>
            <w:vAlign w:val="center"/>
          </w:tcPr>
          <w:p w14:paraId="25A72089">
            <w:pPr>
              <w:rPr>
                <w:rFonts w:hint="eastAsia" w:ascii="宋体" w:hAnsi="宋体" w:eastAsia="宋体" w:cs="宋体"/>
                <w:color w:val="auto"/>
                <w:sz w:val="21"/>
                <w:szCs w:val="21"/>
                <w:highlight w:val="none"/>
              </w:rPr>
            </w:pPr>
          </w:p>
        </w:tc>
        <w:tc>
          <w:tcPr>
            <w:tcW w:w="1364" w:type="dxa"/>
            <w:vAlign w:val="center"/>
          </w:tcPr>
          <w:p w14:paraId="6F3805E3">
            <w:pPr>
              <w:rPr>
                <w:rFonts w:hint="eastAsia" w:ascii="宋体" w:hAnsi="宋体" w:eastAsia="宋体" w:cs="宋体"/>
                <w:color w:val="auto"/>
                <w:sz w:val="21"/>
                <w:szCs w:val="21"/>
                <w:highlight w:val="none"/>
              </w:rPr>
            </w:pPr>
          </w:p>
        </w:tc>
        <w:tc>
          <w:tcPr>
            <w:tcW w:w="1419" w:type="dxa"/>
            <w:vAlign w:val="center"/>
          </w:tcPr>
          <w:p w14:paraId="7CB7C00C">
            <w:pPr>
              <w:rPr>
                <w:rFonts w:hint="eastAsia" w:ascii="宋体" w:hAnsi="宋体" w:eastAsia="宋体" w:cs="宋体"/>
                <w:color w:val="auto"/>
                <w:sz w:val="21"/>
                <w:szCs w:val="21"/>
                <w:highlight w:val="none"/>
              </w:rPr>
            </w:pPr>
          </w:p>
        </w:tc>
        <w:tc>
          <w:tcPr>
            <w:tcW w:w="1402" w:type="dxa"/>
            <w:vAlign w:val="center"/>
          </w:tcPr>
          <w:p w14:paraId="60DAC622">
            <w:pPr>
              <w:rPr>
                <w:rFonts w:hint="eastAsia" w:ascii="宋体" w:hAnsi="宋体" w:eastAsia="宋体" w:cs="宋体"/>
                <w:color w:val="auto"/>
                <w:sz w:val="21"/>
                <w:szCs w:val="21"/>
                <w:highlight w:val="none"/>
              </w:rPr>
            </w:pPr>
          </w:p>
        </w:tc>
        <w:tc>
          <w:tcPr>
            <w:tcW w:w="1495" w:type="dxa"/>
            <w:vAlign w:val="center"/>
          </w:tcPr>
          <w:p w14:paraId="5436BEC1">
            <w:pPr>
              <w:rPr>
                <w:rFonts w:hint="eastAsia" w:ascii="宋体" w:hAnsi="宋体" w:eastAsia="宋体" w:cs="宋体"/>
                <w:color w:val="auto"/>
                <w:sz w:val="21"/>
                <w:szCs w:val="21"/>
                <w:highlight w:val="none"/>
              </w:rPr>
            </w:pPr>
          </w:p>
        </w:tc>
        <w:tc>
          <w:tcPr>
            <w:tcW w:w="1049" w:type="dxa"/>
            <w:vAlign w:val="center"/>
          </w:tcPr>
          <w:p w14:paraId="4A8D26BB">
            <w:pPr>
              <w:rPr>
                <w:rFonts w:hint="eastAsia" w:ascii="宋体" w:hAnsi="宋体" w:eastAsia="宋体" w:cs="宋体"/>
                <w:color w:val="auto"/>
                <w:sz w:val="21"/>
                <w:szCs w:val="21"/>
                <w:highlight w:val="none"/>
              </w:rPr>
            </w:pPr>
          </w:p>
        </w:tc>
      </w:tr>
      <w:tr w14:paraId="43671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813" w:type="dxa"/>
            <w:vAlign w:val="center"/>
          </w:tcPr>
          <w:p w14:paraId="0317484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180" w:type="dxa"/>
            <w:vAlign w:val="center"/>
          </w:tcPr>
          <w:p w14:paraId="3C7437EA">
            <w:pPr>
              <w:rPr>
                <w:rFonts w:hint="eastAsia" w:ascii="宋体" w:hAnsi="宋体" w:eastAsia="宋体" w:cs="宋体"/>
                <w:color w:val="auto"/>
                <w:sz w:val="21"/>
                <w:szCs w:val="21"/>
                <w:highlight w:val="none"/>
              </w:rPr>
            </w:pPr>
          </w:p>
        </w:tc>
        <w:tc>
          <w:tcPr>
            <w:tcW w:w="1364" w:type="dxa"/>
            <w:vAlign w:val="center"/>
          </w:tcPr>
          <w:p w14:paraId="753A8A2D">
            <w:pPr>
              <w:rPr>
                <w:rFonts w:hint="eastAsia" w:ascii="宋体" w:hAnsi="宋体" w:eastAsia="宋体" w:cs="宋体"/>
                <w:color w:val="auto"/>
                <w:sz w:val="21"/>
                <w:szCs w:val="21"/>
                <w:highlight w:val="none"/>
              </w:rPr>
            </w:pPr>
          </w:p>
        </w:tc>
        <w:tc>
          <w:tcPr>
            <w:tcW w:w="1419" w:type="dxa"/>
            <w:vAlign w:val="center"/>
          </w:tcPr>
          <w:p w14:paraId="02634890">
            <w:pPr>
              <w:rPr>
                <w:rFonts w:hint="eastAsia" w:ascii="宋体" w:hAnsi="宋体" w:eastAsia="宋体" w:cs="宋体"/>
                <w:color w:val="auto"/>
                <w:sz w:val="21"/>
                <w:szCs w:val="21"/>
                <w:highlight w:val="none"/>
              </w:rPr>
            </w:pPr>
          </w:p>
        </w:tc>
        <w:tc>
          <w:tcPr>
            <w:tcW w:w="1402" w:type="dxa"/>
            <w:vAlign w:val="center"/>
          </w:tcPr>
          <w:p w14:paraId="3563AED4">
            <w:pPr>
              <w:rPr>
                <w:rFonts w:hint="eastAsia" w:ascii="宋体" w:hAnsi="宋体" w:eastAsia="宋体" w:cs="宋体"/>
                <w:color w:val="auto"/>
                <w:sz w:val="21"/>
                <w:szCs w:val="21"/>
                <w:highlight w:val="none"/>
              </w:rPr>
            </w:pPr>
          </w:p>
        </w:tc>
        <w:tc>
          <w:tcPr>
            <w:tcW w:w="1495" w:type="dxa"/>
            <w:vAlign w:val="center"/>
          </w:tcPr>
          <w:p w14:paraId="4ED6DFCE">
            <w:pPr>
              <w:rPr>
                <w:rFonts w:hint="eastAsia" w:ascii="宋体" w:hAnsi="宋体" w:eastAsia="宋体" w:cs="宋体"/>
                <w:color w:val="auto"/>
                <w:sz w:val="21"/>
                <w:szCs w:val="21"/>
                <w:highlight w:val="none"/>
              </w:rPr>
            </w:pPr>
          </w:p>
        </w:tc>
        <w:tc>
          <w:tcPr>
            <w:tcW w:w="1049" w:type="dxa"/>
            <w:vAlign w:val="center"/>
          </w:tcPr>
          <w:p w14:paraId="3DDF15B1">
            <w:pPr>
              <w:rPr>
                <w:rFonts w:hint="eastAsia" w:ascii="宋体" w:hAnsi="宋体" w:eastAsia="宋体" w:cs="宋体"/>
                <w:color w:val="auto"/>
                <w:sz w:val="21"/>
                <w:szCs w:val="21"/>
                <w:highlight w:val="none"/>
              </w:rPr>
            </w:pPr>
          </w:p>
        </w:tc>
      </w:tr>
      <w:tr w14:paraId="026FE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813" w:type="dxa"/>
            <w:vAlign w:val="center"/>
          </w:tcPr>
          <w:p w14:paraId="6CB6EA9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180" w:type="dxa"/>
            <w:vAlign w:val="center"/>
          </w:tcPr>
          <w:p w14:paraId="5AFF132B">
            <w:pPr>
              <w:rPr>
                <w:rFonts w:hint="eastAsia" w:ascii="宋体" w:hAnsi="宋体" w:eastAsia="宋体" w:cs="宋体"/>
                <w:color w:val="auto"/>
                <w:sz w:val="21"/>
                <w:szCs w:val="21"/>
                <w:highlight w:val="none"/>
              </w:rPr>
            </w:pPr>
          </w:p>
        </w:tc>
        <w:tc>
          <w:tcPr>
            <w:tcW w:w="1364" w:type="dxa"/>
            <w:vAlign w:val="center"/>
          </w:tcPr>
          <w:p w14:paraId="40DFA463">
            <w:pPr>
              <w:rPr>
                <w:rFonts w:hint="eastAsia" w:ascii="宋体" w:hAnsi="宋体" w:eastAsia="宋体" w:cs="宋体"/>
                <w:color w:val="auto"/>
                <w:sz w:val="21"/>
                <w:szCs w:val="21"/>
                <w:highlight w:val="none"/>
              </w:rPr>
            </w:pPr>
          </w:p>
        </w:tc>
        <w:tc>
          <w:tcPr>
            <w:tcW w:w="1419" w:type="dxa"/>
            <w:vAlign w:val="center"/>
          </w:tcPr>
          <w:p w14:paraId="192188BA">
            <w:pPr>
              <w:rPr>
                <w:rFonts w:hint="eastAsia" w:ascii="宋体" w:hAnsi="宋体" w:eastAsia="宋体" w:cs="宋体"/>
                <w:color w:val="auto"/>
                <w:sz w:val="21"/>
                <w:szCs w:val="21"/>
                <w:highlight w:val="none"/>
              </w:rPr>
            </w:pPr>
          </w:p>
        </w:tc>
        <w:tc>
          <w:tcPr>
            <w:tcW w:w="1402" w:type="dxa"/>
            <w:vAlign w:val="center"/>
          </w:tcPr>
          <w:p w14:paraId="58044B96">
            <w:pPr>
              <w:rPr>
                <w:rFonts w:hint="eastAsia" w:ascii="宋体" w:hAnsi="宋体" w:eastAsia="宋体" w:cs="宋体"/>
                <w:color w:val="auto"/>
                <w:sz w:val="21"/>
                <w:szCs w:val="21"/>
                <w:highlight w:val="none"/>
              </w:rPr>
            </w:pPr>
          </w:p>
        </w:tc>
        <w:tc>
          <w:tcPr>
            <w:tcW w:w="1495" w:type="dxa"/>
            <w:vAlign w:val="center"/>
          </w:tcPr>
          <w:p w14:paraId="10BAB04D">
            <w:pPr>
              <w:rPr>
                <w:rFonts w:hint="eastAsia" w:ascii="宋体" w:hAnsi="宋体" w:eastAsia="宋体" w:cs="宋体"/>
                <w:color w:val="auto"/>
                <w:sz w:val="21"/>
                <w:szCs w:val="21"/>
                <w:highlight w:val="none"/>
              </w:rPr>
            </w:pPr>
          </w:p>
        </w:tc>
        <w:tc>
          <w:tcPr>
            <w:tcW w:w="1049" w:type="dxa"/>
            <w:vAlign w:val="center"/>
          </w:tcPr>
          <w:p w14:paraId="38FE3D5D">
            <w:pPr>
              <w:rPr>
                <w:rFonts w:hint="eastAsia" w:ascii="宋体" w:hAnsi="宋体" w:eastAsia="宋体" w:cs="宋体"/>
                <w:color w:val="auto"/>
                <w:sz w:val="21"/>
                <w:szCs w:val="21"/>
                <w:highlight w:val="none"/>
              </w:rPr>
            </w:pPr>
          </w:p>
        </w:tc>
      </w:tr>
      <w:tr w14:paraId="45C01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13" w:type="dxa"/>
            <w:vAlign w:val="center"/>
          </w:tcPr>
          <w:p w14:paraId="7D259137">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180" w:type="dxa"/>
            <w:vAlign w:val="center"/>
          </w:tcPr>
          <w:p w14:paraId="12629B54">
            <w:pPr>
              <w:rPr>
                <w:rFonts w:hint="eastAsia" w:ascii="宋体" w:hAnsi="宋体" w:eastAsia="宋体" w:cs="宋体"/>
                <w:color w:val="auto"/>
                <w:sz w:val="21"/>
                <w:szCs w:val="21"/>
                <w:highlight w:val="none"/>
              </w:rPr>
            </w:pPr>
          </w:p>
        </w:tc>
        <w:tc>
          <w:tcPr>
            <w:tcW w:w="1364" w:type="dxa"/>
            <w:vAlign w:val="center"/>
          </w:tcPr>
          <w:p w14:paraId="278EE304">
            <w:pPr>
              <w:rPr>
                <w:rFonts w:hint="eastAsia" w:ascii="宋体" w:hAnsi="宋体" w:eastAsia="宋体" w:cs="宋体"/>
                <w:color w:val="auto"/>
                <w:sz w:val="21"/>
                <w:szCs w:val="21"/>
                <w:highlight w:val="none"/>
              </w:rPr>
            </w:pPr>
          </w:p>
        </w:tc>
        <w:tc>
          <w:tcPr>
            <w:tcW w:w="1419" w:type="dxa"/>
            <w:vAlign w:val="center"/>
          </w:tcPr>
          <w:p w14:paraId="502FE2B6">
            <w:pPr>
              <w:rPr>
                <w:rFonts w:hint="eastAsia" w:ascii="宋体" w:hAnsi="宋体" w:eastAsia="宋体" w:cs="宋体"/>
                <w:color w:val="auto"/>
                <w:sz w:val="21"/>
                <w:szCs w:val="21"/>
                <w:highlight w:val="none"/>
              </w:rPr>
            </w:pPr>
          </w:p>
        </w:tc>
        <w:tc>
          <w:tcPr>
            <w:tcW w:w="1402" w:type="dxa"/>
            <w:vAlign w:val="center"/>
          </w:tcPr>
          <w:p w14:paraId="44F7BE63">
            <w:pPr>
              <w:rPr>
                <w:rFonts w:hint="eastAsia" w:ascii="宋体" w:hAnsi="宋体" w:eastAsia="宋体" w:cs="宋体"/>
                <w:color w:val="auto"/>
                <w:sz w:val="21"/>
                <w:szCs w:val="21"/>
                <w:highlight w:val="none"/>
              </w:rPr>
            </w:pPr>
          </w:p>
        </w:tc>
        <w:tc>
          <w:tcPr>
            <w:tcW w:w="1495" w:type="dxa"/>
            <w:vAlign w:val="center"/>
          </w:tcPr>
          <w:p w14:paraId="463BDC1B">
            <w:pPr>
              <w:rPr>
                <w:rFonts w:hint="eastAsia" w:ascii="宋体" w:hAnsi="宋体" w:eastAsia="宋体" w:cs="宋体"/>
                <w:color w:val="auto"/>
                <w:sz w:val="21"/>
                <w:szCs w:val="21"/>
                <w:highlight w:val="none"/>
              </w:rPr>
            </w:pPr>
          </w:p>
        </w:tc>
        <w:tc>
          <w:tcPr>
            <w:tcW w:w="1049" w:type="dxa"/>
            <w:vAlign w:val="center"/>
          </w:tcPr>
          <w:p w14:paraId="5208210B">
            <w:pPr>
              <w:rPr>
                <w:rFonts w:hint="eastAsia" w:ascii="宋体" w:hAnsi="宋体" w:eastAsia="宋体" w:cs="宋体"/>
                <w:color w:val="auto"/>
                <w:sz w:val="21"/>
                <w:szCs w:val="21"/>
                <w:highlight w:val="none"/>
              </w:rPr>
            </w:pPr>
          </w:p>
        </w:tc>
      </w:tr>
      <w:tr w14:paraId="6F118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813" w:type="dxa"/>
            <w:vAlign w:val="center"/>
          </w:tcPr>
          <w:p w14:paraId="1FCCAE38">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180" w:type="dxa"/>
            <w:vAlign w:val="center"/>
          </w:tcPr>
          <w:p w14:paraId="1728B663">
            <w:pPr>
              <w:rPr>
                <w:rFonts w:hint="eastAsia" w:ascii="宋体" w:hAnsi="宋体" w:eastAsia="宋体" w:cs="宋体"/>
                <w:color w:val="auto"/>
                <w:sz w:val="21"/>
                <w:szCs w:val="21"/>
                <w:highlight w:val="none"/>
              </w:rPr>
            </w:pPr>
          </w:p>
        </w:tc>
        <w:tc>
          <w:tcPr>
            <w:tcW w:w="1364" w:type="dxa"/>
            <w:vAlign w:val="center"/>
          </w:tcPr>
          <w:p w14:paraId="5B701B38">
            <w:pPr>
              <w:rPr>
                <w:rFonts w:hint="eastAsia" w:ascii="宋体" w:hAnsi="宋体" w:eastAsia="宋体" w:cs="宋体"/>
                <w:color w:val="auto"/>
                <w:sz w:val="21"/>
                <w:szCs w:val="21"/>
                <w:highlight w:val="none"/>
              </w:rPr>
            </w:pPr>
          </w:p>
        </w:tc>
        <w:tc>
          <w:tcPr>
            <w:tcW w:w="1419" w:type="dxa"/>
            <w:vAlign w:val="center"/>
          </w:tcPr>
          <w:p w14:paraId="0BFD5658">
            <w:pPr>
              <w:rPr>
                <w:rFonts w:hint="eastAsia" w:ascii="宋体" w:hAnsi="宋体" w:eastAsia="宋体" w:cs="宋体"/>
                <w:color w:val="auto"/>
                <w:sz w:val="21"/>
                <w:szCs w:val="21"/>
                <w:highlight w:val="none"/>
              </w:rPr>
            </w:pPr>
          </w:p>
        </w:tc>
        <w:tc>
          <w:tcPr>
            <w:tcW w:w="1402" w:type="dxa"/>
            <w:vAlign w:val="center"/>
          </w:tcPr>
          <w:p w14:paraId="56955758">
            <w:pPr>
              <w:rPr>
                <w:rFonts w:hint="eastAsia" w:ascii="宋体" w:hAnsi="宋体" w:eastAsia="宋体" w:cs="宋体"/>
                <w:color w:val="auto"/>
                <w:sz w:val="21"/>
                <w:szCs w:val="21"/>
                <w:highlight w:val="none"/>
              </w:rPr>
            </w:pPr>
          </w:p>
        </w:tc>
        <w:tc>
          <w:tcPr>
            <w:tcW w:w="1495" w:type="dxa"/>
            <w:vAlign w:val="center"/>
          </w:tcPr>
          <w:p w14:paraId="6AF4F252">
            <w:pPr>
              <w:rPr>
                <w:rFonts w:hint="eastAsia" w:ascii="宋体" w:hAnsi="宋体" w:eastAsia="宋体" w:cs="宋体"/>
                <w:color w:val="auto"/>
                <w:sz w:val="21"/>
                <w:szCs w:val="21"/>
                <w:highlight w:val="none"/>
              </w:rPr>
            </w:pPr>
          </w:p>
        </w:tc>
        <w:tc>
          <w:tcPr>
            <w:tcW w:w="1049" w:type="dxa"/>
            <w:vAlign w:val="center"/>
          </w:tcPr>
          <w:p w14:paraId="0E461DD3">
            <w:pPr>
              <w:rPr>
                <w:rFonts w:hint="eastAsia" w:ascii="宋体" w:hAnsi="宋体" w:eastAsia="宋体" w:cs="宋体"/>
                <w:color w:val="auto"/>
                <w:sz w:val="21"/>
                <w:szCs w:val="21"/>
                <w:highlight w:val="none"/>
              </w:rPr>
            </w:pPr>
          </w:p>
        </w:tc>
      </w:tr>
      <w:tr w14:paraId="68222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13" w:type="dxa"/>
            <w:vAlign w:val="center"/>
          </w:tcPr>
          <w:p w14:paraId="5EB02E4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180" w:type="dxa"/>
            <w:vAlign w:val="center"/>
          </w:tcPr>
          <w:p w14:paraId="30E7C832">
            <w:pPr>
              <w:rPr>
                <w:rFonts w:hint="eastAsia" w:ascii="宋体" w:hAnsi="宋体" w:eastAsia="宋体" w:cs="宋体"/>
                <w:color w:val="auto"/>
                <w:sz w:val="21"/>
                <w:szCs w:val="21"/>
                <w:highlight w:val="none"/>
              </w:rPr>
            </w:pPr>
          </w:p>
        </w:tc>
        <w:tc>
          <w:tcPr>
            <w:tcW w:w="1364" w:type="dxa"/>
            <w:vAlign w:val="center"/>
          </w:tcPr>
          <w:p w14:paraId="147B2F98">
            <w:pPr>
              <w:rPr>
                <w:rFonts w:hint="eastAsia" w:ascii="宋体" w:hAnsi="宋体" w:eastAsia="宋体" w:cs="宋体"/>
                <w:color w:val="auto"/>
                <w:sz w:val="21"/>
                <w:szCs w:val="21"/>
                <w:highlight w:val="none"/>
              </w:rPr>
            </w:pPr>
          </w:p>
        </w:tc>
        <w:tc>
          <w:tcPr>
            <w:tcW w:w="1419" w:type="dxa"/>
            <w:vAlign w:val="center"/>
          </w:tcPr>
          <w:p w14:paraId="61B0E0D4">
            <w:pPr>
              <w:rPr>
                <w:rFonts w:hint="eastAsia" w:ascii="宋体" w:hAnsi="宋体" w:eastAsia="宋体" w:cs="宋体"/>
                <w:color w:val="auto"/>
                <w:sz w:val="21"/>
                <w:szCs w:val="21"/>
                <w:highlight w:val="none"/>
              </w:rPr>
            </w:pPr>
          </w:p>
        </w:tc>
        <w:tc>
          <w:tcPr>
            <w:tcW w:w="1402" w:type="dxa"/>
            <w:vAlign w:val="center"/>
          </w:tcPr>
          <w:p w14:paraId="6B918799">
            <w:pPr>
              <w:rPr>
                <w:rFonts w:hint="eastAsia" w:ascii="宋体" w:hAnsi="宋体" w:eastAsia="宋体" w:cs="宋体"/>
                <w:color w:val="auto"/>
                <w:sz w:val="21"/>
                <w:szCs w:val="21"/>
                <w:highlight w:val="none"/>
              </w:rPr>
            </w:pPr>
          </w:p>
        </w:tc>
        <w:tc>
          <w:tcPr>
            <w:tcW w:w="1495" w:type="dxa"/>
            <w:vAlign w:val="center"/>
          </w:tcPr>
          <w:p w14:paraId="1BCEEA1A">
            <w:pPr>
              <w:rPr>
                <w:rFonts w:hint="eastAsia" w:ascii="宋体" w:hAnsi="宋体" w:eastAsia="宋体" w:cs="宋体"/>
                <w:color w:val="auto"/>
                <w:sz w:val="21"/>
                <w:szCs w:val="21"/>
                <w:highlight w:val="none"/>
              </w:rPr>
            </w:pPr>
          </w:p>
        </w:tc>
        <w:tc>
          <w:tcPr>
            <w:tcW w:w="1049" w:type="dxa"/>
            <w:vAlign w:val="center"/>
          </w:tcPr>
          <w:p w14:paraId="4A3F6BEC">
            <w:pPr>
              <w:rPr>
                <w:rFonts w:hint="eastAsia" w:ascii="宋体" w:hAnsi="宋体" w:eastAsia="宋体" w:cs="宋体"/>
                <w:color w:val="auto"/>
                <w:sz w:val="21"/>
                <w:szCs w:val="21"/>
                <w:highlight w:val="none"/>
              </w:rPr>
            </w:pPr>
          </w:p>
        </w:tc>
      </w:tr>
      <w:bookmarkEnd w:id="678"/>
    </w:tbl>
    <w:p w14:paraId="217BAF3D">
      <w:pPr>
        <w:rPr>
          <w:rFonts w:hint="eastAsia" w:cs="仿宋_GB2312"/>
          <w:color w:val="auto"/>
          <w:szCs w:val="24"/>
          <w:highlight w:val="none"/>
        </w:rPr>
      </w:pPr>
    </w:p>
    <w:p w14:paraId="088168D4">
      <w:pPr>
        <w:rPr>
          <w:rFonts w:cs="仿宋_GB2312"/>
          <w:color w:val="auto"/>
          <w:sz w:val="21"/>
          <w:szCs w:val="21"/>
          <w:highlight w:val="none"/>
        </w:rPr>
      </w:pPr>
      <w:r>
        <w:rPr>
          <w:rFonts w:hint="eastAsia" w:cs="仿宋_GB2312"/>
          <w:color w:val="auto"/>
          <w:sz w:val="21"/>
          <w:szCs w:val="21"/>
          <w:highlight w:val="none"/>
        </w:rPr>
        <w:t>注：投标人须按</w:t>
      </w:r>
      <w:r>
        <w:rPr>
          <w:rFonts w:hint="eastAsia" w:cs="仿宋_GB2312"/>
          <w:color w:val="auto"/>
          <w:sz w:val="21"/>
          <w:szCs w:val="21"/>
          <w:highlight w:val="none"/>
          <w:lang w:val="en-US" w:eastAsia="zh-CN"/>
        </w:rPr>
        <w:t>相关要求</w:t>
      </w:r>
      <w:r>
        <w:rPr>
          <w:rFonts w:hint="eastAsia" w:cs="仿宋_GB2312"/>
          <w:color w:val="auto"/>
          <w:sz w:val="21"/>
          <w:szCs w:val="21"/>
          <w:highlight w:val="none"/>
        </w:rPr>
        <w:t>提供相应的</w:t>
      </w:r>
      <w:r>
        <w:rPr>
          <w:rFonts w:hint="eastAsia" w:cs="仿宋_GB2312"/>
          <w:color w:val="auto"/>
          <w:sz w:val="21"/>
          <w:szCs w:val="21"/>
          <w:highlight w:val="none"/>
          <w:lang w:val="en-US" w:eastAsia="zh-CN"/>
        </w:rPr>
        <w:t>中标（成交）通知书、采购合同等</w:t>
      </w:r>
      <w:r>
        <w:rPr>
          <w:rFonts w:hint="eastAsia" w:cs="仿宋_GB2312"/>
          <w:color w:val="auto"/>
          <w:sz w:val="21"/>
          <w:szCs w:val="21"/>
          <w:highlight w:val="none"/>
        </w:rPr>
        <w:t>业绩证明资料。</w:t>
      </w:r>
    </w:p>
    <w:p w14:paraId="57D75AD1">
      <w:pPr>
        <w:rPr>
          <w:rFonts w:cs="仿宋_GB2312"/>
          <w:color w:val="auto"/>
          <w:szCs w:val="24"/>
          <w:highlight w:val="none"/>
        </w:rPr>
      </w:pPr>
    </w:p>
    <w:p w14:paraId="5DB99613">
      <w:pPr>
        <w:widowControl/>
        <w:spacing w:before="100" w:beforeAutospacing="1" w:after="100" w:afterAutospacing="1"/>
        <w:rPr>
          <w:rFonts w:cs="Arial"/>
          <w:color w:val="auto"/>
          <w:szCs w:val="21"/>
          <w:highlight w:val="none"/>
        </w:rPr>
      </w:pPr>
    </w:p>
    <w:p w14:paraId="68FCBA1E">
      <w:pPr>
        <w:ind w:firstLine="480" w:firstLineChars="200"/>
        <w:rPr>
          <w:rFonts w:cs="仿宋_GB2312"/>
          <w:color w:val="auto"/>
          <w:szCs w:val="24"/>
          <w:highlight w:val="none"/>
        </w:rPr>
      </w:pPr>
      <w:r>
        <w:rPr>
          <w:rFonts w:hint="eastAsia" w:cs="仿宋_GB2312"/>
          <w:color w:val="auto"/>
          <w:szCs w:val="24"/>
          <w:highlight w:val="none"/>
        </w:rPr>
        <w:t>投标人名称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hint="eastAsia" w:cs="仿宋_GB2312"/>
          <w:color w:val="auto"/>
          <w:szCs w:val="24"/>
          <w:highlight w:val="none"/>
        </w:rPr>
        <w:t>：</w:t>
      </w:r>
      <w:r>
        <w:rPr>
          <w:rFonts w:cs="仿宋_GB2312"/>
          <w:color w:val="auto"/>
          <w:szCs w:val="24"/>
          <w:highlight w:val="none"/>
        </w:rPr>
        <w:t xml:space="preserve"> </w:t>
      </w:r>
    </w:p>
    <w:p w14:paraId="360811C8">
      <w:pPr>
        <w:ind w:firstLine="420"/>
        <w:rPr>
          <w:rFonts w:cs="仿宋_GB2312"/>
          <w:color w:val="auto"/>
          <w:szCs w:val="24"/>
          <w:highlight w:val="none"/>
        </w:rPr>
      </w:pPr>
      <w:r>
        <w:rPr>
          <w:rFonts w:hint="eastAsia" w:cs="仿宋_GB2312"/>
          <w:color w:val="auto"/>
          <w:szCs w:val="24"/>
          <w:highlight w:val="none"/>
        </w:rPr>
        <w:t>日      期：</w:t>
      </w:r>
    </w:p>
    <w:p w14:paraId="095105C8">
      <w:pPr>
        <w:ind w:firstLine="420"/>
        <w:rPr>
          <w:rFonts w:cs="仿宋_GB2312"/>
          <w:color w:val="auto"/>
          <w:szCs w:val="24"/>
          <w:highlight w:val="none"/>
        </w:rPr>
      </w:pPr>
      <w:r>
        <w:rPr>
          <w:rFonts w:cs="仿宋_GB2312"/>
          <w:color w:val="auto"/>
          <w:szCs w:val="24"/>
          <w:highlight w:val="none"/>
        </w:rPr>
        <w:br w:type="page"/>
      </w:r>
    </w:p>
    <w:p w14:paraId="4E924C81">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679" w:name="_Toc16376"/>
      <w:bookmarkStart w:id="680" w:name="_Toc24146"/>
      <w:r>
        <w:rPr>
          <w:rFonts w:hint="eastAsia" w:cstheme="majorBidi"/>
          <w:b/>
          <w:bCs/>
          <w:color w:val="auto"/>
          <w:kern w:val="2"/>
          <w:sz w:val="32"/>
          <w:szCs w:val="32"/>
          <w:highlight w:val="none"/>
          <w:lang w:val="en-US" w:eastAsia="zh-CN" w:bidi="ar-SA"/>
        </w:rPr>
        <w:t>八</w:t>
      </w:r>
      <w:r>
        <w:rPr>
          <w:rFonts w:hint="eastAsia" w:eastAsia="宋体" w:asciiTheme="majorHAnsi" w:hAnsiTheme="majorHAnsi" w:cstheme="majorBidi"/>
          <w:b/>
          <w:bCs/>
          <w:color w:val="auto"/>
          <w:kern w:val="2"/>
          <w:sz w:val="32"/>
          <w:szCs w:val="32"/>
          <w:highlight w:val="none"/>
          <w:lang w:val="en-US" w:eastAsia="zh-CN" w:bidi="ar-SA"/>
        </w:rPr>
        <w:t>、拟派项目团队</w:t>
      </w:r>
      <w:bookmarkEnd w:id="679"/>
      <w:bookmarkEnd w:id="680"/>
    </w:p>
    <w:tbl>
      <w:tblPr>
        <w:tblStyle w:val="29"/>
        <w:tblW w:w="9252" w:type="dxa"/>
        <w:tblInd w:w="-4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3"/>
        <w:gridCol w:w="1267"/>
        <w:gridCol w:w="1296"/>
        <w:gridCol w:w="1080"/>
        <w:gridCol w:w="804"/>
        <w:gridCol w:w="1860"/>
        <w:gridCol w:w="1356"/>
        <w:gridCol w:w="816"/>
      </w:tblGrid>
      <w:tr w14:paraId="377CE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4" w:hRule="atLeast"/>
        </w:trPr>
        <w:tc>
          <w:tcPr>
            <w:tcW w:w="773" w:type="dxa"/>
            <w:vAlign w:val="center"/>
          </w:tcPr>
          <w:p w14:paraId="6B0F7825">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267" w:type="dxa"/>
            <w:vAlign w:val="center"/>
          </w:tcPr>
          <w:p w14:paraId="1096055A">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团队成员</w:t>
            </w:r>
          </w:p>
          <w:p w14:paraId="09FA2F86">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1296" w:type="dxa"/>
            <w:tcBorders>
              <w:right w:val="single" w:color="auto" w:sz="4" w:space="0"/>
            </w:tcBorders>
            <w:vAlign w:val="center"/>
          </w:tcPr>
          <w:p w14:paraId="4D802FFD">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工作单位</w:t>
            </w:r>
          </w:p>
        </w:tc>
        <w:tc>
          <w:tcPr>
            <w:tcW w:w="1080" w:type="dxa"/>
            <w:tcBorders>
              <w:left w:val="single" w:color="auto" w:sz="4" w:space="0"/>
            </w:tcBorders>
            <w:vAlign w:val="center"/>
          </w:tcPr>
          <w:p w14:paraId="3116E3D2">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p>
        </w:tc>
        <w:tc>
          <w:tcPr>
            <w:tcW w:w="804" w:type="dxa"/>
            <w:tcBorders>
              <w:left w:val="single" w:color="auto" w:sz="4" w:space="0"/>
            </w:tcBorders>
            <w:vAlign w:val="center"/>
          </w:tcPr>
          <w:p w14:paraId="1115941F">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职称</w:t>
            </w:r>
          </w:p>
        </w:tc>
        <w:tc>
          <w:tcPr>
            <w:tcW w:w="1860" w:type="dxa"/>
            <w:vAlign w:val="center"/>
          </w:tcPr>
          <w:p w14:paraId="0940B260">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注册证书（岗位证书）名称及编号</w:t>
            </w:r>
          </w:p>
        </w:tc>
        <w:tc>
          <w:tcPr>
            <w:tcW w:w="1356" w:type="dxa"/>
            <w:vAlign w:val="center"/>
          </w:tcPr>
          <w:p w14:paraId="422D7D9F">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在团队中职务（岗位）</w:t>
            </w:r>
          </w:p>
        </w:tc>
        <w:tc>
          <w:tcPr>
            <w:tcW w:w="816" w:type="dxa"/>
            <w:vAlign w:val="center"/>
          </w:tcPr>
          <w:p w14:paraId="79229F16">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自有/外聘</w:t>
            </w:r>
          </w:p>
        </w:tc>
      </w:tr>
      <w:tr w14:paraId="34A62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239BDB40">
            <w:pPr>
              <w:pStyle w:val="48"/>
              <w:jc w:val="center"/>
              <w:rPr>
                <w:rFonts w:hint="eastAsia" w:ascii="宋体" w:hAnsi="宋体" w:eastAsia="宋体" w:cs="宋体"/>
                <w:color w:val="auto"/>
                <w:sz w:val="21"/>
                <w:szCs w:val="21"/>
                <w:highlight w:val="none"/>
              </w:rPr>
            </w:pPr>
            <w:bookmarkStart w:id="681" w:name="_Toc99533292"/>
            <w:bookmarkStart w:id="682" w:name="_Toc100090784"/>
            <w:r>
              <w:rPr>
                <w:rFonts w:hint="eastAsia" w:ascii="宋体" w:hAnsi="宋体" w:eastAsia="宋体" w:cs="宋体"/>
                <w:color w:val="auto"/>
                <w:sz w:val="21"/>
                <w:szCs w:val="21"/>
                <w:highlight w:val="none"/>
              </w:rPr>
              <w:t>1</w:t>
            </w:r>
            <w:bookmarkEnd w:id="681"/>
            <w:bookmarkEnd w:id="682"/>
          </w:p>
        </w:tc>
        <w:tc>
          <w:tcPr>
            <w:tcW w:w="1267" w:type="dxa"/>
            <w:vAlign w:val="center"/>
          </w:tcPr>
          <w:p w14:paraId="04D72608">
            <w:pPr>
              <w:pStyle w:val="48"/>
              <w:jc w:val="center"/>
              <w:rPr>
                <w:rFonts w:hint="eastAsia" w:ascii="宋体" w:hAnsi="宋体" w:eastAsia="宋体" w:cs="宋体"/>
                <w:color w:val="auto"/>
                <w:sz w:val="21"/>
                <w:szCs w:val="21"/>
                <w:highlight w:val="none"/>
              </w:rPr>
            </w:pPr>
          </w:p>
        </w:tc>
        <w:tc>
          <w:tcPr>
            <w:tcW w:w="1296" w:type="dxa"/>
            <w:tcBorders>
              <w:right w:val="single" w:color="auto" w:sz="4" w:space="0"/>
            </w:tcBorders>
            <w:vAlign w:val="center"/>
          </w:tcPr>
          <w:p w14:paraId="7C735158">
            <w:pPr>
              <w:pStyle w:val="48"/>
              <w:jc w:val="center"/>
              <w:rPr>
                <w:rFonts w:hint="eastAsia" w:ascii="宋体" w:hAnsi="宋体" w:eastAsia="宋体" w:cs="宋体"/>
                <w:color w:val="auto"/>
                <w:sz w:val="21"/>
                <w:szCs w:val="21"/>
                <w:highlight w:val="none"/>
              </w:rPr>
            </w:pPr>
          </w:p>
        </w:tc>
        <w:tc>
          <w:tcPr>
            <w:tcW w:w="1080" w:type="dxa"/>
            <w:tcBorders>
              <w:left w:val="single" w:color="auto" w:sz="4" w:space="0"/>
            </w:tcBorders>
            <w:vAlign w:val="center"/>
          </w:tcPr>
          <w:p w14:paraId="0EF6F977">
            <w:pPr>
              <w:pStyle w:val="48"/>
              <w:jc w:val="center"/>
              <w:rPr>
                <w:rFonts w:hint="eastAsia" w:ascii="宋体" w:hAnsi="宋体" w:eastAsia="宋体" w:cs="宋体"/>
                <w:color w:val="auto"/>
                <w:sz w:val="21"/>
                <w:szCs w:val="21"/>
                <w:highlight w:val="none"/>
              </w:rPr>
            </w:pPr>
          </w:p>
        </w:tc>
        <w:tc>
          <w:tcPr>
            <w:tcW w:w="804" w:type="dxa"/>
            <w:tcBorders>
              <w:left w:val="single" w:color="auto" w:sz="4" w:space="0"/>
            </w:tcBorders>
            <w:vAlign w:val="center"/>
          </w:tcPr>
          <w:p w14:paraId="3483447B">
            <w:pPr>
              <w:pStyle w:val="48"/>
              <w:jc w:val="center"/>
              <w:rPr>
                <w:rFonts w:hint="eastAsia" w:ascii="宋体" w:hAnsi="宋体" w:eastAsia="宋体" w:cs="宋体"/>
                <w:color w:val="auto"/>
                <w:sz w:val="21"/>
                <w:szCs w:val="21"/>
                <w:highlight w:val="none"/>
              </w:rPr>
            </w:pPr>
          </w:p>
        </w:tc>
        <w:tc>
          <w:tcPr>
            <w:tcW w:w="1860" w:type="dxa"/>
            <w:vAlign w:val="center"/>
          </w:tcPr>
          <w:p w14:paraId="7F355EC3">
            <w:pPr>
              <w:pStyle w:val="48"/>
              <w:jc w:val="center"/>
              <w:rPr>
                <w:rFonts w:hint="eastAsia" w:ascii="宋体" w:hAnsi="宋体" w:eastAsia="宋体" w:cs="宋体"/>
                <w:color w:val="auto"/>
                <w:sz w:val="21"/>
                <w:szCs w:val="21"/>
                <w:highlight w:val="none"/>
              </w:rPr>
            </w:pPr>
          </w:p>
        </w:tc>
        <w:tc>
          <w:tcPr>
            <w:tcW w:w="1356" w:type="dxa"/>
            <w:vAlign w:val="center"/>
          </w:tcPr>
          <w:p w14:paraId="11476DCE">
            <w:pPr>
              <w:pStyle w:val="48"/>
              <w:jc w:val="center"/>
              <w:rPr>
                <w:rFonts w:hint="eastAsia" w:ascii="宋体" w:hAnsi="宋体" w:eastAsia="宋体" w:cs="宋体"/>
                <w:color w:val="auto"/>
                <w:sz w:val="21"/>
                <w:szCs w:val="21"/>
                <w:highlight w:val="none"/>
              </w:rPr>
            </w:pPr>
          </w:p>
        </w:tc>
        <w:tc>
          <w:tcPr>
            <w:tcW w:w="816" w:type="dxa"/>
            <w:vAlign w:val="center"/>
          </w:tcPr>
          <w:p w14:paraId="30F5864D">
            <w:pPr>
              <w:pStyle w:val="48"/>
              <w:jc w:val="center"/>
              <w:rPr>
                <w:rFonts w:hint="eastAsia" w:ascii="宋体" w:hAnsi="宋体" w:eastAsia="宋体" w:cs="宋体"/>
                <w:color w:val="auto"/>
                <w:sz w:val="21"/>
                <w:szCs w:val="21"/>
                <w:highlight w:val="none"/>
              </w:rPr>
            </w:pPr>
          </w:p>
        </w:tc>
      </w:tr>
      <w:tr w14:paraId="19E49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47F12C5C">
            <w:pPr>
              <w:pStyle w:val="48"/>
              <w:jc w:val="center"/>
              <w:rPr>
                <w:rFonts w:hint="eastAsia" w:ascii="宋体" w:hAnsi="宋体" w:eastAsia="宋体" w:cs="宋体"/>
                <w:color w:val="auto"/>
                <w:sz w:val="21"/>
                <w:szCs w:val="21"/>
                <w:highlight w:val="none"/>
              </w:rPr>
            </w:pPr>
            <w:bookmarkStart w:id="683" w:name="_Toc100090785"/>
            <w:bookmarkStart w:id="684" w:name="_Toc99533293"/>
            <w:r>
              <w:rPr>
                <w:rFonts w:hint="eastAsia" w:ascii="宋体" w:hAnsi="宋体" w:eastAsia="宋体" w:cs="宋体"/>
                <w:color w:val="auto"/>
                <w:sz w:val="21"/>
                <w:szCs w:val="21"/>
                <w:highlight w:val="none"/>
              </w:rPr>
              <w:t>2</w:t>
            </w:r>
            <w:bookmarkEnd w:id="683"/>
            <w:bookmarkEnd w:id="684"/>
          </w:p>
        </w:tc>
        <w:tc>
          <w:tcPr>
            <w:tcW w:w="1267" w:type="dxa"/>
            <w:vAlign w:val="center"/>
          </w:tcPr>
          <w:p w14:paraId="3AE14FF6">
            <w:pPr>
              <w:pStyle w:val="48"/>
              <w:jc w:val="center"/>
              <w:rPr>
                <w:rFonts w:hint="eastAsia" w:ascii="宋体" w:hAnsi="宋体" w:eastAsia="宋体" w:cs="宋体"/>
                <w:color w:val="auto"/>
                <w:sz w:val="21"/>
                <w:szCs w:val="21"/>
                <w:highlight w:val="none"/>
              </w:rPr>
            </w:pPr>
          </w:p>
        </w:tc>
        <w:tc>
          <w:tcPr>
            <w:tcW w:w="1296" w:type="dxa"/>
            <w:tcBorders>
              <w:right w:val="single" w:color="auto" w:sz="4" w:space="0"/>
            </w:tcBorders>
            <w:vAlign w:val="center"/>
          </w:tcPr>
          <w:p w14:paraId="06FFE829">
            <w:pPr>
              <w:pStyle w:val="48"/>
              <w:jc w:val="center"/>
              <w:rPr>
                <w:rFonts w:hint="eastAsia" w:ascii="宋体" w:hAnsi="宋体" w:eastAsia="宋体" w:cs="宋体"/>
                <w:color w:val="auto"/>
                <w:sz w:val="21"/>
                <w:szCs w:val="21"/>
                <w:highlight w:val="none"/>
              </w:rPr>
            </w:pPr>
          </w:p>
        </w:tc>
        <w:tc>
          <w:tcPr>
            <w:tcW w:w="1080" w:type="dxa"/>
            <w:tcBorders>
              <w:left w:val="single" w:color="auto" w:sz="4" w:space="0"/>
            </w:tcBorders>
            <w:vAlign w:val="center"/>
          </w:tcPr>
          <w:p w14:paraId="1A33E450">
            <w:pPr>
              <w:pStyle w:val="48"/>
              <w:jc w:val="center"/>
              <w:rPr>
                <w:rFonts w:hint="eastAsia" w:ascii="宋体" w:hAnsi="宋体" w:eastAsia="宋体" w:cs="宋体"/>
                <w:color w:val="auto"/>
                <w:sz w:val="21"/>
                <w:szCs w:val="21"/>
                <w:highlight w:val="none"/>
              </w:rPr>
            </w:pPr>
          </w:p>
        </w:tc>
        <w:tc>
          <w:tcPr>
            <w:tcW w:w="804" w:type="dxa"/>
            <w:tcBorders>
              <w:left w:val="single" w:color="auto" w:sz="4" w:space="0"/>
            </w:tcBorders>
            <w:vAlign w:val="center"/>
          </w:tcPr>
          <w:p w14:paraId="476ECD82">
            <w:pPr>
              <w:pStyle w:val="48"/>
              <w:jc w:val="center"/>
              <w:rPr>
                <w:rFonts w:hint="eastAsia" w:ascii="宋体" w:hAnsi="宋体" w:eastAsia="宋体" w:cs="宋体"/>
                <w:color w:val="auto"/>
                <w:sz w:val="21"/>
                <w:szCs w:val="21"/>
                <w:highlight w:val="none"/>
              </w:rPr>
            </w:pPr>
          </w:p>
        </w:tc>
        <w:tc>
          <w:tcPr>
            <w:tcW w:w="1860" w:type="dxa"/>
            <w:vAlign w:val="center"/>
          </w:tcPr>
          <w:p w14:paraId="390E678F">
            <w:pPr>
              <w:pStyle w:val="48"/>
              <w:jc w:val="center"/>
              <w:rPr>
                <w:rFonts w:hint="eastAsia" w:ascii="宋体" w:hAnsi="宋体" w:eastAsia="宋体" w:cs="宋体"/>
                <w:color w:val="auto"/>
                <w:sz w:val="21"/>
                <w:szCs w:val="21"/>
                <w:highlight w:val="none"/>
              </w:rPr>
            </w:pPr>
          </w:p>
        </w:tc>
        <w:tc>
          <w:tcPr>
            <w:tcW w:w="1356" w:type="dxa"/>
            <w:vAlign w:val="center"/>
          </w:tcPr>
          <w:p w14:paraId="44B4146B">
            <w:pPr>
              <w:pStyle w:val="48"/>
              <w:jc w:val="center"/>
              <w:rPr>
                <w:rFonts w:hint="eastAsia" w:ascii="宋体" w:hAnsi="宋体" w:eastAsia="宋体" w:cs="宋体"/>
                <w:color w:val="auto"/>
                <w:sz w:val="21"/>
                <w:szCs w:val="21"/>
                <w:highlight w:val="none"/>
              </w:rPr>
            </w:pPr>
          </w:p>
        </w:tc>
        <w:tc>
          <w:tcPr>
            <w:tcW w:w="816" w:type="dxa"/>
            <w:vAlign w:val="center"/>
          </w:tcPr>
          <w:p w14:paraId="3D8C0BFB">
            <w:pPr>
              <w:pStyle w:val="48"/>
              <w:jc w:val="center"/>
              <w:rPr>
                <w:rFonts w:hint="eastAsia" w:ascii="宋体" w:hAnsi="宋体" w:eastAsia="宋体" w:cs="宋体"/>
                <w:color w:val="auto"/>
                <w:sz w:val="21"/>
                <w:szCs w:val="21"/>
                <w:highlight w:val="none"/>
              </w:rPr>
            </w:pPr>
          </w:p>
        </w:tc>
      </w:tr>
      <w:tr w14:paraId="5F5E2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0824241E">
            <w:pPr>
              <w:pStyle w:val="48"/>
              <w:jc w:val="center"/>
              <w:rPr>
                <w:rFonts w:hint="eastAsia" w:ascii="宋体" w:hAnsi="宋体" w:eastAsia="宋体" w:cs="宋体"/>
                <w:color w:val="auto"/>
                <w:sz w:val="21"/>
                <w:szCs w:val="21"/>
                <w:highlight w:val="none"/>
              </w:rPr>
            </w:pPr>
            <w:bookmarkStart w:id="685" w:name="_Toc100090786"/>
            <w:bookmarkStart w:id="686" w:name="_Toc99533294"/>
            <w:r>
              <w:rPr>
                <w:rFonts w:hint="eastAsia" w:ascii="宋体" w:hAnsi="宋体" w:eastAsia="宋体" w:cs="宋体"/>
                <w:color w:val="auto"/>
                <w:sz w:val="21"/>
                <w:szCs w:val="21"/>
                <w:highlight w:val="none"/>
              </w:rPr>
              <w:t>3</w:t>
            </w:r>
            <w:bookmarkEnd w:id="685"/>
            <w:bookmarkEnd w:id="686"/>
          </w:p>
        </w:tc>
        <w:tc>
          <w:tcPr>
            <w:tcW w:w="1267" w:type="dxa"/>
            <w:vAlign w:val="center"/>
          </w:tcPr>
          <w:p w14:paraId="19C12411">
            <w:pPr>
              <w:pStyle w:val="48"/>
              <w:jc w:val="center"/>
              <w:rPr>
                <w:rFonts w:hint="eastAsia" w:ascii="宋体" w:hAnsi="宋体" w:eastAsia="宋体" w:cs="宋体"/>
                <w:color w:val="auto"/>
                <w:sz w:val="21"/>
                <w:szCs w:val="21"/>
                <w:highlight w:val="none"/>
              </w:rPr>
            </w:pPr>
          </w:p>
        </w:tc>
        <w:tc>
          <w:tcPr>
            <w:tcW w:w="1296" w:type="dxa"/>
            <w:tcBorders>
              <w:right w:val="single" w:color="auto" w:sz="4" w:space="0"/>
            </w:tcBorders>
            <w:vAlign w:val="center"/>
          </w:tcPr>
          <w:p w14:paraId="1E33B914">
            <w:pPr>
              <w:pStyle w:val="48"/>
              <w:jc w:val="center"/>
              <w:rPr>
                <w:rFonts w:hint="eastAsia" w:ascii="宋体" w:hAnsi="宋体" w:eastAsia="宋体" w:cs="宋体"/>
                <w:color w:val="auto"/>
                <w:sz w:val="21"/>
                <w:szCs w:val="21"/>
                <w:highlight w:val="none"/>
              </w:rPr>
            </w:pPr>
          </w:p>
        </w:tc>
        <w:tc>
          <w:tcPr>
            <w:tcW w:w="1080" w:type="dxa"/>
            <w:tcBorders>
              <w:left w:val="single" w:color="auto" w:sz="4" w:space="0"/>
            </w:tcBorders>
            <w:vAlign w:val="center"/>
          </w:tcPr>
          <w:p w14:paraId="70C10384">
            <w:pPr>
              <w:pStyle w:val="48"/>
              <w:jc w:val="center"/>
              <w:rPr>
                <w:rFonts w:hint="eastAsia" w:ascii="宋体" w:hAnsi="宋体" w:eastAsia="宋体" w:cs="宋体"/>
                <w:color w:val="auto"/>
                <w:sz w:val="21"/>
                <w:szCs w:val="21"/>
                <w:highlight w:val="none"/>
              </w:rPr>
            </w:pPr>
          </w:p>
        </w:tc>
        <w:tc>
          <w:tcPr>
            <w:tcW w:w="804" w:type="dxa"/>
            <w:tcBorders>
              <w:left w:val="single" w:color="auto" w:sz="4" w:space="0"/>
            </w:tcBorders>
            <w:vAlign w:val="center"/>
          </w:tcPr>
          <w:p w14:paraId="657B47D5">
            <w:pPr>
              <w:pStyle w:val="48"/>
              <w:jc w:val="center"/>
              <w:rPr>
                <w:rFonts w:hint="eastAsia" w:ascii="宋体" w:hAnsi="宋体" w:eastAsia="宋体" w:cs="宋体"/>
                <w:color w:val="auto"/>
                <w:sz w:val="21"/>
                <w:szCs w:val="21"/>
                <w:highlight w:val="none"/>
              </w:rPr>
            </w:pPr>
          </w:p>
        </w:tc>
        <w:tc>
          <w:tcPr>
            <w:tcW w:w="1860" w:type="dxa"/>
            <w:vAlign w:val="center"/>
          </w:tcPr>
          <w:p w14:paraId="3F31D2CD">
            <w:pPr>
              <w:pStyle w:val="48"/>
              <w:jc w:val="center"/>
              <w:rPr>
                <w:rFonts w:hint="eastAsia" w:ascii="宋体" w:hAnsi="宋体" w:eastAsia="宋体" w:cs="宋体"/>
                <w:color w:val="auto"/>
                <w:sz w:val="21"/>
                <w:szCs w:val="21"/>
                <w:highlight w:val="none"/>
              </w:rPr>
            </w:pPr>
          </w:p>
        </w:tc>
        <w:tc>
          <w:tcPr>
            <w:tcW w:w="1356" w:type="dxa"/>
            <w:vAlign w:val="center"/>
          </w:tcPr>
          <w:p w14:paraId="3A9D9DD7">
            <w:pPr>
              <w:pStyle w:val="48"/>
              <w:jc w:val="center"/>
              <w:rPr>
                <w:rFonts w:hint="eastAsia" w:ascii="宋体" w:hAnsi="宋体" w:eastAsia="宋体" w:cs="宋体"/>
                <w:color w:val="auto"/>
                <w:sz w:val="21"/>
                <w:szCs w:val="21"/>
                <w:highlight w:val="none"/>
              </w:rPr>
            </w:pPr>
          </w:p>
        </w:tc>
        <w:tc>
          <w:tcPr>
            <w:tcW w:w="816" w:type="dxa"/>
            <w:vAlign w:val="center"/>
          </w:tcPr>
          <w:p w14:paraId="0ED9D4FB">
            <w:pPr>
              <w:pStyle w:val="48"/>
              <w:jc w:val="center"/>
              <w:rPr>
                <w:rFonts w:hint="eastAsia" w:ascii="宋体" w:hAnsi="宋体" w:eastAsia="宋体" w:cs="宋体"/>
                <w:color w:val="auto"/>
                <w:sz w:val="21"/>
                <w:szCs w:val="21"/>
                <w:highlight w:val="none"/>
              </w:rPr>
            </w:pPr>
          </w:p>
        </w:tc>
      </w:tr>
      <w:tr w14:paraId="72391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329A399B">
            <w:pPr>
              <w:pStyle w:val="48"/>
              <w:jc w:val="center"/>
              <w:rPr>
                <w:rFonts w:hint="eastAsia" w:ascii="宋体" w:hAnsi="宋体" w:eastAsia="宋体" w:cs="宋体"/>
                <w:color w:val="auto"/>
                <w:sz w:val="21"/>
                <w:szCs w:val="21"/>
                <w:highlight w:val="none"/>
              </w:rPr>
            </w:pPr>
            <w:bookmarkStart w:id="687" w:name="_Toc99533295"/>
            <w:bookmarkStart w:id="688" w:name="_Toc100090787"/>
            <w:r>
              <w:rPr>
                <w:rFonts w:hint="eastAsia" w:ascii="宋体" w:hAnsi="宋体" w:eastAsia="宋体" w:cs="宋体"/>
                <w:color w:val="auto"/>
                <w:sz w:val="21"/>
                <w:szCs w:val="21"/>
                <w:highlight w:val="none"/>
              </w:rPr>
              <w:t>4</w:t>
            </w:r>
            <w:bookmarkEnd w:id="687"/>
            <w:bookmarkEnd w:id="688"/>
          </w:p>
        </w:tc>
        <w:tc>
          <w:tcPr>
            <w:tcW w:w="1267" w:type="dxa"/>
            <w:vAlign w:val="center"/>
          </w:tcPr>
          <w:p w14:paraId="42DE0F63">
            <w:pPr>
              <w:pStyle w:val="48"/>
              <w:jc w:val="center"/>
              <w:rPr>
                <w:rFonts w:hint="eastAsia" w:ascii="宋体" w:hAnsi="宋体" w:eastAsia="宋体" w:cs="宋体"/>
                <w:color w:val="auto"/>
                <w:sz w:val="21"/>
                <w:szCs w:val="21"/>
                <w:highlight w:val="none"/>
              </w:rPr>
            </w:pPr>
          </w:p>
        </w:tc>
        <w:tc>
          <w:tcPr>
            <w:tcW w:w="1296" w:type="dxa"/>
            <w:tcBorders>
              <w:right w:val="single" w:color="auto" w:sz="4" w:space="0"/>
            </w:tcBorders>
            <w:vAlign w:val="center"/>
          </w:tcPr>
          <w:p w14:paraId="3CA0809C">
            <w:pPr>
              <w:pStyle w:val="48"/>
              <w:jc w:val="center"/>
              <w:rPr>
                <w:rFonts w:hint="eastAsia" w:ascii="宋体" w:hAnsi="宋体" w:eastAsia="宋体" w:cs="宋体"/>
                <w:color w:val="auto"/>
                <w:sz w:val="21"/>
                <w:szCs w:val="21"/>
                <w:highlight w:val="none"/>
              </w:rPr>
            </w:pPr>
          </w:p>
        </w:tc>
        <w:tc>
          <w:tcPr>
            <w:tcW w:w="1080" w:type="dxa"/>
            <w:tcBorders>
              <w:left w:val="single" w:color="auto" w:sz="4" w:space="0"/>
            </w:tcBorders>
            <w:vAlign w:val="center"/>
          </w:tcPr>
          <w:p w14:paraId="6D63F4E6">
            <w:pPr>
              <w:pStyle w:val="48"/>
              <w:jc w:val="center"/>
              <w:rPr>
                <w:rFonts w:hint="eastAsia" w:ascii="宋体" w:hAnsi="宋体" w:eastAsia="宋体" w:cs="宋体"/>
                <w:color w:val="auto"/>
                <w:sz w:val="21"/>
                <w:szCs w:val="21"/>
                <w:highlight w:val="none"/>
              </w:rPr>
            </w:pPr>
          </w:p>
        </w:tc>
        <w:tc>
          <w:tcPr>
            <w:tcW w:w="804" w:type="dxa"/>
            <w:tcBorders>
              <w:left w:val="single" w:color="auto" w:sz="4" w:space="0"/>
            </w:tcBorders>
            <w:vAlign w:val="center"/>
          </w:tcPr>
          <w:p w14:paraId="496384D0">
            <w:pPr>
              <w:pStyle w:val="48"/>
              <w:jc w:val="center"/>
              <w:rPr>
                <w:rFonts w:hint="eastAsia" w:ascii="宋体" w:hAnsi="宋体" w:eastAsia="宋体" w:cs="宋体"/>
                <w:color w:val="auto"/>
                <w:sz w:val="21"/>
                <w:szCs w:val="21"/>
                <w:highlight w:val="none"/>
              </w:rPr>
            </w:pPr>
          </w:p>
        </w:tc>
        <w:tc>
          <w:tcPr>
            <w:tcW w:w="1860" w:type="dxa"/>
            <w:vAlign w:val="center"/>
          </w:tcPr>
          <w:p w14:paraId="068007BF">
            <w:pPr>
              <w:pStyle w:val="48"/>
              <w:jc w:val="center"/>
              <w:rPr>
                <w:rFonts w:hint="eastAsia" w:ascii="宋体" w:hAnsi="宋体" w:eastAsia="宋体" w:cs="宋体"/>
                <w:color w:val="auto"/>
                <w:sz w:val="21"/>
                <w:szCs w:val="21"/>
                <w:highlight w:val="none"/>
              </w:rPr>
            </w:pPr>
          </w:p>
        </w:tc>
        <w:tc>
          <w:tcPr>
            <w:tcW w:w="1356" w:type="dxa"/>
            <w:vAlign w:val="center"/>
          </w:tcPr>
          <w:p w14:paraId="5A94DC72">
            <w:pPr>
              <w:pStyle w:val="48"/>
              <w:jc w:val="center"/>
              <w:rPr>
                <w:rFonts w:hint="eastAsia" w:ascii="宋体" w:hAnsi="宋体" w:eastAsia="宋体" w:cs="宋体"/>
                <w:color w:val="auto"/>
                <w:sz w:val="21"/>
                <w:szCs w:val="21"/>
                <w:highlight w:val="none"/>
              </w:rPr>
            </w:pPr>
          </w:p>
        </w:tc>
        <w:tc>
          <w:tcPr>
            <w:tcW w:w="816" w:type="dxa"/>
            <w:vAlign w:val="center"/>
          </w:tcPr>
          <w:p w14:paraId="01F1E6DB">
            <w:pPr>
              <w:pStyle w:val="48"/>
              <w:jc w:val="center"/>
              <w:rPr>
                <w:rFonts w:hint="eastAsia" w:ascii="宋体" w:hAnsi="宋体" w:eastAsia="宋体" w:cs="宋体"/>
                <w:color w:val="auto"/>
                <w:sz w:val="21"/>
                <w:szCs w:val="21"/>
                <w:highlight w:val="none"/>
              </w:rPr>
            </w:pPr>
          </w:p>
        </w:tc>
      </w:tr>
      <w:tr w14:paraId="67CF6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61FE3797">
            <w:pPr>
              <w:pStyle w:val="48"/>
              <w:jc w:val="center"/>
              <w:rPr>
                <w:rFonts w:hint="eastAsia" w:ascii="宋体" w:hAnsi="宋体" w:eastAsia="宋体" w:cs="宋体"/>
                <w:color w:val="auto"/>
                <w:sz w:val="21"/>
                <w:szCs w:val="21"/>
                <w:highlight w:val="none"/>
              </w:rPr>
            </w:pPr>
            <w:bookmarkStart w:id="689" w:name="_Toc99533296"/>
            <w:bookmarkStart w:id="690" w:name="_Toc100090788"/>
            <w:r>
              <w:rPr>
                <w:rFonts w:hint="eastAsia" w:ascii="宋体" w:hAnsi="宋体" w:eastAsia="宋体" w:cs="宋体"/>
                <w:color w:val="auto"/>
                <w:sz w:val="21"/>
                <w:szCs w:val="21"/>
                <w:highlight w:val="none"/>
              </w:rPr>
              <w:t>5</w:t>
            </w:r>
            <w:bookmarkEnd w:id="689"/>
            <w:bookmarkEnd w:id="690"/>
          </w:p>
        </w:tc>
        <w:tc>
          <w:tcPr>
            <w:tcW w:w="1267" w:type="dxa"/>
            <w:vAlign w:val="center"/>
          </w:tcPr>
          <w:p w14:paraId="3241008C">
            <w:pPr>
              <w:pStyle w:val="48"/>
              <w:jc w:val="center"/>
              <w:rPr>
                <w:rFonts w:hint="eastAsia" w:ascii="宋体" w:hAnsi="宋体" w:eastAsia="宋体" w:cs="宋体"/>
                <w:color w:val="auto"/>
                <w:sz w:val="21"/>
                <w:szCs w:val="21"/>
                <w:highlight w:val="none"/>
              </w:rPr>
            </w:pPr>
          </w:p>
        </w:tc>
        <w:tc>
          <w:tcPr>
            <w:tcW w:w="1296" w:type="dxa"/>
            <w:tcBorders>
              <w:right w:val="single" w:color="auto" w:sz="4" w:space="0"/>
            </w:tcBorders>
            <w:vAlign w:val="center"/>
          </w:tcPr>
          <w:p w14:paraId="3999E45B">
            <w:pPr>
              <w:pStyle w:val="48"/>
              <w:jc w:val="center"/>
              <w:rPr>
                <w:rFonts w:hint="eastAsia" w:ascii="宋体" w:hAnsi="宋体" w:eastAsia="宋体" w:cs="宋体"/>
                <w:color w:val="auto"/>
                <w:sz w:val="21"/>
                <w:szCs w:val="21"/>
                <w:highlight w:val="none"/>
              </w:rPr>
            </w:pPr>
          </w:p>
        </w:tc>
        <w:tc>
          <w:tcPr>
            <w:tcW w:w="1080" w:type="dxa"/>
            <w:tcBorders>
              <w:left w:val="single" w:color="auto" w:sz="4" w:space="0"/>
            </w:tcBorders>
            <w:vAlign w:val="center"/>
          </w:tcPr>
          <w:p w14:paraId="64009478">
            <w:pPr>
              <w:pStyle w:val="48"/>
              <w:jc w:val="center"/>
              <w:rPr>
                <w:rFonts w:hint="eastAsia" w:ascii="宋体" w:hAnsi="宋体" w:eastAsia="宋体" w:cs="宋体"/>
                <w:color w:val="auto"/>
                <w:sz w:val="21"/>
                <w:szCs w:val="21"/>
                <w:highlight w:val="none"/>
              </w:rPr>
            </w:pPr>
          </w:p>
        </w:tc>
        <w:tc>
          <w:tcPr>
            <w:tcW w:w="804" w:type="dxa"/>
            <w:tcBorders>
              <w:left w:val="single" w:color="auto" w:sz="4" w:space="0"/>
            </w:tcBorders>
            <w:vAlign w:val="center"/>
          </w:tcPr>
          <w:p w14:paraId="75153765">
            <w:pPr>
              <w:pStyle w:val="48"/>
              <w:jc w:val="center"/>
              <w:rPr>
                <w:rFonts w:hint="eastAsia" w:ascii="宋体" w:hAnsi="宋体" w:eastAsia="宋体" w:cs="宋体"/>
                <w:color w:val="auto"/>
                <w:sz w:val="21"/>
                <w:szCs w:val="21"/>
                <w:highlight w:val="none"/>
              </w:rPr>
            </w:pPr>
          </w:p>
        </w:tc>
        <w:tc>
          <w:tcPr>
            <w:tcW w:w="1860" w:type="dxa"/>
            <w:vAlign w:val="center"/>
          </w:tcPr>
          <w:p w14:paraId="12AB49C0">
            <w:pPr>
              <w:pStyle w:val="48"/>
              <w:jc w:val="center"/>
              <w:rPr>
                <w:rFonts w:hint="eastAsia" w:ascii="宋体" w:hAnsi="宋体" w:eastAsia="宋体" w:cs="宋体"/>
                <w:color w:val="auto"/>
                <w:sz w:val="21"/>
                <w:szCs w:val="21"/>
                <w:highlight w:val="none"/>
              </w:rPr>
            </w:pPr>
          </w:p>
        </w:tc>
        <w:tc>
          <w:tcPr>
            <w:tcW w:w="1356" w:type="dxa"/>
            <w:vAlign w:val="center"/>
          </w:tcPr>
          <w:p w14:paraId="1659A511">
            <w:pPr>
              <w:pStyle w:val="48"/>
              <w:jc w:val="center"/>
              <w:rPr>
                <w:rFonts w:hint="eastAsia" w:ascii="宋体" w:hAnsi="宋体" w:eastAsia="宋体" w:cs="宋体"/>
                <w:color w:val="auto"/>
                <w:sz w:val="21"/>
                <w:szCs w:val="21"/>
                <w:highlight w:val="none"/>
              </w:rPr>
            </w:pPr>
          </w:p>
        </w:tc>
        <w:tc>
          <w:tcPr>
            <w:tcW w:w="816" w:type="dxa"/>
            <w:vAlign w:val="center"/>
          </w:tcPr>
          <w:p w14:paraId="5FBE7410">
            <w:pPr>
              <w:pStyle w:val="48"/>
              <w:jc w:val="center"/>
              <w:rPr>
                <w:rFonts w:hint="eastAsia" w:ascii="宋体" w:hAnsi="宋体" w:eastAsia="宋体" w:cs="宋体"/>
                <w:color w:val="auto"/>
                <w:sz w:val="21"/>
                <w:szCs w:val="21"/>
                <w:highlight w:val="none"/>
              </w:rPr>
            </w:pPr>
          </w:p>
        </w:tc>
      </w:tr>
      <w:tr w14:paraId="053F8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07DED61F">
            <w:pPr>
              <w:pStyle w:val="48"/>
              <w:jc w:val="center"/>
              <w:rPr>
                <w:rFonts w:hint="eastAsia" w:ascii="宋体" w:hAnsi="宋体" w:eastAsia="宋体" w:cs="宋体"/>
                <w:color w:val="auto"/>
                <w:sz w:val="21"/>
                <w:szCs w:val="21"/>
                <w:highlight w:val="none"/>
              </w:rPr>
            </w:pPr>
            <w:bookmarkStart w:id="691" w:name="_Toc99533297"/>
            <w:bookmarkStart w:id="692" w:name="_Toc100090789"/>
            <w:r>
              <w:rPr>
                <w:rFonts w:hint="eastAsia" w:ascii="宋体" w:hAnsi="宋体" w:eastAsia="宋体" w:cs="宋体"/>
                <w:color w:val="auto"/>
                <w:sz w:val="21"/>
                <w:szCs w:val="21"/>
                <w:highlight w:val="none"/>
              </w:rPr>
              <w:t>6</w:t>
            </w:r>
            <w:bookmarkEnd w:id="691"/>
            <w:bookmarkEnd w:id="692"/>
          </w:p>
        </w:tc>
        <w:tc>
          <w:tcPr>
            <w:tcW w:w="1267" w:type="dxa"/>
            <w:vAlign w:val="center"/>
          </w:tcPr>
          <w:p w14:paraId="40527E11">
            <w:pPr>
              <w:pStyle w:val="48"/>
              <w:jc w:val="center"/>
              <w:rPr>
                <w:rFonts w:hint="eastAsia" w:ascii="宋体" w:hAnsi="宋体" w:eastAsia="宋体" w:cs="宋体"/>
                <w:color w:val="auto"/>
                <w:sz w:val="21"/>
                <w:szCs w:val="21"/>
                <w:highlight w:val="none"/>
              </w:rPr>
            </w:pPr>
          </w:p>
        </w:tc>
        <w:tc>
          <w:tcPr>
            <w:tcW w:w="1296" w:type="dxa"/>
            <w:tcBorders>
              <w:right w:val="single" w:color="auto" w:sz="4" w:space="0"/>
            </w:tcBorders>
            <w:vAlign w:val="center"/>
          </w:tcPr>
          <w:p w14:paraId="16947C68">
            <w:pPr>
              <w:pStyle w:val="48"/>
              <w:jc w:val="center"/>
              <w:rPr>
                <w:rFonts w:hint="eastAsia" w:ascii="宋体" w:hAnsi="宋体" w:eastAsia="宋体" w:cs="宋体"/>
                <w:color w:val="auto"/>
                <w:sz w:val="21"/>
                <w:szCs w:val="21"/>
                <w:highlight w:val="none"/>
              </w:rPr>
            </w:pPr>
          </w:p>
        </w:tc>
        <w:tc>
          <w:tcPr>
            <w:tcW w:w="1080" w:type="dxa"/>
            <w:tcBorders>
              <w:left w:val="single" w:color="auto" w:sz="4" w:space="0"/>
            </w:tcBorders>
            <w:vAlign w:val="center"/>
          </w:tcPr>
          <w:p w14:paraId="1666B8AD">
            <w:pPr>
              <w:pStyle w:val="48"/>
              <w:jc w:val="center"/>
              <w:rPr>
                <w:rFonts w:hint="eastAsia" w:ascii="宋体" w:hAnsi="宋体" w:eastAsia="宋体" w:cs="宋体"/>
                <w:color w:val="auto"/>
                <w:sz w:val="21"/>
                <w:szCs w:val="21"/>
                <w:highlight w:val="none"/>
              </w:rPr>
            </w:pPr>
          </w:p>
        </w:tc>
        <w:tc>
          <w:tcPr>
            <w:tcW w:w="804" w:type="dxa"/>
            <w:tcBorders>
              <w:left w:val="single" w:color="auto" w:sz="4" w:space="0"/>
            </w:tcBorders>
            <w:vAlign w:val="center"/>
          </w:tcPr>
          <w:p w14:paraId="45256EB9">
            <w:pPr>
              <w:pStyle w:val="48"/>
              <w:jc w:val="center"/>
              <w:rPr>
                <w:rFonts w:hint="eastAsia" w:ascii="宋体" w:hAnsi="宋体" w:eastAsia="宋体" w:cs="宋体"/>
                <w:color w:val="auto"/>
                <w:sz w:val="21"/>
                <w:szCs w:val="21"/>
                <w:highlight w:val="none"/>
              </w:rPr>
            </w:pPr>
          </w:p>
        </w:tc>
        <w:tc>
          <w:tcPr>
            <w:tcW w:w="1860" w:type="dxa"/>
            <w:vAlign w:val="center"/>
          </w:tcPr>
          <w:p w14:paraId="51ADEB68">
            <w:pPr>
              <w:pStyle w:val="48"/>
              <w:jc w:val="center"/>
              <w:rPr>
                <w:rFonts w:hint="eastAsia" w:ascii="宋体" w:hAnsi="宋体" w:eastAsia="宋体" w:cs="宋体"/>
                <w:color w:val="auto"/>
                <w:sz w:val="21"/>
                <w:szCs w:val="21"/>
                <w:highlight w:val="none"/>
              </w:rPr>
            </w:pPr>
          </w:p>
        </w:tc>
        <w:tc>
          <w:tcPr>
            <w:tcW w:w="1356" w:type="dxa"/>
            <w:vAlign w:val="center"/>
          </w:tcPr>
          <w:p w14:paraId="1CED2476">
            <w:pPr>
              <w:pStyle w:val="48"/>
              <w:jc w:val="center"/>
              <w:rPr>
                <w:rFonts w:hint="eastAsia" w:ascii="宋体" w:hAnsi="宋体" w:eastAsia="宋体" w:cs="宋体"/>
                <w:color w:val="auto"/>
                <w:sz w:val="21"/>
                <w:szCs w:val="21"/>
                <w:highlight w:val="none"/>
              </w:rPr>
            </w:pPr>
          </w:p>
        </w:tc>
        <w:tc>
          <w:tcPr>
            <w:tcW w:w="816" w:type="dxa"/>
            <w:vAlign w:val="center"/>
          </w:tcPr>
          <w:p w14:paraId="4EF8AB8A">
            <w:pPr>
              <w:pStyle w:val="48"/>
              <w:jc w:val="center"/>
              <w:rPr>
                <w:rFonts w:hint="eastAsia" w:ascii="宋体" w:hAnsi="宋体" w:eastAsia="宋体" w:cs="宋体"/>
                <w:color w:val="auto"/>
                <w:sz w:val="21"/>
                <w:szCs w:val="21"/>
                <w:highlight w:val="none"/>
              </w:rPr>
            </w:pPr>
          </w:p>
        </w:tc>
      </w:tr>
      <w:tr w14:paraId="661CA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6AA4734C">
            <w:pPr>
              <w:pStyle w:val="48"/>
              <w:jc w:val="center"/>
              <w:rPr>
                <w:rFonts w:hint="eastAsia" w:ascii="宋体" w:hAnsi="宋体" w:eastAsia="宋体" w:cs="宋体"/>
                <w:color w:val="auto"/>
                <w:sz w:val="21"/>
                <w:szCs w:val="21"/>
                <w:highlight w:val="none"/>
              </w:rPr>
            </w:pPr>
            <w:bookmarkStart w:id="693" w:name="_Toc100090790"/>
            <w:bookmarkStart w:id="694" w:name="_Toc99533298"/>
            <w:r>
              <w:rPr>
                <w:rFonts w:hint="eastAsia" w:ascii="宋体" w:hAnsi="宋体" w:eastAsia="宋体" w:cs="宋体"/>
                <w:color w:val="auto"/>
                <w:sz w:val="21"/>
                <w:szCs w:val="21"/>
                <w:highlight w:val="none"/>
              </w:rPr>
              <w:t>7</w:t>
            </w:r>
            <w:bookmarkEnd w:id="693"/>
            <w:bookmarkEnd w:id="694"/>
          </w:p>
        </w:tc>
        <w:tc>
          <w:tcPr>
            <w:tcW w:w="1267" w:type="dxa"/>
            <w:vAlign w:val="center"/>
          </w:tcPr>
          <w:p w14:paraId="3F3B684D">
            <w:pPr>
              <w:pStyle w:val="48"/>
              <w:jc w:val="center"/>
              <w:rPr>
                <w:rFonts w:hint="eastAsia" w:ascii="宋体" w:hAnsi="宋体" w:eastAsia="宋体" w:cs="宋体"/>
                <w:color w:val="auto"/>
                <w:sz w:val="21"/>
                <w:szCs w:val="21"/>
                <w:highlight w:val="none"/>
              </w:rPr>
            </w:pPr>
          </w:p>
        </w:tc>
        <w:tc>
          <w:tcPr>
            <w:tcW w:w="1296" w:type="dxa"/>
            <w:tcBorders>
              <w:right w:val="single" w:color="auto" w:sz="4" w:space="0"/>
            </w:tcBorders>
            <w:vAlign w:val="center"/>
          </w:tcPr>
          <w:p w14:paraId="78032A99">
            <w:pPr>
              <w:pStyle w:val="48"/>
              <w:jc w:val="center"/>
              <w:rPr>
                <w:rFonts w:hint="eastAsia" w:ascii="宋体" w:hAnsi="宋体" w:eastAsia="宋体" w:cs="宋体"/>
                <w:color w:val="auto"/>
                <w:sz w:val="21"/>
                <w:szCs w:val="21"/>
                <w:highlight w:val="none"/>
              </w:rPr>
            </w:pPr>
          </w:p>
        </w:tc>
        <w:tc>
          <w:tcPr>
            <w:tcW w:w="1080" w:type="dxa"/>
            <w:tcBorders>
              <w:left w:val="single" w:color="auto" w:sz="4" w:space="0"/>
            </w:tcBorders>
            <w:vAlign w:val="center"/>
          </w:tcPr>
          <w:p w14:paraId="601AE572">
            <w:pPr>
              <w:pStyle w:val="48"/>
              <w:jc w:val="center"/>
              <w:rPr>
                <w:rFonts w:hint="eastAsia" w:ascii="宋体" w:hAnsi="宋体" w:eastAsia="宋体" w:cs="宋体"/>
                <w:color w:val="auto"/>
                <w:sz w:val="21"/>
                <w:szCs w:val="21"/>
                <w:highlight w:val="none"/>
              </w:rPr>
            </w:pPr>
          </w:p>
        </w:tc>
        <w:tc>
          <w:tcPr>
            <w:tcW w:w="804" w:type="dxa"/>
            <w:tcBorders>
              <w:left w:val="single" w:color="auto" w:sz="4" w:space="0"/>
            </w:tcBorders>
            <w:vAlign w:val="center"/>
          </w:tcPr>
          <w:p w14:paraId="01172C19">
            <w:pPr>
              <w:pStyle w:val="48"/>
              <w:jc w:val="center"/>
              <w:rPr>
                <w:rFonts w:hint="eastAsia" w:ascii="宋体" w:hAnsi="宋体" w:eastAsia="宋体" w:cs="宋体"/>
                <w:color w:val="auto"/>
                <w:sz w:val="21"/>
                <w:szCs w:val="21"/>
                <w:highlight w:val="none"/>
              </w:rPr>
            </w:pPr>
          </w:p>
        </w:tc>
        <w:tc>
          <w:tcPr>
            <w:tcW w:w="1860" w:type="dxa"/>
            <w:vAlign w:val="center"/>
          </w:tcPr>
          <w:p w14:paraId="7E9B2A2D">
            <w:pPr>
              <w:pStyle w:val="48"/>
              <w:jc w:val="center"/>
              <w:rPr>
                <w:rFonts w:hint="eastAsia" w:ascii="宋体" w:hAnsi="宋体" w:eastAsia="宋体" w:cs="宋体"/>
                <w:color w:val="auto"/>
                <w:sz w:val="21"/>
                <w:szCs w:val="21"/>
                <w:highlight w:val="none"/>
              </w:rPr>
            </w:pPr>
          </w:p>
        </w:tc>
        <w:tc>
          <w:tcPr>
            <w:tcW w:w="1356" w:type="dxa"/>
            <w:vAlign w:val="center"/>
          </w:tcPr>
          <w:p w14:paraId="4A11C356">
            <w:pPr>
              <w:pStyle w:val="48"/>
              <w:jc w:val="center"/>
              <w:rPr>
                <w:rFonts w:hint="eastAsia" w:ascii="宋体" w:hAnsi="宋体" w:eastAsia="宋体" w:cs="宋体"/>
                <w:color w:val="auto"/>
                <w:sz w:val="21"/>
                <w:szCs w:val="21"/>
                <w:highlight w:val="none"/>
              </w:rPr>
            </w:pPr>
          </w:p>
        </w:tc>
        <w:tc>
          <w:tcPr>
            <w:tcW w:w="816" w:type="dxa"/>
            <w:vAlign w:val="center"/>
          </w:tcPr>
          <w:p w14:paraId="718DD530">
            <w:pPr>
              <w:pStyle w:val="48"/>
              <w:jc w:val="center"/>
              <w:rPr>
                <w:rFonts w:hint="eastAsia" w:ascii="宋体" w:hAnsi="宋体" w:eastAsia="宋体" w:cs="宋体"/>
                <w:color w:val="auto"/>
                <w:sz w:val="21"/>
                <w:szCs w:val="21"/>
                <w:highlight w:val="none"/>
              </w:rPr>
            </w:pPr>
          </w:p>
        </w:tc>
      </w:tr>
      <w:tr w14:paraId="5E0A6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603F7F8C">
            <w:pPr>
              <w:pStyle w:val="48"/>
              <w:jc w:val="center"/>
              <w:rPr>
                <w:rFonts w:hint="eastAsia" w:ascii="宋体" w:hAnsi="宋体" w:eastAsia="宋体" w:cs="宋体"/>
                <w:color w:val="auto"/>
                <w:sz w:val="21"/>
                <w:szCs w:val="21"/>
                <w:highlight w:val="none"/>
              </w:rPr>
            </w:pPr>
            <w:bookmarkStart w:id="695" w:name="_Toc100090791"/>
            <w:bookmarkStart w:id="696" w:name="_Toc99533299"/>
            <w:r>
              <w:rPr>
                <w:rFonts w:hint="eastAsia" w:ascii="宋体" w:hAnsi="宋体" w:eastAsia="宋体" w:cs="宋体"/>
                <w:color w:val="auto"/>
                <w:sz w:val="21"/>
                <w:szCs w:val="21"/>
                <w:highlight w:val="none"/>
              </w:rPr>
              <w:t>8</w:t>
            </w:r>
            <w:bookmarkEnd w:id="695"/>
            <w:bookmarkEnd w:id="696"/>
          </w:p>
        </w:tc>
        <w:tc>
          <w:tcPr>
            <w:tcW w:w="1267" w:type="dxa"/>
            <w:vAlign w:val="center"/>
          </w:tcPr>
          <w:p w14:paraId="20BD29D0">
            <w:pPr>
              <w:pStyle w:val="48"/>
              <w:jc w:val="center"/>
              <w:rPr>
                <w:rFonts w:hint="eastAsia" w:ascii="宋体" w:hAnsi="宋体" w:eastAsia="宋体" w:cs="宋体"/>
                <w:color w:val="auto"/>
                <w:sz w:val="21"/>
                <w:szCs w:val="21"/>
                <w:highlight w:val="none"/>
              </w:rPr>
            </w:pPr>
          </w:p>
        </w:tc>
        <w:tc>
          <w:tcPr>
            <w:tcW w:w="1296" w:type="dxa"/>
            <w:tcBorders>
              <w:right w:val="single" w:color="auto" w:sz="4" w:space="0"/>
            </w:tcBorders>
            <w:vAlign w:val="center"/>
          </w:tcPr>
          <w:p w14:paraId="7C9D455C">
            <w:pPr>
              <w:pStyle w:val="48"/>
              <w:jc w:val="center"/>
              <w:rPr>
                <w:rFonts w:hint="eastAsia" w:ascii="宋体" w:hAnsi="宋体" w:eastAsia="宋体" w:cs="宋体"/>
                <w:color w:val="auto"/>
                <w:sz w:val="21"/>
                <w:szCs w:val="21"/>
                <w:highlight w:val="none"/>
              </w:rPr>
            </w:pPr>
          </w:p>
        </w:tc>
        <w:tc>
          <w:tcPr>
            <w:tcW w:w="1080" w:type="dxa"/>
            <w:tcBorders>
              <w:left w:val="single" w:color="auto" w:sz="4" w:space="0"/>
            </w:tcBorders>
            <w:vAlign w:val="center"/>
          </w:tcPr>
          <w:p w14:paraId="3548599B">
            <w:pPr>
              <w:pStyle w:val="48"/>
              <w:jc w:val="center"/>
              <w:rPr>
                <w:rFonts w:hint="eastAsia" w:ascii="宋体" w:hAnsi="宋体" w:eastAsia="宋体" w:cs="宋体"/>
                <w:color w:val="auto"/>
                <w:sz w:val="21"/>
                <w:szCs w:val="21"/>
                <w:highlight w:val="none"/>
              </w:rPr>
            </w:pPr>
          </w:p>
        </w:tc>
        <w:tc>
          <w:tcPr>
            <w:tcW w:w="804" w:type="dxa"/>
            <w:tcBorders>
              <w:left w:val="single" w:color="auto" w:sz="4" w:space="0"/>
            </w:tcBorders>
            <w:vAlign w:val="center"/>
          </w:tcPr>
          <w:p w14:paraId="2842C962">
            <w:pPr>
              <w:pStyle w:val="48"/>
              <w:jc w:val="center"/>
              <w:rPr>
                <w:rFonts w:hint="eastAsia" w:ascii="宋体" w:hAnsi="宋体" w:eastAsia="宋体" w:cs="宋体"/>
                <w:color w:val="auto"/>
                <w:sz w:val="21"/>
                <w:szCs w:val="21"/>
                <w:highlight w:val="none"/>
              </w:rPr>
            </w:pPr>
          </w:p>
        </w:tc>
        <w:tc>
          <w:tcPr>
            <w:tcW w:w="1860" w:type="dxa"/>
            <w:vAlign w:val="center"/>
          </w:tcPr>
          <w:p w14:paraId="292DF220">
            <w:pPr>
              <w:pStyle w:val="48"/>
              <w:jc w:val="center"/>
              <w:rPr>
                <w:rFonts w:hint="eastAsia" w:ascii="宋体" w:hAnsi="宋体" w:eastAsia="宋体" w:cs="宋体"/>
                <w:color w:val="auto"/>
                <w:sz w:val="21"/>
                <w:szCs w:val="21"/>
                <w:highlight w:val="none"/>
              </w:rPr>
            </w:pPr>
          </w:p>
        </w:tc>
        <w:tc>
          <w:tcPr>
            <w:tcW w:w="1356" w:type="dxa"/>
            <w:vAlign w:val="center"/>
          </w:tcPr>
          <w:p w14:paraId="70F58594">
            <w:pPr>
              <w:pStyle w:val="48"/>
              <w:jc w:val="center"/>
              <w:rPr>
                <w:rFonts w:hint="eastAsia" w:ascii="宋体" w:hAnsi="宋体" w:eastAsia="宋体" w:cs="宋体"/>
                <w:color w:val="auto"/>
                <w:sz w:val="21"/>
                <w:szCs w:val="21"/>
                <w:highlight w:val="none"/>
              </w:rPr>
            </w:pPr>
          </w:p>
        </w:tc>
        <w:tc>
          <w:tcPr>
            <w:tcW w:w="816" w:type="dxa"/>
            <w:vAlign w:val="center"/>
          </w:tcPr>
          <w:p w14:paraId="247AF589">
            <w:pPr>
              <w:pStyle w:val="48"/>
              <w:jc w:val="center"/>
              <w:rPr>
                <w:rFonts w:hint="eastAsia" w:ascii="宋体" w:hAnsi="宋体" w:eastAsia="宋体" w:cs="宋体"/>
                <w:color w:val="auto"/>
                <w:sz w:val="21"/>
                <w:szCs w:val="21"/>
                <w:highlight w:val="none"/>
              </w:rPr>
            </w:pPr>
          </w:p>
        </w:tc>
      </w:tr>
      <w:tr w14:paraId="17D5B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4F7A90D9">
            <w:pPr>
              <w:pStyle w:val="48"/>
              <w:jc w:val="center"/>
              <w:rPr>
                <w:rFonts w:hint="eastAsia" w:ascii="宋体" w:hAnsi="宋体" w:eastAsia="宋体" w:cs="宋体"/>
                <w:color w:val="auto"/>
                <w:sz w:val="21"/>
                <w:szCs w:val="21"/>
                <w:highlight w:val="none"/>
              </w:rPr>
            </w:pPr>
            <w:bookmarkStart w:id="697" w:name="_Toc100090792"/>
            <w:bookmarkStart w:id="698" w:name="_Toc99533300"/>
            <w:r>
              <w:rPr>
                <w:rFonts w:hint="eastAsia" w:ascii="宋体" w:hAnsi="宋体" w:eastAsia="宋体" w:cs="宋体"/>
                <w:color w:val="auto"/>
                <w:sz w:val="21"/>
                <w:szCs w:val="21"/>
                <w:highlight w:val="none"/>
              </w:rPr>
              <w:t>9</w:t>
            </w:r>
            <w:bookmarkEnd w:id="697"/>
            <w:bookmarkEnd w:id="698"/>
          </w:p>
        </w:tc>
        <w:tc>
          <w:tcPr>
            <w:tcW w:w="1267" w:type="dxa"/>
            <w:vAlign w:val="center"/>
          </w:tcPr>
          <w:p w14:paraId="6C5090EC">
            <w:pPr>
              <w:pStyle w:val="48"/>
              <w:jc w:val="center"/>
              <w:rPr>
                <w:rFonts w:hint="eastAsia" w:ascii="宋体" w:hAnsi="宋体" w:eastAsia="宋体" w:cs="宋体"/>
                <w:color w:val="auto"/>
                <w:sz w:val="21"/>
                <w:szCs w:val="21"/>
                <w:highlight w:val="none"/>
              </w:rPr>
            </w:pPr>
          </w:p>
        </w:tc>
        <w:tc>
          <w:tcPr>
            <w:tcW w:w="1296" w:type="dxa"/>
            <w:tcBorders>
              <w:right w:val="single" w:color="auto" w:sz="4" w:space="0"/>
            </w:tcBorders>
            <w:vAlign w:val="center"/>
          </w:tcPr>
          <w:p w14:paraId="32CD2ADB">
            <w:pPr>
              <w:pStyle w:val="48"/>
              <w:jc w:val="center"/>
              <w:rPr>
                <w:rFonts w:hint="eastAsia" w:ascii="宋体" w:hAnsi="宋体" w:eastAsia="宋体" w:cs="宋体"/>
                <w:color w:val="auto"/>
                <w:sz w:val="21"/>
                <w:szCs w:val="21"/>
                <w:highlight w:val="none"/>
              </w:rPr>
            </w:pPr>
          </w:p>
        </w:tc>
        <w:tc>
          <w:tcPr>
            <w:tcW w:w="1080" w:type="dxa"/>
            <w:tcBorders>
              <w:left w:val="single" w:color="auto" w:sz="4" w:space="0"/>
            </w:tcBorders>
            <w:vAlign w:val="center"/>
          </w:tcPr>
          <w:p w14:paraId="0DD9EDDC">
            <w:pPr>
              <w:pStyle w:val="48"/>
              <w:jc w:val="center"/>
              <w:rPr>
                <w:rFonts w:hint="eastAsia" w:ascii="宋体" w:hAnsi="宋体" w:eastAsia="宋体" w:cs="宋体"/>
                <w:color w:val="auto"/>
                <w:sz w:val="21"/>
                <w:szCs w:val="21"/>
                <w:highlight w:val="none"/>
              </w:rPr>
            </w:pPr>
          </w:p>
        </w:tc>
        <w:tc>
          <w:tcPr>
            <w:tcW w:w="804" w:type="dxa"/>
            <w:tcBorders>
              <w:left w:val="single" w:color="auto" w:sz="4" w:space="0"/>
            </w:tcBorders>
            <w:vAlign w:val="center"/>
          </w:tcPr>
          <w:p w14:paraId="05650614">
            <w:pPr>
              <w:pStyle w:val="48"/>
              <w:jc w:val="center"/>
              <w:rPr>
                <w:rFonts w:hint="eastAsia" w:ascii="宋体" w:hAnsi="宋体" w:eastAsia="宋体" w:cs="宋体"/>
                <w:color w:val="auto"/>
                <w:sz w:val="21"/>
                <w:szCs w:val="21"/>
                <w:highlight w:val="none"/>
              </w:rPr>
            </w:pPr>
          </w:p>
        </w:tc>
        <w:tc>
          <w:tcPr>
            <w:tcW w:w="1860" w:type="dxa"/>
            <w:vAlign w:val="center"/>
          </w:tcPr>
          <w:p w14:paraId="337B4053">
            <w:pPr>
              <w:pStyle w:val="48"/>
              <w:jc w:val="center"/>
              <w:rPr>
                <w:rFonts w:hint="eastAsia" w:ascii="宋体" w:hAnsi="宋体" w:eastAsia="宋体" w:cs="宋体"/>
                <w:color w:val="auto"/>
                <w:sz w:val="21"/>
                <w:szCs w:val="21"/>
                <w:highlight w:val="none"/>
              </w:rPr>
            </w:pPr>
          </w:p>
        </w:tc>
        <w:tc>
          <w:tcPr>
            <w:tcW w:w="1356" w:type="dxa"/>
            <w:vAlign w:val="center"/>
          </w:tcPr>
          <w:p w14:paraId="7D6C0C38">
            <w:pPr>
              <w:pStyle w:val="48"/>
              <w:jc w:val="center"/>
              <w:rPr>
                <w:rFonts w:hint="eastAsia" w:ascii="宋体" w:hAnsi="宋体" w:eastAsia="宋体" w:cs="宋体"/>
                <w:color w:val="auto"/>
                <w:sz w:val="21"/>
                <w:szCs w:val="21"/>
                <w:highlight w:val="none"/>
              </w:rPr>
            </w:pPr>
          </w:p>
        </w:tc>
        <w:tc>
          <w:tcPr>
            <w:tcW w:w="816" w:type="dxa"/>
            <w:vAlign w:val="center"/>
          </w:tcPr>
          <w:p w14:paraId="45D99552">
            <w:pPr>
              <w:pStyle w:val="48"/>
              <w:jc w:val="center"/>
              <w:rPr>
                <w:rFonts w:hint="eastAsia" w:ascii="宋体" w:hAnsi="宋体" w:eastAsia="宋体" w:cs="宋体"/>
                <w:color w:val="auto"/>
                <w:sz w:val="21"/>
                <w:szCs w:val="21"/>
                <w:highlight w:val="none"/>
              </w:rPr>
            </w:pPr>
          </w:p>
        </w:tc>
      </w:tr>
      <w:tr w14:paraId="5F497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atLeast"/>
        </w:trPr>
        <w:tc>
          <w:tcPr>
            <w:tcW w:w="773" w:type="dxa"/>
            <w:vAlign w:val="center"/>
          </w:tcPr>
          <w:p w14:paraId="406250BE">
            <w:pPr>
              <w:pStyle w:val="48"/>
              <w:jc w:val="center"/>
              <w:rPr>
                <w:rFonts w:hint="eastAsia" w:ascii="宋体" w:hAnsi="宋体" w:eastAsia="宋体" w:cs="宋体"/>
                <w:color w:val="auto"/>
                <w:sz w:val="21"/>
                <w:szCs w:val="21"/>
                <w:highlight w:val="none"/>
              </w:rPr>
            </w:pPr>
            <w:bookmarkStart w:id="699" w:name="_Toc100090793"/>
            <w:bookmarkStart w:id="700" w:name="_Toc99533301"/>
            <w:r>
              <w:rPr>
                <w:rFonts w:hint="eastAsia" w:ascii="宋体" w:hAnsi="宋体" w:eastAsia="宋体" w:cs="宋体"/>
                <w:color w:val="auto"/>
                <w:sz w:val="21"/>
                <w:szCs w:val="21"/>
                <w:highlight w:val="none"/>
              </w:rPr>
              <w:t>10</w:t>
            </w:r>
            <w:bookmarkEnd w:id="699"/>
            <w:bookmarkEnd w:id="700"/>
          </w:p>
        </w:tc>
        <w:tc>
          <w:tcPr>
            <w:tcW w:w="1267" w:type="dxa"/>
            <w:vAlign w:val="center"/>
          </w:tcPr>
          <w:p w14:paraId="0D84E205">
            <w:pPr>
              <w:pStyle w:val="48"/>
              <w:jc w:val="center"/>
              <w:rPr>
                <w:rFonts w:hint="eastAsia" w:ascii="宋体" w:hAnsi="宋体" w:eastAsia="宋体" w:cs="宋体"/>
                <w:color w:val="auto"/>
                <w:sz w:val="21"/>
                <w:szCs w:val="21"/>
                <w:highlight w:val="none"/>
              </w:rPr>
            </w:pPr>
          </w:p>
        </w:tc>
        <w:tc>
          <w:tcPr>
            <w:tcW w:w="1296" w:type="dxa"/>
            <w:tcBorders>
              <w:right w:val="single" w:color="auto" w:sz="4" w:space="0"/>
            </w:tcBorders>
            <w:vAlign w:val="center"/>
          </w:tcPr>
          <w:p w14:paraId="79F36313">
            <w:pPr>
              <w:pStyle w:val="48"/>
              <w:jc w:val="center"/>
              <w:rPr>
                <w:rFonts w:hint="eastAsia" w:ascii="宋体" w:hAnsi="宋体" w:eastAsia="宋体" w:cs="宋体"/>
                <w:color w:val="auto"/>
                <w:sz w:val="21"/>
                <w:szCs w:val="21"/>
                <w:highlight w:val="none"/>
              </w:rPr>
            </w:pPr>
          </w:p>
        </w:tc>
        <w:tc>
          <w:tcPr>
            <w:tcW w:w="1080" w:type="dxa"/>
            <w:tcBorders>
              <w:left w:val="single" w:color="auto" w:sz="4" w:space="0"/>
            </w:tcBorders>
            <w:vAlign w:val="center"/>
          </w:tcPr>
          <w:p w14:paraId="193C6909">
            <w:pPr>
              <w:pStyle w:val="48"/>
              <w:jc w:val="center"/>
              <w:rPr>
                <w:rFonts w:hint="eastAsia" w:ascii="宋体" w:hAnsi="宋体" w:eastAsia="宋体" w:cs="宋体"/>
                <w:color w:val="auto"/>
                <w:sz w:val="21"/>
                <w:szCs w:val="21"/>
                <w:highlight w:val="none"/>
              </w:rPr>
            </w:pPr>
          </w:p>
        </w:tc>
        <w:tc>
          <w:tcPr>
            <w:tcW w:w="804" w:type="dxa"/>
            <w:tcBorders>
              <w:left w:val="single" w:color="auto" w:sz="4" w:space="0"/>
            </w:tcBorders>
            <w:vAlign w:val="center"/>
          </w:tcPr>
          <w:p w14:paraId="6C34049E">
            <w:pPr>
              <w:pStyle w:val="48"/>
              <w:jc w:val="center"/>
              <w:rPr>
                <w:rFonts w:hint="eastAsia" w:ascii="宋体" w:hAnsi="宋体" w:eastAsia="宋体" w:cs="宋体"/>
                <w:color w:val="auto"/>
                <w:sz w:val="21"/>
                <w:szCs w:val="21"/>
                <w:highlight w:val="none"/>
              </w:rPr>
            </w:pPr>
          </w:p>
        </w:tc>
        <w:tc>
          <w:tcPr>
            <w:tcW w:w="1860" w:type="dxa"/>
            <w:vAlign w:val="center"/>
          </w:tcPr>
          <w:p w14:paraId="7790D037">
            <w:pPr>
              <w:pStyle w:val="48"/>
              <w:jc w:val="center"/>
              <w:rPr>
                <w:rFonts w:hint="eastAsia" w:ascii="宋体" w:hAnsi="宋体" w:eastAsia="宋体" w:cs="宋体"/>
                <w:color w:val="auto"/>
                <w:sz w:val="21"/>
                <w:szCs w:val="21"/>
                <w:highlight w:val="none"/>
              </w:rPr>
            </w:pPr>
          </w:p>
        </w:tc>
        <w:tc>
          <w:tcPr>
            <w:tcW w:w="1356" w:type="dxa"/>
            <w:vAlign w:val="center"/>
          </w:tcPr>
          <w:p w14:paraId="7B74B27D">
            <w:pPr>
              <w:pStyle w:val="48"/>
              <w:jc w:val="center"/>
              <w:rPr>
                <w:rFonts w:hint="eastAsia" w:ascii="宋体" w:hAnsi="宋体" w:eastAsia="宋体" w:cs="宋体"/>
                <w:color w:val="auto"/>
                <w:sz w:val="21"/>
                <w:szCs w:val="21"/>
                <w:highlight w:val="none"/>
              </w:rPr>
            </w:pPr>
          </w:p>
        </w:tc>
        <w:tc>
          <w:tcPr>
            <w:tcW w:w="816" w:type="dxa"/>
            <w:vAlign w:val="center"/>
          </w:tcPr>
          <w:p w14:paraId="77E1C162">
            <w:pPr>
              <w:pStyle w:val="48"/>
              <w:jc w:val="center"/>
              <w:rPr>
                <w:rFonts w:hint="eastAsia" w:ascii="宋体" w:hAnsi="宋体" w:eastAsia="宋体" w:cs="宋体"/>
                <w:color w:val="auto"/>
                <w:sz w:val="21"/>
                <w:szCs w:val="21"/>
                <w:highlight w:val="none"/>
              </w:rPr>
            </w:pPr>
          </w:p>
        </w:tc>
      </w:tr>
    </w:tbl>
    <w:p w14:paraId="72DBC0B8">
      <w:pPr>
        <w:rPr>
          <w:color w:val="auto"/>
          <w:highlight w:val="none"/>
        </w:rPr>
      </w:pPr>
    </w:p>
    <w:p w14:paraId="1EAF0062">
      <w:pPr>
        <w:rPr>
          <w:rFonts w:hint="default" w:cs="仿宋_GB2312"/>
          <w:color w:val="auto"/>
          <w:sz w:val="21"/>
          <w:szCs w:val="21"/>
          <w:highlight w:val="none"/>
          <w:lang w:val="en-US"/>
        </w:rPr>
      </w:pPr>
      <w:r>
        <w:rPr>
          <w:rFonts w:hint="eastAsia" w:cs="仿宋_GB2312"/>
          <w:color w:val="auto"/>
          <w:sz w:val="21"/>
          <w:szCs w:val="21"/>
          <w:highlight w:val="none"/>
          <w:lang w:val="en-US" w:eastAsia="zh-CN"/>
        </w:rPr>
        <w:t>注：按招标文件要求在本表后附相关人员证书。</w:t>
      </w:r>
    </w:p>
    <w:p w14:paraId="3B621572">
      <w:pPr>
        <w:ind w:firstLine="420" w:firstLineChars="200"/>
        <w:rPr>
          <w:rFonts w:hint="eastAsia" w:cs="仿宋_GB2312"/>
          <w:color w:val="auto"/>
          <w:sz w:val="21"/>
          <w:szCs w:val="21"/>
          <w:highlight w:val="none"/>
          <w:lang w:val="en-US" w:eastAsia="zh-CN"/>
        </w:rPr>
      </w:pPr>
    </w:p>
    <w:p w14:paraId="178B25F9">
      <w:pPr>
        <w:ind w:firstLine="420" w:firstLineChars="200"/>
        <w:rPr>
          <w:rFonts w:hint="eastAsia" w:cs="仿宋_GB2312"/>
          <w:color w:val="auto"/>
          <w:sz w:val="21"/>
          <w:szCs w:val="21"/>
          <w:highlight w:val="none"/>
          <w:lang w:val="en-US" w:eastAsia="zh-CN"/>
        </w:rPr>
      </w:pPr>
      <w:r>
        <w:rPr>
          <w:rFonts w:hint="eastAsia" w:cs="仿宋_GB2312"/>
          <w:color w:val="auto"/>
          <w:sz w:val="21"/>
          <w:szCs w:val="21"/>
          <w:highlight w:val="none"/>
          <w:lang w:val="en-US" w:eastAsia="zh-CN"/>
        </w:rPr>
        <w:t xml:space="preserve">说明： </w:t>
      </w:r>
    </w:p>
    <w:p w14:paraId="442D33DF">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1.“在团队中职务（岗位）”栏应包括但不限于：项目负责人、项目联系人、项目服务人员或技术人员等。 </w:t>
      </w:r>
    </w:p>
    <w:p w14:paraId="51ED7B0D">
      <w:pPr>
        <w:ind w:firstLine="420" w:firstLineChars="200"/>
        <w:rPr>
          <w:color w:val="auto"/>
          <w:highlight w:val="none"/>
        </w:rPr>
      </w:pPr>
      <w:r>
        <w:rPr>
          <w:rFonts w:hint="eastAsia" w:cs="仿宋_GB2312"/>
          <w:color w:val="auto"/>
          <w:sz w:val="21"/>
          <w:szCs w:val="21"/>
          <w:highlight w:val="none"/>
          <w:lang w:val="en-US" w:eastAsia="zh-CN"/>
        </w:rPr>
        <w:t>2.如投标人中标，须按本表项目组成人员操作，不得随意更换。</w:t>
      </w:r>
      <w:r>
        <w:rPr>
          <w:color w:val="auto"/>
          <w:highlight w:val="none"/>
        </w:rPr>
        <w:br w:type="page"/>
      </w:r>
    </w:p>
    <w:p w14:paraId="1358285E">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701" w:name="_Toc13198"/>
      <w:bookmarkStart w:id="702" w:name="_Toc5387"/>
      <w:r>
        <w:rPr>
          <w:rFonts w:hint="eastAsia" w:cstheme="majorBidi"/>
          <w:b/>
          <w:bCs/>
          <w:color w:val="auto"/>
          <w:kern w:val="2"/>
          <w:sz w:val="32"/>
          <w:szCs w:val="32"/>
          <w:highlight w:val="none"/>
          <w:lang w:val="en-US" w:eastAsia="zh-CN" w:bidi="ar-SA"/>
        </w:rPr>
        <w:t>九</w:t>
      </w:r>
      <w:r>
        <w:rPr>
          <w:rFonts w:hint="eastAsia" w:eastAsia="宋体" w:asciiTheme="majorHAnsi" w:hAnsiTheme="majorHAnsi" w:cstheme="majorBidi"/>
          <w:b/>
          <w:bCs/>
          <w:color w:val="auto"/>
          <w:kern w:val="2"/>
          <w:sz w:val="32"/>
          <w:szCs w:val="32"/>
          <w:highlight w:val="none"/>
          <w:lang w:val="en-US" w:eastAsia="zh-CN" w:bidi="ar-SA"/>
        </w:rPr>
        <w:t>、技术响应偏离表</w:t>
      </w:r>
      <w:bookmarkEnd w:id="701"/>
      <w:bookmarkEnd w:id="702"/>
    </w:p>
    <w:p w14:paraId="7EE50E6A">
      <w:pPr>
        <w:rPr>
          <w:rFonts w:cs="仿宋_GB2312"/>
          <w:color w:val="auto"/>
          <w:szCs w:val="24"/>
          <w:highlight w:val="none"/>
        </w:rPr>
      </w:pPr>
      <w:r>
        <w:rPr>
          <w:rFonts w:hint="eastAsia" w:cs="仿宋_GB2312"/>
          <w:color w:val="auto"/>
          <w:szCs w:val="24"/>
          <w:highlight w:val="none"/>
        </w:rPr>
        <w:t xml:space="preserve">项目名称：                                         </w:t>
      </w:r>
    </w:p>
    <w:p w14:paraId="3BECE8B1">
      <w:pPr>
        <w:rPr>
          <w:rFonts w:cs="仿宋_GB2312"/>
          <w:color w:val="auto"/>
          <w:szCs w:val="24"/>
          <w:highlight w:val="none"/>
        </w:rPr>
      </w:pPr>
      <w:r>
        <w:rPr>
          <w:rFonts w:hint="eastAsia" w:cs="仿宋_GB2312"/>
          <w:color w:val="auto"/>
          <w:szCs w:val="24"/>
          <w:highlight w:val="none"/>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r>
        <w:rPr>
          <w:rFonts w:hint="eastAsia" w:cs="仿宋_GB2312"/>
          <w:color w:val="auto"/>
          <w:szCs w:val="24"/>
          <w:highlight w:val="none"/>
        </w:rPr>
        <w:t xml:space="preserve">：         </w:t>
      </w:r>
    </w:p>
    <w:tbl>
      <w:tblPr>
        <w:tblStyle w:val="2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1"/>
        <w:gridCol w:w="1976"/>
        <w:gridCol w:w="1758"/>
        <w:gridCol w:w="2157"/>
        <w:gridCol w:w="1937"/>
      </w:tblGrid>
      <w:tr w14:paraId="76446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6" w:type="pct"/>
            <w:vAlign w:val="center"/>
          </w:tcPr>
          <w:p w14:paraId="0FCCCEAC">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159" w:type="pct"/>
            <w:vAlign w:val="center"/>
          </w:tcPr>
          <w:p w14:paraId="69669C77">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招标文件技术</w:t>
            </w:r>
          </w:p>
          <w:p w14:paraId="71DD4B6D">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要求条款</w:t>
            </w:r>
          </w:p>
        </w:tc>
        <w:tc>
          <w:tcPr>
            <w:tcW w:w="1031" w:type="pct"/>
            <w:vAlign w:val="center"/>
          </w:tcPr>
          <w:p w14:paraId="0AB54F24">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投标文件内容</w:t>
            </w:r>
          </w:p>
          <w:p w14:paraId="1F49E79F">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对应简述</w:t>
            </w:r>
          </w:p>
        </w:tc>
        <w:tc>
          <w:tcPr>
            <w:tcW w:w="1265" w:type="pct"/>
            <w:vAlign w:val="center"/>
          </w:tcPr>
          <w:p w14:paraId="3F1EB795">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响应情况</w:t>
            </w:r>
          </w:p>
        </w:tc>
        <w:tc>
          <w:tcPr>
            <w:tcW w:w="1136" w:type="pct"/>
            <w:vAlign w:val="center"/>
          </w:tcPr>
          <w:p w14:paraId="3E3F1E73">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证明资料</w:t>
            </w:r>
            <w:r>
              <w:rPr>
                <w:rFonts w:hint="eastAsia" w:ascii="宋体" w:hAnsi="宋体" w:eastAsia="宋体" w:cs="宋体"/>
                <w:color w:val="auto"/>
                <w:sz w:val="21"/>
                <w:szCs w:val="21"/>
                <w:highlight w:val="none"/>
              </w:rPr>
              <w:t>及索引</w:t>
            </w:r>
          </w:p>
        </w:tc>
      </w:tr>
      <w:tr w14:paraId="7F921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6" w:type="pct"/>
            <w:vAlign w:val="center"/>
          </w:tcPr>
          <w:p w14:paraId="1390C611">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59" w:type="pct"/>
            <w:vAlign w:val="center"/>
          </w:tcPr>
          <w:p w14:paraId="23DD6440">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31" w:type="pct"/>
            <w:vAlign w:val="center"/>
          </w:tcPr>
          <w:p w14:paraId="24669278">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265" w:type="pct"/>
            <w:vAlign w:val="center"/>
          </w:tcPr>
          <w:p w14:paraId="5C5A608D">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响应/正偏离/负偏离</w:t>
            </w:r>
          </w:p>
        </w:tc>
        <w:tc>
          <w:tcPr>
            <w:tcW w:w="1136" w:type="pct"/>
            <w:vAlign w:val="center"/>
          </w:tcPr>
          <w:p w14:paraId="3F3AE223">
            <w:pPr>
              <w:pStyle w:val="48"/>
              <w:jc w:val="center"/>
              <w:rPr>
                <w:rFonts w:hint="eastAsia" w:ascii="宋体" w:hAnsi="宋体" w:eastAsia="宋体" w:cs="宋体"/>
                <w:color w:val="auto"/>
                <w:sz w:val="21"/>
                <w:szCs w:val="21"/>
                <w:highlight w:val="none"/>
              </w:rPr>
            </w:pPr>
          </w:p>
        </w:tc>
      </w:tr>
      <w:tr w14:paraId="16FF8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6" w:type="pct"/>
            <w:vAlign w:val="center"/>
          </w:tcPr>
          <w:p w14:paraId="681E1A24">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159" w:type="pct"/>
            <w:vAlign w:val="center"/>
          </w:tcPr>
          <w:p w14:paraId="1B1CC670">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31" w:type="pct"/>
            <w:vAlign w:val="center"/>
          </w:tcPr>
          <w:p w14:paraId="3CDA8454">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265" w:type="pct"/>
            <w:vAlign w:val="center"/>
          </w:tcPr>
          <w:p w14:paraId="17532297">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响应/正偏离/负偏离</w:t>
            </w:r>
          </w:p>
        </w:tc>
        <w:tc>
          <w:tcPr>
            <w:tcW w:w="1136" w:type="pct"/>
            <w:vAlign w:val="center"/>
          </w:tcPr>
          <w:p w14:paraId="1786AA8B">
            <w:pPr>
              <w:pStyle w:val="48"/>
              <w:jc w:val="center"/>
              <w:rPr>
                <w:rFonts w:hint="eastAsia" w:ascii="宋体" w:hAnsi="宋体" w:eastAsia="宋体" w:cs="宋体"/>
                <w:color w:val="auto"/>
                <w:sz w:val="21"/>
                <w:szCs w:val="21"/>
                <w:highlight w:val="none"/>
              </w:rPr>
            </w:pPr>
          </w:p>
        </w:tc>
      </w:tr>
      <w:tr w14:paraId="3346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6" w:type="pct"/>
            <w:shd w:val="clear" w:color="auto" w:fill="auto"/>
            <w:vAlign w:val="center"/>
          </w:tcPr>
          <w:p w14:paraId="4CADFE13">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159" w:type="pct"/>
            <w:shd w:val="clear" w:color="auto" w:fill="auto"/>
            <w:vAlign w:val="center"/>
          </w:tcPr>
          <w:p w14:paraId="7EAC22E8">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p>
        </w:tc>
        <w:tc>
          <w:tcPr>
            <w:tcW w:w="1031" w:type="pct"/>
            <w:shd w:val="clear" w:color="auto" w:fill="auto"/>
            <w:vAlign w:val="center"/>
          </w:tcPr>
          <w:p w14:paraId="1261D841">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p>
        </w:tc>
        <w:tc>
          <w:tcPr>
            <w:tcW w:w="1265" w:type="pct"/>
            <w:shd w:val="clear" w:color="auto" w:fill="auto"/>
            <w:vAlign w:val="center"/>
          </w:tcPr>
          <w:p w14:paraId="21AB0CEA">
            <w:pPr>
              <w:pStyle w:val="4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响应/正偏离/负偏离</w:t>
            </w:r>
          </w:p>
        </w:tc>
        <w:tc>
          <w:tcPr>
            <w:tcW w:w="1136" w:type="pct"/>
            <w:vAlign w:val="center"/>
          </w:tcPr>
          <w:p w14:paraId="02205EF5">
            <w:pPr>
              <w:pStyle w:val="48"/>
              <w:jc w:val="center"/>
              <w:rPr>
                <w:rFonts w:hint="eastAsia" w:ascii="宋体" w:hAnsi="宋体" w:eastAsia="宋体" w:cs="宋体"/>
                <w:color w:val="auto"/>
                <w:sz w:val="21"/>
                <w:szCs w:val="21"/>
                <w:highlight w:val="none"/>
              </w:rPr>
            </w:pPr>
          </w:p>
        </w:tc>
      </w:tr>
      <w:tr w14:paraId="547EF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6" w:type="pct"/>
            <w:vAlign w:val="center"/>
          </w:tcPr>
          <w:p w14:paraId="2615990F">
            <w:pPr>
              <w:pStyle w:val="48"/>
              <w:jc w:val="center"/>
              <w:rPr>
                <w:rFonts w:hint="eastAsia" w:ascii="宋体" w:hAnsi="宋体" w:eastAsia="宋体" w:cs="宋体"/>
                <w:color w:val="auto"/>
                <w:sz w:val="21"/>
                <w:szCs w:val="21"/>
                <w:highlight w:val="none"/>
              </w:rPr>
            </w:pPr>
          </w:p>
        </w:tc>
        <w:tc>
          <w:tcPr>
            <w:tcW w:w="1159" w:type="pct"/>
            <w:vAlign w:val="center"/>
          </w:tcPr>
          <w:p w14:paraId="4EFDD3F7">
            <w:pPr>
              <w:pStyle w:val="48"/>
              <w:jc w:val="center"/>
              <w:rPr>
                <w:rFonts w:hint="eastAsia" w:ascii="宋体" w:hAnsi="宋体" w:eastAsia="宋体" w:cs="宋体"/>
                <w:color w:val="auto"/>
                <w:sz w:val="21"/>
                <w:szCs w:val="21"/>
                <w:highlight w:val="none"/>
              </w:rPr>
            </w:pPr>
          </w:p>
        </w:tc>
        <w:tc>
          <w:tcPr>
            <w:tcW w:w="1031" w:type="pct"/>
            <w:vAlign w:val="center"/>
          </w:tcPr>
          <w:p w14:paraId="6F3FE338">
            <w:pPr>
              <w:pStyle w:val="48"/>
              <w:jc w:val="center"/>
              <w:rPr>
                <w:rFonts w:hint="eastAsia" w:ascii="宋体" w:hAnsi="宋体" w:eastAsia="宋体" w:cs="宋体"/>
                <w:color w:val="auto"/>
                <w:sz w:val="21"/>
                <w:szCs w:val="21"/>
                <w:highlight w:val="none"/>
              </w:rPr>
            </w:pPr>
          </w:p>
        </w:tc>
        <w:tc>
          <w:tcPr>
            <w:tcW w:w="1265" w:type="pct"/>
            <w:vAlign w:val="center"/>
          </w:tcPr>
          <w:p w14:paraId="1DE7F15C">
            <w:pPr>
              <w:pStyle w:val="48"/>
              <w:jc w:val="center"/>
              <w:rPr>
                <w:rFonts w:hint="eastAsia" w:ascii="宋体" w:hAnsi="宋体" w:eastAsia="宋体" w:cs="宋体"/>
                <w:color w:val="auto"/>
                <w:sz w:val="21"/>
                <w:szCs w:val="21"/>
                <w:highlight w:val="none"/>
              </w:rPr>
            </w:pPr>
          </w:p>
        </w:tc>
        <w:tc>
          <w:tcPr>
            <w:tcW w:w="1136" w:type="pct"/>
            <w:vAlign w:val="center"/>
          </w:tcPr>
          <w:p w14:paraId="7E461BBA">
            <w:pPr>
              <w:pStyle w:val="48"/>
              <w:jc w:val="center"/>
              <w:rPr>
                <w:rFonts w:hint="eastAsia" w:ascii="宋体" w:hAnsi="宋体" w:eastAsia="宋体" w:cs="宋体"/>
                <w:color w:val="auto"/>
                <w:sz w:val="21"/>
                <w:szCs w:val="21"/>
                <w:highlight w:val="none"/>
              </w:rPr>
            </w:pPr>
          </w:p>
        </w:tc>
      </w:tr>
      <w:tr w14:paraId="054E5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6" w:type="pct"/>
            <w:vAlign w:val="center"/>
          </w:tcPr>
          <w:p w14:paraId="21914A14">
            <w:pPr>
              <w:pStyle w:val="48"/>
              <w:jc w:val="center"/>
              <w:rPr>
                <w:rFonts w:hint="eastAsia" w:ascii="宋体" w:hAnsi="宋体" w:eastAsia="宋体" w:cs="宋体"/>
                <w:color w:val="auto"/>
                <w:sz w:val="21"/>
                <w:szCs w:val="21"/>
                <w:highlight w:val="none"/>
              </w:rPr>
            </w:pPr>
          </w:p>
        </w:tc>
        <w:tc>
          <w:tcPr>
            <w:tcW w:w="1159" w:type="pct"/>
            <w:vAlign w:val="center"/>
          </w:tcPr>
          <w:p w14:paraId="01FAF6FF">
            <w:pPr>
              <w:pStyle w:val="48"/>
              <w:jc w:val="center"/>
              <w:rPr>
                <w:rFonts w:hint="eastAsia" w:ascii="宋体" w:hAnsi="宋体" w:eastAsia="宋体" w:cs="宋体"/>
                <w:color w:val="auto"/>
                <w:sz w:val="21"/>
                <w:szCs w:val="21"/>
                <w:highlight w:val="none"/>
              </w:rPr>
            </w:pPr>
          </w:p>
        </w:tc>
        <w:tc>
          <w:tcPr>
            <w:tcW w:w="1031" w:type="pct"/>
            <w:vAlign w:val="center"/>
          </w:tcPr>
          <w:p w14:paraId="7C7F56A7">
            <w:pPr>
              <w:pStyle w:val="48"/>
              <w:jc w:val="center"/>
              <w:rPr>
                <w:rFonts w:hint="eastAsia" w:ascii="宋体" w:hAnsi="宋体" w:eastAsia="宋体" w:cs="宋体"/>
                <w:color w:val="auto"/>
                <w:sz w:val="21"/>
                <w:szCs w:val="21"/>
                <w:highlight w:val="none"/>
              </w:rPr>
            </w:pPr>
          </w:p>
        </w:tc>
        <w:tc>
          <w:tcPr>
            <w:tcW w:w="1265" w:type="pct"/>
            <w:vAlign w:val="center"/>
          </w:tcPr>
          <w:p w14:paraId="611127F1">
            <w:pPr>
              <w:pStyle w:val="48"/>
              <w:jc w:val="center"/>
              <w:rPr>
                <w:rFonts w:hint="eastAsia" w:ascii="宋体" w:hAnsi="宋体" w:eastAsia="宋体" w:cs="宋体"/>
                <w:color w:val="auto"/>
                <w:sz w:val="21"/>
                <w:szCs w:val="21"/>
                <w:highlight w:val="none"/>
              </w:rPr>
            </w:pPr>
          </w:p>
        </w:tc>
        <w:tc>
          <w:tcPr>
            <w:tcW w:w="1136" w:type="pct"/>
            <w:vAlign w:val="center"/>
          </w:tcPr>
          <w:p w14:paraId="0E4A26B6">
            <w:pPr>
              <w:pStyle w:val="48"/>
              <w:jc w:val="center"/>
              <w:rPr>
                <w:rFonts w:hint="eastAsia" w:ascii="宋体" w:hAnsi="宋体" w:eastAsia="宋体" w:cs="宋体"/>
                <w:color w:val="auto"/>
                <w:sz w:val="21"/>
                <w:szCs w:val="21"/>
                <w:highlight w:val="none"/>
              </w:rPr>
            </w:pPr>
          </w:p>
        </w:tc>
      </w:tr>
      <w:tr w14:paraId="6E8D3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6" w:type="pct"/>
            <w:vAlign w:val="center"/>
          </w:tcPr>
          <w:p w14:paraId="30C5ED4E">
            <w:pPr>
              <w:pStyle w:val="48"/>
              <w:jc w:val="center"/>
              <w:rPr>
                <w:rFonts w:hint="eastAsia" w:ascii="宋体" w:hAnsi="宋体" w:eastAsia="宋体" w:cs="宋体"/>
                <w:color w:val="auto"/>
                <w:sz w:val="21"/>
                <w:szCs w:val="21"/>
                <w:highlight w:val="none"/>
              </w:rPr>
            </w:pPr>
          </w:p>
        </w:tc>
        <w:tc>
          <w:tcPr>
            <w:tcW w:w="1159" w:type="pct"/>
            <w:vAlign w:val="center"/>
          </w:tcPr>
          <w:p w14:paraId="5C4DD07B">
            <w:pPr>
              <w:pStyle w:val="48"/>
              <w:jc w:val="center"/>
              <w:rPr>
                <w:rFonts w:hint="eastAsia" w:ascii="宋体" w:hAnsi="宋体" w:eastAsia="宋体" w:cs="宋体"/>
                <w:color w:val="auto"/>
                <w:sz w:val="21"/>
                <w:szCs w:val="21"/>
                <w:highlight w:val="none"/>
              </w:rPr>
            </w:pPr>
          </w:p>
        </w:tc>
        <w:tc>
          <w:tcPr>
            <w:tcW w:w="1031" w:type="pct"/>
            <w:vAlign w:val="center"/>
          </w:tcPr>
          <w:p w14:paraId="26683DD4">
            <w:pPr>
              <w:pStyle w:val="48"/>
              <w:jc w:val="center"/>
              <w:rPr>
                <w:rFonts w:hint="eastAsia" w:ascii="宋体" w:hAnsi="宋体" w:eastAsia="宋体" w:cs="宋体"/>
                <w:color w:val="auto"/>
                <w:sz w:val="21"/>
                <w:szCs w:val="21"/>
                <w:highlight w:val="none"/>
              </w:rPr>
            </w:pPr>
          </w:p>
        </w:tc>
        <w:tc>
          <w:tcPr>
            <w:tcW w:w="1265" w:type="pct"/>
            <w:vAlign w:val="center"/>
          </w:tcPr>
          <w:p w14:paraId="4D8C3BA1">
            <w:pPr>
              <w:pStyle w:val="48"/>
              <w:jc w:val="center"/>
              <w:rPr>
                <w:rFonts w:hint="eastAsia" w:ascii="宋体" w:hAnsi="宋体" w:eastAsia="宋体" w:cs="宋体"/>
                <w:color w:val="auto"/>
                <w:sz w:val="21"/>
                <w:szCs w:val="21"/>
                <w:highlight w:val="none"/>
              </w:rPr>
            </w:pPr>
          </w:p>
        </w:tc>
        <w:tc>
          <w:tcPr>
            <w:tcW w:w="1136" w:type="pct"/>
            <w:vAlign w:val="center"/>
          </w:tcPr>
          <w:p w14:paraId="2E8B5F67">
            <w:pPr>
              <w:pStyle w:val="48"/>
              <w:jc w:val="center"/>
              <w:rPr>
                <w:rFonts w:hint="eastAsia" w:ascii="宋体" w:hAnsi="宋体" w:eastAsia="宋体" w:cs="宋体"/>
                <w:color w:val="auto"/>
                <w:sz w:val="21"/>
                <w:szCs w:val="21"/>
                <w:highlight w:val="none"/>
              </w:rPr>
            </w:pPr>
          </w:p>
        </w:tc>
      </w:tr>
      <w:tr w14:paraId="361F6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6" w:type="pct"/>
            <w:vAlign w:val="center"/>
          </w:tcPr>
          <w:p w14:paraId="1F51D1EA">
            <w:pPr>
              <w:pStyle w:val="48"/>
              <w:jc w:val="center"/>
              <w:rPr>
                <w:rFonts w:hint="eastAsia" w:ascii="宋体" w:hAnsi="宋体" w:eastAsia="宋体" w:cs="宋体"/>
                <w:color w:val="auto"/>
                <w:sz w:val="21"/>
                <w:szCs w:val="21"/>
                <w:highlight w:val="none"/>
              </w:rPr>
            </w:pPr>
          </w:p>
        </w:tc>
        <w:tc>
          <w:tcPr>
            <w:tcW w:w="1159" w:type="pct"/>
            <w:vAlign w:val="center"/>
          </w:tcPr>
          <w:p w14:paraId="1204324D">
            <w:pPr>
              <w:pStyle w:val="48"/>
              <w:jc w:val="center"/>
              <w:rPr>
                <w:rFonts w:hint="eastAsia" w:ascii="宋体" w:hAnsi="宋体" w:eastAsia="宋体" w:cs="宋体"/>
                <w:color w:val="auto"/>
                <w:sz w:val="21"/>
                <w:szCs w:val="21"/>
                <w:highlight w:val="none"/>
              </w:rPr>
            </w:pPr>
          </w:p>
        </w:tc>
        <w:tc>
          <w:tcPr>
            <w:tcW w:w="1031" w:type="pct"/>
            <w:vAlign w:val="center"/>
          </w:tcPr>
          <w:p w14:paraId="36FD0F55">
            <w:pPr>
              <w:pStyle w:val="48"/>
              <w:jc w:val="center"/>
              <w:rPr>
                <w:rFonts w:hint="eastAsia" w:ascii="宋体" w:hAnsi="宋体" w:eastAsia="宋体" w:cs="宋体"/>
                <w:color w:val="auto"/>
                <w:sz w:val="21"/>
                <w:szCs w:val="21"/>
                <w:highlight w:val="none"/>
              </w:rPr>
            </w:pPr>
          </w:p>
        </w:tc>
        <w:tc>
          <w:tcPr>
            <w:tcW w:w="1265" w:type="pct"/>
            <w:vAlign w:val="center"/>
          </w:tcPr>
          <w:p w14:paraId="6D3AA7E1">
            <w:pPr>
              <w:pStyle w:val="48"/>
              <w:jc w:val="center"/>
              <w:rPr>
                <w:rFonts w:hint="eastAsia" w:ascii="宋体" w:hAnsi="宋体" w:eastAsia="宋体" w:cs="宋体"/>
                <w:color w:val="auto"/>
                <w:sz w:val="21"/>
                <w:szCs w:val="21"/>
                <w:highlight w:val="none"/>
              </w:rPr>
            </w:pPr>
          </w:p>
        </w:tc>
        <w:tc>
          <w:tcPr>
            <w:tcW w:w="1136" w:type="pct"/>
            <w:vAlign w:val="center"/>
          </w:tcPr>
          <w:p w14:paraId="449BE1FC">
            <w:pPr>
              <w:pStyle w:val="48"/>
              <w:jc w:val="center"/>
              <w:rPr>
                <w:rFonts w:hint="eastAsia" w:ascii="宋体" w:hAnsi="宋体" w:eastAsia="宋体" w:cs="宋体"/>
                <w:color w:val="auto"/>
                <w:sz w:val="21"/>
                <w:szCs w:val="21"/>
                <w:highlight w:val="none"/>
              </w:rPr>
            </w:pPr>
          </w:p>
        </w:tc>
      </w:tr>
      <w:tr w14:paraId="7E841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406" w:type="pct"/>
            <w:vAlign w:val="center"/>
          </w:tcPr>
          <w:p w14:paraId="6ECE9C6C">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159" w:type="pct"/>
            <w:vAlign w:val="center"/>
          </w:tcPr>
          <w:p w14:paraId="69EDFD22">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031" w:type="pct"/>
            <w:vAlign w:val="center"/>
          </w:tcPr>
          <w:p w14:paraId="0D19C04A">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265" w:type="pct"/>
            <w:vAlign w:val="center"/>
          </w:tcPr>
          <w:p w14:paraId="16652C7B">
            <w:pPr>
              <w:pStyle w:val="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136" w:type="pct"/>
            <w:vAlign w:val="center"/>
          </w:tcPr>
          <w:p w14:paraId="7E732B44">
            <w:pPr>
              <w:pStyle w:val="48"/>
              <w:jc w:val="center"/>
              <w:rPr>
                <w:rFonts w:hint="eastAsia" w:ascii="宋体" w:hAnsi="宋体" w:eastAsia="宋体" w:cs="宋体"/>
                <w:color w:val="auto"/>
                <w:sz w:val="21"/>
                <w:szCs w:val="21"/>
                <w:highlight w:val="none"/>
              </w:rPr>
            </w:pPr>
          </w:p>
        </w:tc>
      </w:tr>
    </w:tbl>
    <w:p w14:paraId="7D87EEFE">
      <w:pPr>
        <w:ind w:firstLine="480" w:firstLineChars="200"/>
        <w:rPr>
          <w:rFonts w:cs="仿宋_GB2312"/>
          <w:color w:val="auto"/>
          <w:szCs w:val="24"/>
          <w:highlight w:val="none"/>
        </w:rPr>
      </w:pPr>
    </w:p>
    <w:p w14:paraId="53059121">
      <w:pPr>
        <w:ind w:firstLine="480" w:firstLineChars="200"/>
        <w:rPr>
          <w:rFonts w:cs="仿宋_GB2312"/>
          <w:color w:val="auto"/>
          <w:szCs w:val="24"/>
          <w:highlight w:val="none"/>
        </w:rPr>
      </w:pPr>
      <w:r>
        <w:rPr>
          <w:rFonts w:hint="eastAsia" w:cs="仿宋_GB2312"/>
          <w:color w:val="auto"/>
          <w:szCs w:val="24"/>
          <w:highlight w:val="none"/>
        </w:rPr>
        <w:t>投标人名称</w:t>
      </w:r>
      <w:r>
        <w:rPr>
          <w:rFonts w:hint="eastAsia" w:cs="仿宋_GB2312"/>
          <w:color w:val="auto"/>
          <w:szCs w:val="24"/>
          <w:highlight w:val="none"/>
          <w:lang w:eastAsia="zh-CN"/>
        </w:rPr>
        <w:t>（</w:t>
      </w:r>
      <w:r>
        <w:rPr>
          <w:rFonts w:hint="eastAsia"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cs="宋体"/>
          <w:color w:val="auto"/>
          <w:kern w:val="0"/>
          <w:sz w:val="24"/>
          <w:highlight w:val="none"/>
          <w:lang w:val="zh-CN"/>
        </w:rPr>
        <w:t>)</w:t>
      </w:r>
      <w:r>
        <w:rPr>
          <w:rFonts w:hint="eastAsia" w:cs="仿宋_GB2312"/>
          <w:color w:val="auto"/>
          <w:szCs w:val="24"/>
          <w:highlight w:val="none"/>
        </w:rPr>
        <w:t>：</w:t>
      </w:r>
    </w:p>
    <w:p w14:paraId="27EF6D84">
      <w:pPr>
        <w:ind w:firstLine="420"/>
        <w:rPr>
          <w:rFonts w:cs="仿宋_GB2312"/>
          <w:color w:val="auto"/>
          <w:szCs w:val="24"/>
          <w:highlight w:val="none"/>
        </w:rPr>
      </w:pPr>
      <w:r>
        <w:rPr>
          <w:rFonts w:hint="eastAsia" w:cs="仿宋_GB2312"/>
          <w:color w:val="auto"/>
          <w:szCs w:val="24"/>
          <w:highlight w:val="none"/>
        </w:rPr>
        <w:t>日      期：</w:t>
      </w:r>
    </w:p>
    <w:p w14:paraId="1685FB85">
      <w:pPr>
        <w:ind w:firstLine="420"/>
        <w:rPr>
          <w:rFonts w:cs="仿宋_GB2312"/>
          <w:color w:val="auto"/>
          <w:szCs w:val="24"/>
          <w:highlight w:val="none"/>
        </w:rPr>
      </w:pPr>
    </w:p>
    <w:p w14:paraId="695CF979">
      <w:pPr>
        <w:ind w:firstLine="420" w:firstLineChars="200"/>
        <w:rPr>
          <w:rFonts w:cs="仿宋_GB2312"/>
          <w:color w:val="auto"/>
          <w:szCs w:val="24"/>
          <w:highlight w:val="none"/>
        </w:rPr>
      </w:pPr>
      <w:r>
        <w:rPr>
          <w:rFonts w:hint="eastAsia" w:cs="仿宋_GB2312"/>
          <w:color w:val="auto"/>
          <w:sz w:val="21"/>
          <w:szCs w:val="21"/>
          <w:highlight w:val="none"/>
        </w:rPr>
        <w:t>注：投标人应按照招标文件“第三章 采购需求”</w:t>
      </w:r>
      <w:r>
        <w:rPr>
          <w:rFonts w:hint="eastAsia" w:cs="仿宋_GB2312"/>
          <w:color w:val="auto"/>
          <w:sz w:val="21"/>
          <w:szCs w:val="21"/>
          <w:highlight w:val="none"/>
          <w:lang w:val="en-US" w:eastAsia="zh-CN"/>
        </w:rPr>
        <w:t>中的技术要求</w:t>
      </w:r>
      <w:r>
        <w:rPr>
          <w:rFonts w:hint="eastAsia" w:cs="仿宋_GB2312"/>
          <w:color w:val="auto"/>
          <w:sz w:val="21"/>
          <w:szCs w:val="21"/>
          <w:highlight w:val="none"/>
        </w:rPr>
        <w:t>填写</w:t>
      </w:r>
      <w:r>
        <w:rPr>
          <w:rFonts w:hint="eastAsia" w:cs="仿宋_GB2312"/>
          <w:color w:val="auto"/>
          <w:sz w:val="21"/>
          <w:szCs w:val="21"/>
          <w:highlight w:val="none"/>
          <w:lang w:eastAsia="zh-CN"/>
        </w:rPr>
        <w:t>：</w:t>
      </w:r>
    </w:p>
    <w:p w14:paraId="2C3D9747">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1.“招标文件技术要求条款”栏应详细列明招标文件中的要求。 </w:t>
      </w:r>
    </w:p>
    <w:p w14:paraId="67B3A4D5">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2.“投标文件内容对应简述”栏填写投标人对招标文件提出的技术要求作出的明确响应，并列明具体响应数值或内容，只注明符合、满足等无具体内容表述的，将视为未实质性满足招标文件要求</w:t>
      </w:r>
      <w:r>
        <w:rPr>
          <w:rFonts w:hint="default" w:cs="仿宋_GB2312"/>
          <w:color w:val="auto"/>
          <w:sz w:val="21"/>
          <w:szCs w:val="21"/>
          <w:highlight w:val="none"/>
          <w:lang w:val="en-US" w:eastAsia="zh-CN"/>
        </w:rPr>
        <w:t>，</w:t>
      </w:r>
      <w:r>
        <w:rPr>
          <w:rFonts w:hint="eastAsia" w:cs="仿宋_GB2312"/>
          <w:b/>
          <w:bCs/>
          <w:color w:val="auto"/>
          <w:sz w:val="21"/>
          <w:szCs w:val="21"/>
          <w:highlight w:val="none"/>
          <w:lang w:val="en-US" w:eastAsia="zh-CN"/>
        </w:rPr>
        <w:t>投标</w:t>
      </w:r>
      <w:r>
        <w:rPr>
          <w:rFonts w:hint="default" w:cs="仿宋_GB2312"/>
          <w:b/>
          <w:bCs/>
          <w:color w:val="auto"/>
          <w:sz w:val="21"/>
          <w:szCs w:val="21"/>
          <w:highlight w:val="none"/>
          <w:lang w:val="en-US" w:eastAsia="zh-CN"/>
        </w:rPr>
        <w:t>无效</w:t>
      </w:r>
      <w:r>
        <w:rPr>
          <w:rFonts w:hint="eastAsia" w:cs="仿宋_GB2312"/>
          <w:color w:val="auto"/>
          <w:sz w:val="21"/>
          <w:szCs w:val="21"/>
          <w:highlight w:val="none"/>
          <w:lang w:val="en-US" w:eastAsia="zh-CN"/>
        </w:rPr>
        <w:t xml:space="preserve">。 </w:t>
      </w:r>
    </w:p>
    <w:p w14:paraId="1ADFBBD2">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3.“响应情况”栏应据实填写“响应”、“正偏离”或“负偏离”。 </w:t>
      </w:r>
    </w:p>
    <w:p w14:paraId="5D0BE6F5">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4.“证明资料及索引”栏可填写证明资料的具体内容及索引。</w:t>
      </w:r>
    </w:p>
    <w:p w14:paraId="0865D440">
      <w:pPr>
        <w:ind w:firstLine="420"/>
        <w:rPr>
          <w:rFonts w:hint="eastAsia" w:cs="仿宋_GB2312"/>
          <w:color w:val="auto"/>
          <w:szCs w:val="24"/>
          <w:highlight w:val="none"/>
          <w:lang w:val="en-US" w:eastAsia="zh-CN"/>
        </w:rPr>
      </w:pPr>
      <w:r>
        <w:rPr>
          <w:rFonts w:hint="eastAsia" w:cs="仿宋_GB2312"/>
          <w:color w:val="auto"/>
          <w:sz w:val="21"/>
          <w:szCs w:val="21"/>
          <w:highlight w:val="none"/>
          <w:lang w:val="en-US" w:eastAsia="zh-CN"/>
        </w:rPr>
        <w:t>5.对招标文件中的所有技术要求，除本表所列明的所有偏离外，均视作供应商</w:t>
      </w:r>
      <w:r>
        <w:rPr>
          <w:rFonts w:hint="default" w:cs="仿宋_GB2312"/>
          <w:color w:val="auto"/>
          <w:sz w:val="21"/>
          <w:szCs w:val="21"/>
          <w:highlight w:val="none"/>
          <w:lang w:val="en-US" w:eastAsia="zh-CN"/>
        </w:rPr>
        <w:t>已对之理解和响应。此表中若无任何文字说明，内容为空白的，</w:t>
      </w:r>
      <w:r>
        <w:rPr>
          <w:rFonts w:hint="default" w:cs="仿宋_GB2312"/>
          <w:b/>
          <w:bCs/>
          <w:color w:val="auto"/>
          <w:sz w:val="21"/>
          <w:szCs w:val="21"/>
          <w:highlight w:val="none"/>
          <w:lang w:val="en-US" w:eastAsia="zh-CN"/>
        </w:rPr>
        <w:t>投标无效</w:t>
      </w:r>
      <w:r>
        <w:rPr>
          <w:rFonts w:hint="default" w:cs="仿宋_GB2312"/>
          <w:color w:val="auto"/>
          <w:sz w:val="21"/>
          <w:szCs w:val="21"/>
          <w:highlight w:val="none"/>
          <w:lang w:val="en-US" w:eastAsia="zh-CN"/>
        </w:rPr>
        <w:t>。</w:t>
      </w:r>
    </w:p>
    <w:p w14:paraId="49A1A5E5">
      <w:pPr>
        <w:ind w:firstLine="420"/>
        <w:rPr>
          <w:rFonts w:cs="仿宋_GB2312"/>
          <w:color w:val="auto"/>
          <w:szCs w:val="24"/>
          <w:highlight w:val="none"/>
        </w:rPr>
      </w:pPr>
      <w:r>
        <w:rPr>
          <w:rFonts w:cs="仿宋_GB2312"/>
          <w:color w:val="auto"/>
          <w:szCs w:val="24"/>
          <w:highlight w:val="none"/>
        </w:rPr>
        <w:br w:type="page"/>
      </w:r>
    </w:p>
    <w:p w14:paraId="600EA7EE">
      <w:pPr>
        <w:pStyle w:val="17"/>
        <w:spacing w:line="360" w:lineRule="auto"/>
        <w:jc w:val="center"/>
        <w:rPr>
          <w:rFonts w:hint="eastAsia" w:ascii="方正小标宋_GBK" w:hAnsi="方正小标宋_GBK" w:eastAsia="方正小标宋_GBK" w:cs="方正小标宋_GBK"/>
          <w:bCs/>
          <w:color w:val="auto"/>
          <w:sz w:val="36"/>
          <w:szCs w:val="36"/>
          <w:highlight w:val="none"/>
          <w:lang w:val="en-US" w:eastAsia="zh-CN"/>
        </w:rPr>
      </w:pPr>
    </w:p>
    <w:p w14:paraId="06C98EB9">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703" w:name="_Toc24401"/>
      <w:bookmarkStart w:id="704" w:name="_Toc11129"/>
      <w:r>
        <w:rPr>
          <w:rFonts w:hint="eastAsia" w:cstheme="majorBidi"/>
          <w:b/>
          <w:bCs/>
          <w:color w:val="auto"/>
          <w:kern w:val="2"/>
          <w:sz w:val="32"/>
          <w:szCs w:val="32"/>
          <w:highlight w:val="none"/>
          <w:lang w:val="en-US" w:eastAsia="zh-CN" w:bidi="ar-SA"/>
        </w:rPr>
        <w:t>十</w:t>
      </w:r>
      <w:r>
        <w:rPr>
          <w:rFonts w:hint="eastAsia" w:eastAsia="宋体" w:asciiTheme="majorHAnsi" w:hAnsiTheme="majorHAnsi" w:cstheme="majorBidi"/>
          <w:b/>
          <w:bCs/>
          <w:color w:val="auto"/>
          <w:kern w:val="2"/>
          <w:sz w:val="32"/>
          <w:szCs w:val="32"/>
          <w:highlight w:val="none"/>
          <w:lang w:val="en-US" w:eastAsia="zh-CN" w:bidi="ar-SA"/>
        </w:rPr>
        <w:t>、技术方案</w:t>
      </w:r>
      <w:bookmarkEnd w:id="703"/>
      <w:bookmarkEnd w:id="704"/>
    </w:p>
    <w:p w14:paraId="7078B366">
      <w:pPr>
        <w:pStyle w:val="36"/>
        <w:rPr>
          <w:rFonts w:hint="eastAsia"/>
          <w:color w:val="auto"/>
          <w:highlight w:val="none"/>
        </w:rPr>
      </w:pPr>
      <w:r>
        <w:rPr>
          <w:rFonts w:hint="eastAsia"/>
          <w:color w:val="auto"/>
          <w:highlight w:val="none"/>
        </w:rPr>
        <w:t>投标人应按照招标文件的要求，提供详细的服务方案，包括文字描述或图表显示。格式自拟。</w:t>
      </w:r>
    </w:p>
    <w:p w14:paraId="7EE77353">
      <w:pPr>
        <w:pStyle w:val="36"/>
        <w:rPr>
          <w:color w:val="auto"/>
          <w:highlight w:val="none"/>
        </w:rPr>
      </w:pPr>
      <w:r>
        <w:rPr>
          <w:color w:val="auto"/>
          <w:highlight w:val="none"/>
        </w:rPr>
        <w:br w:type="page"/>
      </w:r>
    </w:p>
    <w:p w14:paraId="01EB5657">
      <w:pPr>
        <w:ind w:firstLine="420"/>
        <w:rPr>
          <w:rFonts w:hint="eastAsia" w:cs="仿宋_GB2312"/>
          <w:color w:val="auto"/>
          <w:sz w:val="21"/>
          <w:szCs w:val="21"/>
          <w:highlight w:val="none"/>
          <w:lang w:val="en-US" w:eastAsia="zh-CN"/>
        </w:rPr>
      </w:pPr>
    </w:p>
    <w:p w14:paraId="3D755871">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705" w:name="_Toc12261"/>
      <w:bookmarkStart w:id="706" w:name="_Toc8606"/>
      <w:r>
        <w:rPr>
          <w:rFonts w:hint="eastAsia" w:eastAsia="宋体" w:asciiTheme="majorHAnsi" w:hAnsiTheme="majorHAnsi" w:cstheme="majorBidi"/>
          <w:b/>
          <w:bCs/>
          <w:color w:val="auto"/>
          <w:kern w:val="2"/>
          <w:sz w:val="32"/>
          <w:szCs w:val="32"/>
          <w:highlight w:val="none"/>
          <w:lang w:val="en-US" w:eastAsia="zh-CN" w:bidi="ar-SA"/>
        </w:rPr>
        <w:t>十</w:t>
      </w:r>
      <w:r>
        <w:rPr>
          <w:rFonts w:hint="eastAsia" w:cstheme="majorBidi"/>
          <w:b/>
          <w:bCs/>
          <w:color w:val="auto"/>
          <w:kern w:val="2"/>
          <w:sz w:val="32"/>
          <w:szCs w:val="32"/>
          <w:highlight w:val="none"/>
          <w:lang w:val="en-US" w:eastAsia="zh-CN" w:bidi="ar-SA"/>
        </w:rPr>
        <w:t>一</w:t>
      </w:r>
      <w:r>
        <w:rPr>
          <w:rFonts w:hint="eastAsia" w:eastAsia="宋体" w:asciiTheme="majorHAnsi" w:hAnsiTheme="majorHAnsi" w:cstheme="majorBidi"/>
          <w:b/>
          <w:bCs/>
          <w:color w:val="auto"/>
          <w:kern w:val="2"/>
          <w:sz w:val="32"/>
          <w:szCs w:val="32"/>
          <w:highlight w:val="none"/>
          <w:lang w:val="en-US" w:eastAsia="zh-CN" w:bidi="ar-SA"/>
        </w:rPr>
        <w:t>、其他文件</w:t>
      </w:r>
      <w:bookmarkEnd w:id="705"/>
      <w:bookmarkEnd w:id="706"/>
    </w:p>
    <w:p w14:paraId="6EF40482">
      <w:pPr>
        <w:pStyle w:val="36"/>
        <w:ind w:left="0" w:leftChars="0" w:firstLine="0" w:firstLineChars="0"/>
        <w:rPr>
          <w:rFonts w:hint="eastAsia"/>
          <w:b/>
          <w:bCs/>
          <w:color w:val="auto"/>
          <w:sz w:val="24"/>
          <w:szCs w:val="24"/>
          <w:highlight w:val="none"/>
        </w:rPr>
      </w:pPr>
      <w:r>
        <w:rPr>
          <w:rFonts w:hint="eastAsia"/>
          <w:b/>
          <w:bCs/>
          <w:color w:val="auto"/>
          <w:sz w:val="24"/>
          <w:szCs w:val="24"/>
          <w:highlight w:val="none"/>
          <w:lang w:eastAsia="zh-CN"/>
        </w:rPr>
        <w:t>（</w:t>
      </w:r>
      <w:r>
        <w:rPr>
          <w:rFonts w:hint="eastAsia"/>
          <w:b/>
          <w:bCs/>
          <w:color w:val="auto"/>
          <w:sz w:val="24"/>
          <w:szCs w:val="24"/>
          <w:highlight w:val="none"/>
          <w:lang w:val="en-US" w:eastAsia="zh-CN"/>
        </w:rPr>
        <w:t>一）</w:t>
      </w:r>
      <w:r>
        <w:rPr>
          <w:rFonts w:hint="eastAsia"/>
          <w:b/>
          <w:bCs/>
          <w:color w:val="auto"/>
          <w:sz w:val="24"/>
          <w:szCs w:val="24"/>
          <w:highlight w:val="none"/>
        </w:rPr>
        <w:t>招标文件要求提供的其它商务</w:t>
      </w:r>
      <w:r>
        <w:rPr>
          <w:rFonts w:hint="eastAsia"/>
          <w:b/>
          <w:bCs/>
          <w:color w:val="auto"/>
          <w:sz w:val="24"/>
          <w:szCs w:val="24"/>
          <w:highlight w:val="none"/>
          <w:lang w:eastAsia="zh-CN"/>
        </w:rPr>
        <w:t>、</w:t>
      </w:r>
      <w:r>
        <w:rPr>
          <w:rFonts w:hint="eastAsia"/>
          <w:b/>
          <w:bCs/>
          <w:color w:val="auto"/>
          <w:sz w:val="24"/>
          <w:szCs w:val="24"/>
          <w:highlight w:val="none"/>
        </w:rPr>
        <w:t>技术资料和证明材料；</w:t>
      </w:r>
    </w:p>
    <w:p w14:paraId="09B7BCDB">
      <w:pPr>
        <w:pStyle w:val="36"/>
        <w:rPr>
          <w:rFonts w:hint="eastAsia"/>
          <w:color w:val="auto"/>
          <w:sz w:val="24"/>
          <w:szCs w:val="24"/>
          <w:highlight w:val="none"/>
          <w:lang w:val="en-US" w:eastAsia="zh-CN"/>
        </w:rPr>
      </w:pPr>
      <w:r>
        <w:rPr>
          <w:rFonts w:hint="eastAsia"/>
          <w:color w:val="auto"/>
          <w:sz w:val="24"/>
          <w:szCs w:val="24"/>
          <w:highlight w:val="none"/>
          <w:lang w:val="en-US" w:eastAsia="zh-CN"/>
        </w:rPr>
        <w:t>1.1供应商信息采集表</w:t>
      </w:r>
    </w:p>
    <w:tbl>
      <w:tblPr>
        <w:tblStyle w:val="30"/>
        <w:tblW w:w="0" w:type="auto"/>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8"/>
        <w:gridCol w:w="2841"/>
        <w:gridCol w:w="2743"/>
      </w:tblGrid>
      <w:tr w14:paraId="23991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2708" w:type="dxa"/>
            <w:vAlign w:val="center"/>
          </w:tcPr>
          <w:p w14:paraId="1DAB5D76">
            <w:pPr>
              <w:keepNext w:val="0"/>
              <w:keepLines w:val="0"/>
              <w:widowControl/>
              <w:suppressLineNumbers w:val="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供应商名称</w:t>
            </w:r>
          </w:p>
        </w:tc>
        <w:tc>
          <w:tcPr>
            <w:tcW w:w="2841" w:type="dxa"/>
            <w:vAlign w:val="center"/>
          </w:tcPr>
          <w:p w14:paraId="7E8BFF2C">
            <w:pPr>
              <w:keepNext w:val="0"/>
              <w:keepLines w:val="0"/>
              <w:widowControl/>
              <w:suppressLineNumbers w:val="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供应商实际控制人性别</w:t>
            </w:r>
          </w:p>
        </w:tc>
        <w:tc>
          <w:tcPr>
            <w:tcW w:w="2743" w:type="dxa"/>
            <w:vAlign w:val="center"/>
          </w:tcPr>
          <w:p w14:paraId="27FEC6CB">
            <w:pPr>
              <w:keepNext w:val="0"/>
              <w:keepLines w:val="0"/>
              <w:widowControl/>
              <w:suppressLineNumbers w:val="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外商投资类型</w:t>
            </w:r>
          </w:p>
        </w:tc>
      </w:tr>
      <w:tr w14:paraId="6C821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00EF63A6">
            <w:pPr>
              <w:pStyle w:val="36"/>
              <w:rPr>
                <w:rFonts w:hint="eastAsia" w:ascii="宋体" w:hAnsi="宋体" w:eastAsia="宋体" w:cs="宋体"/>
                <w:color w:val="auto"/>
                <w:sz w:val="24"/>
                <w:szCs w:val="24"/>
                <w:highlight w:val="none"/>
                <w:vertAlign w:val="baseline"/>
                <w:lang w:val="en-US" w:eastAsia="zh-CN"/>
              </w:rPr>
            </w:pPr>
          </w:p>
        </w:tc>
        <w:tc>
          <w:tcPr>
            <w:tcW w:w="2841" w:type="dxa"/>
          </w:tcPr>
          <w:p w14:paraId="2C8A474B">
            <w:pPr>
              <w:pStyle w:val="36"/>
              <w:rPr>
                <w:rFonts w:hint="eastAsia" w:ascii="宋体" w:hAnsi="宋体" w:eastAsia="宋体" w:cs="宋体"/>
                <w:color w:val="auto"/>
                <w:sz w:val="24"/>
                <w:szCs w:val="24"/>
                <w:highlight w:val="none"/>
                <w:vertAlign w:val="baseline"/>
                <w:lang w:val="en-US" w:eastAsia="zh-CN"/>
              </w:rPr>
            </w:pPr>
          </w:p>
        </w:tc>
        <w:tc>
          <w:tcPr>
            <w:tcW w:w="2743" w:type="dxa"/>
          </w:tcPr>
          <w:p w14:paraId="2F4800D6">
            <w:pPr>
              <w:pStyle w:val="36"/>
              <w:rPr>
                <w:rFonts w:hint="eastAsia" w:ascii="宋体" w:hAnsi="宋体" w:eastAsia="宋体" w:cs="宋体"/>
                <w:color w:val="auto"/>
                <w:sz w:val="24"/>
                <w:szCs w:val="24"/>
                <w:highlight w:val="none"/>
                <w:vertAlign w:val="baseline"/>
                <w:lang w:val="en-US" w:eastAsia="zh-CN"/>
              </w:rPr>
            </w:pPr>
          </w:p>
        </w:tc>
      </w:tr>
      <w:tr w14:paraId="2A158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38538042">
            <w:pPr>
              <w:pStyle w:val="36"/>
              <w:rPr>
                <w:rFonts w:hint="eastAsia" w:ascii="宋体" w:hAnsi="宋体" w:eastAsia="宋体" w:cs="宋体"/>
                <w:color w:val="auto"/>
                <w:sz w:val="24"/>
                <w:szCs w:val="24"/>
                <w:highlight w:val="none"/>
                <w:vertAlign w:val="baseline"/>
                <w:lang w:val="en-US" w:eastAsia="zh-CN"/>
              </w:rPr>
            </w:pPr>
          </w:p>
        </w:tc>
        <w:tc>
          <w:tcPr>
            <w:tcW w:w="2841" w:type="dxa"/>
          </w:tcPr>
          <w:p w14:paraId="15D28C08">
            <w:pPr>
              <w:pStyle w:val="36"/>
              <w:rPr>
                <w:rFonts w:hint="eastAsia" w:ascii="宋体" w:hAnsi="宋体" w:eastAsia="宋体" w:cs="宋体"/>
                <w:color w:val="auto"/>
                <w:sz w:val="24"/>
                <w:szCs w:val="24"/>
                <w:highlight w:val="none"/>
                <w:vertAlign w:val="baseline"/>
                <w:lang w:val="en-US" w:eastAsia="zh-CN"/>
              </w:rPr>
            </w:pPr>
          </w:p>
        </w:tc>
        <w:tc>
          <w:tcPr>
            <w:tcW w:w="2743" w:type="dxa"/>
          </w:tcPr>
          <w:p w14:paraId="31FE53FE">
            <w:pPr>
              <w:pStyle w:val="36"/>
              <w:rPr>
                <w:rFonts w:hint="eastAsia" w:ascii="宋体" w:hAnsi="宋体" w:eastAsia="宋体" w:cs="宋体"/>
                <w:color w:val="auto"/>
                <w:sz w:val="24"/>
                <w:szCs w:val="24"/>
                <w:highlight w:val="none"/>
                <w:vertAlign w:val="baseline"/>
                <w:lang w:val="en-US" w:eastAsia="zh-CN"/>
              </w:rPr>
            </w:pPr>
          </w:p>
        </w:tc>
      </w:tr>
      <w:tr w14:paraId="74D54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0EF0ABBA">
            <w:pPr>
              <w:pStyle w:val="36"/>
              <w:rPr>
                <w:rFonts w:hint="eastAsia" w:ascii="宋体" w:hAnsi="宋体" w:eastAsia="宋体" w:cs="宋体"/>
                <w:color w:val="auto"/>
                <w:sz w:val="24"/>
                <w:szCs w:val="24"/>
                <w:highlight w:val="none"/>
                <w:vertAlign w:val="baseline"/>
                <w:lang w:val="en-US" w:eastAsia="zh-CN"/>
              </w:rPr>
            </w:pPr>
          </w:p>
        </w:tc>
        <w:tc>
          <w:tcPr>
            <w:tcW w:w="2841" w:type="dxa"/>
          </w:tcPr>
          <w:p w14:paraId="15A0EA10">
            <w:pPr>
              <w:pStyle w:val="36"/>
              <w:rPr>
                <w:rFonts w:hint="eastAsia" w:ascii="宋体" w:hAnsi="宋体" w:eastAsia="宋体" w:cs="宋体"/>
                <w:color w:val="auto"/>
                <w:sz w:val="24"/>
                <w:szCs w:val="24"/>
                <w:highlight w:val="none"/>
                <w:vertAlign w:val="baseline"/>
                <w:lang w:val="en-US" w:eastAsia="zh-CN"/>
              </w:rPr>
            </w:pPr>
          </w:p>
        </w:tc>
        <w:tc>
          <w:tcPr>
            <w:tcW w:w="2743" w:type="dxa"/>
          </w:tcPr>
          <w:p w14:paraId="4DD25543">
            <w:pPr>
              <w:pStyle w:val="36"/>
              <w:rPr>
                <w:rFonts w:hint="eastAsia" w:ascii="宋体" w:hAnsi="宋体" w:eastAsia="宋体" w:cs="宋体"/>
                <w:color w:val="auto"/>
                <w:sz w:val="24"/>
                <w:szCs w:val="24"/>
                <w:highlight w:val="none"/>
                <w:vertAlign w:val="baseline"/>
                <w:lang w:val="en-US" w:eastAsia="zh-CN"/>
              </w:rPr>
            </w:pPr>
          </w:p>
        </w:tc>
      </w:tr>
      <w:tr w14:paraId="000F1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6B6D0E2F">
            <w:pPr>
              <w:pStyle w:val="36"/>
              <w:rPr>
                <w:rFonts w:hint="eastAsia" w:ascii="宋体" w:hAnsi="宋体" w:eastAsia="宋体" w:cs="宋体"/>
                <w:color w:val="auto"/>
                <w:sz w:val="24"/>
                <w:szCs w:val="24"/>
                <w:highlight w:val="none"/>
                <w:vertAlign w:val="baseline"/>
                <w:lang w:val="en-US" w:eastAsia="zh-CN"/>
              </w:rPr>
            </w:pPr>
          </w:p>
        </w:tc>
        <w:tc>
          <w:tcPr>
            <w:tcW w:w="2841" w:type="dxa"/>
          </w:tcPr>
          <w:p w14:paraId="7437EC56">
            <w:pPr>
              <w:pStyle w:val="36"/>
              <w:rPr>
                <w:rFonts w:hint="eastAsia" w:ascii="宋体" w:hAnsi="宋体" w:eastAsia="宋体" w:cs="宋体"/>
                <w:color w:val="auto"/>
                <w:sz w:val="24"/>
                <w:szCs w:val="24"/>
                <w:highlight w:val="none"/>
                <w:vertAlign w:val="baseline"/>
                <w:lang w:val="en-US" w:eastAsia="zh-CN"/>
              </w:rPr>
            </w:pPr>
          </w:p>
        </w:tc>
        <w:tc>
          <w:tcPr>
            <w:tcW w:w="2743" w:type="dxa"/>
          </w:tcPr>
          <w:p w14:paraId="769E8F28">
            <w:pPr>
              <w:pStyle w:val="36"/>
              <w:rPr>
                <w:rFonts w:hint="eastAsia" w:ascii="宋体" w:hAnsi="宋体" w:eastAsia="宋体" w:cs="宋体"/>
                <w:color w:val="auto"/>
                <w:sz w:val="24"/>
                <w:szCs w:val="24"/>
                <w:highlight w:val="none"/>
                <w:vertAlign w:val="baseline"/>
                <w:lang w:val="en-US" w:eastAsia="zh-CN"/>
              </w:rPr>
            </w:pPr>
          </w:p>
        </w:tc>
      </w:tr>
    </w:tbl>
    <w:p w14:paraId="3318F9F0">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注：1.供应商如为联合体，则应填写联合体各成员信息。 </w:t>
      </w:r>
    </w:p>
    <w:p w14:paraId="53D1AE7E">
      <w:pPr>
        <w:keepNext w:val="0"/>
        <w:keepLines w:val="0"/>
        <w:widowControl/>
        <w:suppressLineNumbers w:val="0"/>
        <w:ind w:firstLine="420" w:firstLineChars="20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r>
        <w:rPr>
          <w:rFonts w:hint="eastAsia" w:cs="宋体"/>
          <w:color w:val="auto"/>
          <w:kern w:val="0"/>
          <w:sz w:val="21"/>
          <w:szCs w:val="21"/>
          <w:highlight w:val="none"/>
          <w:lang w:val="en-US" w:eastAsia="zh-CN" w:bidi="ar"/>
        </w:rPr>
        <w:t>“供应商实际控制人性别”</w:t>
      </w:r>
      <w:r>
        <w:rPr>
          <w:rFonts w:hint="eastAsia" w:ascii="宋体" w:hAnsi="宋体" w:eastAsia="宋体" w:cs="宋体"/>
          <w:color w:val="auto"/>
          <w:kern w:val="0"/>
          <w:sz w:val="21"/>
          <w:szCs w:val="21"/>
          <w:highlight w:val="none"/>
          <w:lang w:val="en-US" w:eastAsia="zh-CN" w:bidi="ar"/>
        </w:rPr>
        <w:t>按供应商实际控制人性别划分请填写“男”或“女”，指拥有供应商 51%以上绝对所有权的性</w:t>
      </w:r>
      <w:r>
        <w:rPr>
          <w:rFonts w:hint="eastAsia" w:cs="宋体"/>
          <w:color w:val="auto"/>
          <w:kern w:val="0"/>
          <w:sz w:val="21"/>
          <w:szCs w:val="21"/>
          <w:highlight w:val="none"/>
          <w:lang w:val="en-US" w:eastAsia="zh-CN" w:bidi="ar"/>
        </w:rPr>
        <w:t>别</w:t>
      </w:r>
      <w:r>
        <w:rPr>
          <w:rFonts w:hint="eastAsia" w:ascii="宋体" w:hAnsi="宋体" w:eastAsia="宋体" w:cs="宋体"/>
          <w:color w:val="auto"/>
          <w:kern w:val="0"/>
          <w:sz w:val="21"/>
          <w:szCs w:val="21"/>
          <w:highlight w:val="none"/>
          <w:lang w:val="en-US" w:eastAsia="zh-CN" w:bidi="ar"/>
        </w:rPr>
        <w:t>；绝对所有权拥有者可以是一个人，也可以是多人合计计算。</w:t>
      </w:r>
    </w:p>
    <w:p w14:paraId="6C85D95C">
      <w:pPr>
        <w:pStyle w:val="36"/>
        <w:ind w:left="0" w:leftChars="0" w:firstLine="420" w:firstLineChars="200"/>
        <w:rPr>
          <w:rFonts w:hint="eastAsia"/>
          <w:color w:val="auto"/>
          <w:sz w:val="21"/>
          <w:szCs w:val="21"/>
          <w:highlight w:val="none"/>
          <w:lang w:eastAsia="zh-CN"/>
        </w:rPr>
      </w:pPr>
      <w:r>
        <w:rPr>
          <w:rFonts w:hint="eastAsia" w:ascii="宋体" w:hAnsi="宋体" w:eastAsia="宋体" w:cs="宋体"/>
          <w:color w:val="auto"/>
          <w:kern w:val="0"/>
          <w:sz w:val="21"/>
          <w:szCs w:val="21"/>
          <w:highlight w:val="none"/>
          <w:lang w:val="en-US" w:eastAsia="zh-CN" w:bidi="ar"/>
        </w:rPr>
        <w:t>3.</w:t>
      </w:r>
      <w:r>
        <w:rPr>
          <w:rFonts w:hint="eastAsia"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外商投资类型</w:t>
      </w:r>
      <w:r>
        <w:rPr>
          <w:rFonts w:hint="eastAsia"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请填写“外商单独投资”、“外商部分投资”或“内资”。</w:t>
      </w:r>
    </w:p>
    <w:p w14:paraId="74B37C36">
      <w:pPr>
        <w:pStyle w:val="36"/>
        <w:rPr>
          <w:rFonts w:hint="eastAsia"/>
          <w:color w:val="auto"/>
          <w:sz w:val="28"/>
          <w:szCs w:val="28"/>
          <w:highlight w:val="none"/>
          <w:lang w:val="en-US" w:eastAsia="zh-CN"/>
        </w:rPr>
      </w:pPr>
    </w:p>
    <w:p w14:paraId="3CD7B018">
      <w:pPr>
        <w:pStyle w:val="36"/>
        <w:rPr>
          <w:rFonts w:hint="eastAsia"/>
          <w:color w:val="auto"/>
          <w:sz w:val="24"/>
          <w:szCs w:val="24"/>
          <w:highlight w:val="none"/>
          <w:lang w:val="en-US" w:eastAsia="zh-CN"/>
        </w:rPr>
      </w:pPr>
      <w:r>
        <w:rPr>
          <w:rFonts w:hint="eastAsia"/>
          <w:color w:val="auto"/>
          <w:sz w:val="24"/>
          <w:szCs w:val="24"/>
          <w:highlight w:val="none"/>
          <w:lang w:val="en-US" w:eastAsia="zh-CN"/>
        </w:rPr>
        <w:t>1.2其它商务、技术资料和证明材料</w:t>
      </w:r>
    </w:p>
    <w:p w14:paraId="45C8EB48">
      <w:pPr>
        <w:pStyle w:val="36"/>
        <w:ind w:left="0" w:leftChars="0" w:firstLine="0" w:firstLineChars="0"/>
        <w:rPr>
          <w:rFonts w:hint="eastAsia"/>
          <w:b/>
          <w:bCs/>
          <w:color w:val="auto"/>
          <w:sz w:val="24"/>
          <w:szCs w:val="24"/>
          <w:highlight w:val="none"/>
          <w:lang w:eastAsia="zh-CN"/>
        </w:rPr>
      </w:pPr>
    </w:p>
    <w:p w14:paraId="7DF13FE9">
      <w:pPr>
        <w:pStyle w:val="36"/>
        <w:ind w:left="0" w:leftChars="0" w:firstLine="0" w:firstLineChars="0"/>
        <w:rPr>
          <w:rFonts w:hint="eastAsia"/>
          <w:b/>
          <w:bCs/>
          <w:color w:val="auto"/>
          <w:sz w:val="24"/>
          <w:szCs w:val="24"/>
          <w:highlight w:val="none"/>
        </w:rPr>
      </w:pPr>
      <w:r>
        <w:rPr>
          <w:rFonts w:hint="eastAsia"/>
          <w:b/>
          <w:bCs/>
          <w:color w:val="auto"/>
          <w:sz w:val="24"/>
          <w:szCs w:val="24"/>
          <w:highlight w:val="none"/>
          <w:lang w:eastAsia="zh-CN"/>
        </w:rPr>
        <w:t>（</w:t>
      </w:r>
      <w:r>
        <w:rPr>
          <w:rFonts w:hint="eastAsia"/>
          <w:b/>
          <w:bCs/>
          <w:color w:val="auto"/>
          <w:sz w:val="24"/>
          <w:szCs w:val="24"/>
          <w:highlight w:val="none"/>
          <w:lang w:val="en-US" w:eastAsia="zh-CN"/>
        </w:rPr>
        <w:t>二）</w:t>
      </w:r>
      <w:r>
        <w:rPr>
          <w:rFonts w:hint="eastAsia"/>
          <w:b/>
          <w:bCs/>
          <w:color w:val="auto"/>
          <w:sz w:val="24"/>
          <w:szCs w:val="24"/>
          <w:highlight w:val="none"/>
        </w:rPr>
        <w:t>投标人认为需要提供的其它商务</w:t>
      </w:r>
      <w:r>
        <w:rPr>
          <w:rFonts w:hint="eastAsia"/>
          <w:b/>
          <w:bCs/>
          <w:color w:val="auto"/>
          <w:sz w:val="24"/>
          <w:szCs w:val="24"/>
          <w:highlight w:val="none"/>
          <w:lang w:eastAsia="zh-CN"/>
        </w:rPr>
        <w:t>、</w:t>
      </w:r>
      <w:r>
        <w:rPr>
          <w:rFonts w:hint="eastAsia"/>
          <w:b/>
          <w:bCs/>
          <w:color w:val="auto"/>
          <w:sz w:val="24"/>
          <w:szCs w:val="24"/>
          <w:highlight w:val="none"/>
        </w:rPr>
        <w:t>技术资料和说明。</w:t>
      </w:r>
    </w:p>
    <w:p w14:paraId="6DA29BFF">
      <w:pPr>
        <w:pStyle w:val="36"/>
        <w:rPr>
          <w:rFonts w:hint="eastAsia"/>
          <w:color w:val="auto"/>
          <w:highlight w:val="none"/>
        </w:rPr>
      </w:pPr>
    </w:p>
    <w:bookmarkEnd w:id="707"/>
    <w:sectPr>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Wingdings 2">
    <w:panose1 w:val="05020102010507070707"/>
    <w:charset w:val="00"/>
    <w:family w:val="auto"/>
    <w:pitch w:val="default"/>
    <w:sig w:usb0="00000000" w:usb1="00000000" w:usb2="00000000" w:usb3="00000000" w:csb0="80000000" w:csb1="00000000"/>
  </w:font>
  <w:font w:name="Helvetica">
    <w:altName w:val="Arial"/>
    <w:panose1 w:val="020B05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DejaVu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F71C02">
    <w:pPr>
      <w:pStyle w:val="1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7273"/>
                            <w:showingPlcHdr/>
                          </w:sdtPr>
                          <w:sdtContent>
                            <w:p w14:paraId="1DBF07E4">
                              <w:pPr>
                                <w:pStyle w:val="19"/>
                                <w:jc w:val="center"/>
                              </w:pPr>
                              <w:r>
                                <w:rPr>
                                  <w:rFonts w:hint="eastAsia"/>
                                  <w:lang w:eastAsia="zh-CN"/>
                                </w:rPr>
                                <w:t xml:space="preserve">     </w:t>
                              </w:r>
                            </w:p>
                          </w:sdtContent>
                        </w:sdt>
                        <w:p w14:paraId="2BF1767F"/>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sdt>
                    <w:sdtPr>
                      <w:id w:val="147467273"/>
                      <w:showingPlcHdr/>
                    </w:sdtPr>
                    <w:sdtContent>
                      <w:p w14:paraId="1DBF07E4">
                        <w:pPr>
                          <w:pStyle w:val="19"/>
                          <w:jc w:val="center"/>
                        </w:pPr>
                        <w:r>
                          <w:rPr>
                            <w:rFonts w:hint="eastAsia"/>
                            <w:lang w:eastAsia="zh-CN"/>
                          </w:rPr>
                          <w:t xml:space="preserve">     </w:t>
                        </w:r>
                      </w:p>
                    </w:sdtContent>
                  </w:sdt>
                  <w:p w14:paraId="2BF1767F"/>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6E938">
    <w:pPr>
      <w:pStyle w:val="19"/>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E68D9D">
                          <w:pPr>
                            <w:pStyle w:val="19"/>
                            <w:keepNext w:val="0"/>
                            <w:keepLines w:val="0"/>
                            <w:pageBreakBefore w:val="0"/>
                            <w:widowControl w:val="0"/>
                            <w:kinsoku/>
                            <w:wordWrap/>
                            <w:overflowPunct/>
                            <w:topLinePunct w:val="0"/>
                            <w:bidi w:val="0"/>
                            <w:adjustRightInd/>
                            <w:snapToGrid w:val="0"/>
                            <w:textAlignment w:val="auto"/>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CE68D9D">
                    <w:pPr>
                      <w:pStyle w:val="19"/>
                      <w:keepNext w:val="0"/>
                      <w:keepLines w:val="0"/>
                      <w:pageBreakBefore w:val="0"/>
                      <w:widowControl w:val="0"/>
                      <w:kinsoku/>
                      <w:wordWrap/>
                      <w:overflowPunct/>
                      <w:topLinePunct w:val="0"/>
                      <w:bidi w:val="0"/>
                      <w:adjustRightInd/>
                      <w:snapToGrid w:val="0"/>
                      <w:textAlignment w:val="auto"/>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2379"/>
                            <w:showingPlcHdr/>
                          </w:sdtPr>
                          <w:sdtContent>
                            <w:p w14:paraId="37381B42">
                              <w:pPr>
                                <w:pStyle w:val="19"/>
                                <w:jc w:val="center"/>
                              </w:pPr>
                              <w:r>
                                <w:rPr>
                                  <w:rFonts w:hint="eastAsia"/>
                                  <w:lang w:eastAsia="zh-CN"/>
                                </w:rPr>
                                <w:t xml:space="preserve">     </w:t>
                              </w:r>
                            </w:p>
                          </w:sdtContent>
                        </w:sdt>
                        <w:p w14:paraId="7C39B392"/>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sdt>
                    <w:sdtPr>
                      <w:id w:val="147472379"/>
                      <w:showingPlcHdr/>
                    </w:sdtPr>
                    <w:sdtContent>
                      <w:p w14:paraId="37381B42">
                        <w:pPr>
                          <w:pStyle w:val="19"/>
                          <w:jc w:val="center"/>
                        </w:pPr>
                        <w:r>
                          <w:rPr>
                            <w:rFonts w:hint="eastAsia"/>
                            <w:lang w:eastAsia="zh-CN"/>
                          </w:rPr>
                          <w:t xml:space="preserve">     </w:t>
                        </w:r>
                      </w:p>
                    </w:sdtContent>
                  </w:sdt>
                  <w:p w14:paraId="7C39B392"/>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A2D5C">
    <w:pPr>
      <w:pStyle w:val="19"/>
      <w:keepNext w:val="0"/>
      <w:keepLines w:val="0"/>
      <w:pageBreakBefore w:val="0"/>
      <w:widowControl w:val="0"/>
      <w:kinsoku/>
      <w:wordWrap/>
      <w:overflowPunct/>
      <w:topLinePunct w:val="0"/>
      <w:bidi w:val="0"/>
      <w:adjustRightInd/>
      <w:snapToGrid w:val="0"/>
      <w:textAlignment w:val="auto"/>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3757FD">
                          <w:pPr>
                            <w:pStyle w:val="19"/>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13757FD">
                    <w:pPr>
                      <w:pStyle w:val="19"/>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41052">
    <w:pPr>
      <w:pStyle w:val="1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78428888"/>
                          </w:sdtPr>
                          <w:sdtContent>
                            <w:p w14:paraId="1087FA9B">
                              <w:pPr>
                                <w:pStyle w:val="19"/>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448A7938"/>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sdt>
                    <w:sdtPr>
                      <w:id w:val="-178428888"/>
                    </w:sdtPr>
                    <w:sdtContent>
                      <w:p w14:paraId="1087FA9B">
                        <w:pPr>
                          <w:pStyle w:val="19"/>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448A7938"/>
                </w:txbxContent>
              </v:textbox>
            </v:shape>
          </w:pict>
        </mc:Fallback>
      </mc:AlternateContent>
    </w:r>
  </w:p>
  <w:p w14:paraId="4005E617">
    <w:pPr>
      <w:pStyle w:val="1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1383F">
    <w:pPr>
      <w:pStyle w:val="2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01E85C">
    <w:pPr>
      <w:pStyle w:val="20"/>
      <w:keepNext w:val="0"/>
      <w:keepLines w:val="0"/>
      <w:pageBreakBefore w:val="0"/>
      <w:widowControl w:val="0"/>
      <w:kinsoku/>
      <w:wordWrap/>
      <w:overflowPunct/>
      <w:topLinePunct w:val="0"/>
      <w:bidi w:val="0"/>
      <w:adjustRightInd/>
      <w:snapToGrid w:val="0"/>
      <w:jc w:val="right"/>
      <w:textAlignment w:val="auto"/>
    </w:pPr>
    <w:r>
      <w:rPr>
        <w:rFonts w:hint="eastAsia"/>
        <w:sz w:val="18"/>
        <w:szCs w:val="18"/>
        <w:lang w:val="en-US" w:eastAsia="zh-CN"/>
      </w:rPr>
      <w:t>兵团政府采购项目</w:t>
    </w:r>
    <w:r>
      <w:rPr>
        <w:rFonts w:hint="eastAsia"/>
        <w:sz w:val="18"/>
        <w:szCs w:val="18"/>
      </w:rPr>
      <w:t>公开招标文件</w:t>
    </w:r>
    <w:r>
      <w:rPr>
        <w:rFonts w:hint="eastAsia"/>
        <w:sz w:val="18"/>
        <w:szCs w:val="18"/>
        <w:lang w:val="en-US" w:eastAsia="zh-CN"/>
      </w:rPr>
      <w:t>示范文本（服务）</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2F3D0">
    <w:pPr>
      <w:pStyle w:val="20"/>
    </w:pPr>
    <w:r>
      <w:rPr>
        <w:rFonts w:hint="eastAsia"/>
        <w:sz w:val="24"/>
        <w:szCs w:val="24"/>
        <w:lang w:val="en-US" w:eastAsia="zh-CN"/>
      </w:rPr>
      <w:t xml:space="preserve">                                    </w:t>
    </w:r>
    <w:r>
      <w:rPr>
        <w:rFonts w:hint="eastAsia"/>
        <w:sz w:val="18"/>
        <w:szCs w:val="18"/>
        <w:lang w:val="en-US" w:eastAsia="zh-CN"/>
      </w:rPr>
      <w:t>兵团政府采购项目</w:t>
    </w:r>
    <w:r>
      <w:rPr>
        <w:rFonts w:hint="eastAsia"/>
        <w:sz w:val="18"/>
        <w:szCs w:val="18"/>
      </w:rPr>
      <w:t>公开招标文件</w:t>
    </w:r>
    <w:r>
      <w:rPr>
        <w:rFonts w:hint="eastAsia"/>
        <w:sz w:val="18"/>
        <w:szCs w:val="18"/>
        <w:lang w:val="en-US" w:eastAsia="zh-CN"/>
      </w:rPr>
      <w:t>示范文本（服务）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070575"/>
    <w:multiLevelType w:val="singleLevel"/>
    <w:tmpl w:val="9C070575"/>
    <w:lvl w:ilvl="0" w:tentative="0">
      <w:start w:val="1"/>
      <w:numFmt w:val="decimal"/>
      <w:pStyle w:val="7"/>
      <w:lvlText w:val="%1."/>
      <w:lvlJc w:val="left"/>
      <w:pPr>
        <w:tabs>
          <w:tab w:val="left" w:pos="780"/>
        </w:tabs>
        <w:ind w:left="780" w:hanging="360"/>
      </w:pPr>
    </w:lvl>
  </w:abstractNum>
  <w:abstractNum w:abstractNumId="1">
    <w:nsid w:val="1C761375"/>
    <w:multiLevelType w:val="multilevel"/>
    <w:tmpl w:val="1C761375"/>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47B6378"/>
    <w:multiLevelType w:val="multilevel"/>
    <w:tmpl w:val="447B6378"/>
    <w:lvl w:ilvl="0" w:tentative="0">
      <w:start w:val="1"/>
      <w:numFmt w:val="decimal"/>
      <w:pStyle w:val="38"/>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5504026"/>
    <w:multiLevelType w:val="multilevel"/>
    <w:tmpl w:val="75504026"/>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JkNTg1OTJkZTA1ZDVhNGYzMmVkNzJiZGI5ZmNhNzAifQ=="/>
  </w:docVars>
  <w:rsids>
    <w:rsidRoot w:val="00172A27"/>
    <w:rsid w:val="0000366A"/>
    <w:rsid w:val="00006F7F"/>
    <w:rsid w:val="00007003"/>
    <w:rsid w:val="000075B7"/>
    <w:rsid w:val="000237EA"/>
    <w:rsid w:val="00027CD2"/>
    <w:rsid w:val="00031E0C"/>
    <w:rsid w:val="00040832"/>
    <w:rsid w:val="00040D23"/>
    <w:rsid w:val="000439DA"/>
    <w:rsid w:val="00063604"/>
    <w:rsid w:val="0006370A"/>
    <w:rsid w:val="00066832"/>
    <w:rsid w:val="00067934"/>
    <w:rsid w:val="000720BF"/>
    <w:rsid w:val="0008641D"/>
    <w:rsid w:val="000B39A0"/>
    <w:rsid w:val="000C3E03"/>
    <w:rsid w:val="000C488D"/>
    <w:rsid w:val="000C52EC"/>
    <w:rsid w:val="000D0230"/>
    <w:rsid w:val="000D0AD3"/>
    <w:rsid w:val="000E45BD"/>
    <w:rsid w:val="000E4E33"/>
    <w:rsid w:val="000E67CF"/>
    <w:rsid w:val="000F20FD"/>
    <w:rsid w:val="000F39B0"/>
    <w:rsid w:val="001008D8"/>
    <w:rsid w:val="001022A4"/>
    <w:rsid w:val="00115EF7"/>
    <w:rsid w:val="0013642D"/>
    <w:rsid w:val="00146410"/>
    <w:rsid w:val="00150D67"/>
    <w:rsid w:val="00156600"/>
    <w:rsid w:val="00160E9C"/>
    <w:rsid w:val="00172190"/>
    <w:rsid w:val="00173480"/>
    <w:rsid w:val="00181988"/>
    <w:rsid w:val="00182557"/>
    <w:rsid w:val="0018304A"/>
    <w:rsid w:val="001904E9"/>
    <w:rsid w:val="001A77DE"/>
    <w:rsid w:val="001B36EC"/>
    <w:rsid w:val="001D7B23"/>
    <w:rsid w:val="001E2F56"/>
    <w:rsid w:val="002062E6"/>
    <w:rsid w:val="00207131"/>
    <w:rsid w:val="0022214D"/>
    <w:rsid w:val="00223585"/>
    <w:rsid w:val="002235CA"/>
    <w:rsid w:val="002317DB"/>
    <w:rsid w:val="00232245"/>
    <w:rsid w:val="0023265E"/>
    <w:rsid w:val="00235B5A"/>
    <w:rsid w:val="00251060"/>
    <w:rsid w:val="002514A3"/>
    <w:rsid w:val="00256B32"/>
    <w:rsid w:val="00256D01"/>
    <w:rsid w:val="002706F2"/>
    <w:rsid w:val="00271135"/>
    <w:rsid w:val="00285E30"/>
    <w:rsid w:val="002A1AEC"/>
    <w:rsid w:val="002A1BCB"/>
    <w:rsid w:val="002A5262"/>
    <w:rsid w:val="002A6484"/>
    <w:rsid w:val="002A79C6"/>
    <w:rsid w:val="002C06B9"/>
    <w:rsid w:val="002C0FDD"/>
    <w:rsid w:val="002C5E37"/>
    <w:rsid w:val="002D11F7"/>
    <w:rsid w:val="002D48C5"/>
    <w:rsid w:val="002E0B52"/>
    <w:rsid w:val="002E1CF4"/>
    <w:rsid w:val="002E5FED"/>
    <w:rsid w:val="002F0DA9"/>
    <w:rsid w:val="003113C1"/>
    <w:rsid w:val="00312C3A"/>
    <w:rsid w:val="0031353D"/>
    <w:rsid w:val="0032200D"/>
    <w:rsid w:val="00333B37"/>
    <w:rsid w:val="0034487B"/>
    <w:rsid w:val="00347CC6"/>
    <w:rsid w:val="00347D88"/>
    <w:rsid w:val="00350BCD"/>
    <w:rsid w:val="0035643C"/>
    <w:rsid w:val="00366226"/>
    <w:rsid w:val="003746B0"/>
    <w:rsid w:val="00374A6B"/>
    <w:rsid w:val="00383E1C"/>
    <w:rsid w:val="0039029A"/>
    <w:rsid w:val="00390D4A"/>
    <w:rsid w:val="0039222E"/>
    <w:rsid w:val="0039288A"/>
    <w:rsid w:val="00393395"/>
    <w:rsid w:val="0039372E"/>
    <w:rsid w:val="00394AF5"/>
    <w:rsid w:val="003A19A4"/>
    <w:rsid w:val="003A1A1B"/>
    <w:rsid w:val="003A4485"/>
    <w:rsid w:val="003A4878"/>
    <w:rsid w:val="003B4310"/>
    <w:rsid w:val="003B60A6"/>
    <w:rsid w:val="003C5883"/>
    <w:rsid w:val="003C7C49"/>
    <w:rsid w:val="003D3327"/>
    <w:rsid w:val="003D6656"/>
    <w:rsid w:val="003E057C"/>
    <w:rsid w:val="003E2B14"/>
    <w:rsid w:val="003E314B"/>
    <w:rsid w:val="003F5655"/>
    <w:rsid w:val="003F5BC6"/>
    <w:rsid w:val="004021C6"/>
    <w:rsid w:val="00406BEF"/>
    <w:rsid w:val="00410595"/>
    <w:rsid w:val="00420F7C"/>
    <w:rsid w:val="0043307A"/>
    <w:rsid w:val="00433514"/>
    <w:rsid w:val="00446BB3"/>
    <w:rsid w:val="0045353D"/>
    <w:rsid w:val="004771C7"/>
    <w:rsid w:val="00481C3A"/>
    <w:rsid w:val="004851CA"/>
    <w:rsid w:val="0048656E"/>
    <w:rsid w:val="00493221"/>
    <w:rsid w:val="004A302C"/>
    <w:rsid w:val="004B539D"/>
    <w:rsid w:val="004C1FA1"/>
    <w:rsid w:val="004C3DCC"/>
    <w:rsid w:val="004E0BF9"/>
    <w:rsid w:val="004E0CF9"/>
    <w:rsid w:val="004F3FDD"/>
    <w:rsid w:val="004F46AB"/>
    <w:rsid w:val="00501A4A"/>
    <w:rsid w:val="00501E05"/>
    <w:rsid w:val="005032B9"/>
    <w:rsid w:val="005100F2"/>
    <w:rsid w:val="00510300"/>
    <w:rsid w:val="00511D7B"/>
    <w:rsid w:val="00513AD5"/>
    <w:rsid w:val="00523D37"/>
    <w:rsid w:val="00524831"/>
    <w:rsid w:val="0052616B"/>
    <w:rsid w:val="00532F25"/>
    <w:rsid w:val="00541D90"/>
    <w:rsid w:val="00542258"/>
    <w:rsid w:val="0054547C"/>
    <w:rsid w:val="0054632A"/>
    <w:rsid w:val="00551EDC"/>
    <w:rsid w:val="005544D1"/>
    <w:rsid w:val="00554509"/>
    <w:rsid w:val="00561523"/>
    <w:rsid w:val="00561527"/>
    <w:rsid w:val="005714C6"/>
    <w:rsid w:val="00594E7A"/>
    <w:rsid w:val="005A146E"/>
    <w:rsid w:val="005A7208"/>
    <w:rsid w:val="005A7987"/>
    <w:rsid w:val="005B5936"/>
    <w:rsid w:val="005C0D20"/>
    <w:rsid w:val="005D050C"/>
    <w:rsid w:val="005F7A46"/>
    <w:rsid w:val="00611383"/>
    <w:rsid w:val="00620B1C"/>
    <w:rsid w:val="00626E33"/>
    <w:rsid w:val="006407ED"/>
    <w:rsid w:val="0064251F"/>
    <w:rsid w:val="00643F74"/>
    <w:rsid w:val="006503AE"/>
    <w:rsid w:val="00651EE4"/>
    <w:rsid w:val="00654524"/>
    <w:rsid w:val="00654BCF"/>
    <w:rsid w:val="0066052B"/>
    <w:rsid w:val="006630EF"/>
    <w:rsid w:val="0066446E"/>
    <w:rsid w:val="0066601A"/>
    <w:rsid w:val="006662AB"/>
    <w:rsid w:val="00674212"/>
    <w:rsid w:val="0067621A"/>
    <w:rsid w:val="006815D1"/>
    <w:rsid w:val="00687DD5"/>
    <w:rsid w:val="006923C3"/>
    <w:rsid w:val="006937E9"/>
    <w:rsid w:val="00693EF9"/>
    <w:rsid w:val="006947A5"/>
    <w:rsid w:val="006A1A11"/>
    <w:rsid w:val="006A2C75"/>
    <w:rsid w:val="006A4105"/>
    <w:rsid w:val="006B0C84"/>
    <w:rsid w:val="006B543B"/>
    <w:rsid w:val="006B7E54"/>
    <w:rsid w:val="006C0BD1"/>
    <w:rsid w:val="006C30C8"/>
    <w:rsid w:val="006C5139"/>
    <w:rsid w:val="006C69FC"/>
    <w:rsid w:val="006D069F"/>
    <w:rsid w:val="006D2C95"/>
    <w:rsid w:val="006D5F8F"/>
    <w:rsid w:val="006D6CEA"/>
    <w:rsid w:val="006E3B5C"/>
    <w:rsid w:val="006E3EB8"/>
    <w:rsid w:val="00707B1D"/>
    <w:rsid w:val="00710909"/>
    <w:rsid w:val="00716369"/>
    <w:rsid w:val="00723649"/>
    <w:rsid w:val="007265C3"/>
    <w:rsid w:val="00735F23"/>
    <w:rsid w:val="00740CEF"/>
    <w:rsid w:val="00742261"/>
    <w:rsid w:val="00752C5E"/>
    <w:rsid w:val="007531F9"/>
    <w:rsid w:val="00764378"/>
    <w:rsid w:val="0076591F"/>
    <w:rsid w:val="00766F0F"/>
    <w:rsid w:val="00773B9A"/>
    <w:rsid w:val="0077582F"/>
    <w:rsid w:val="007862C9"/>
    <w:rsid w:val="0079007B"/>
    <w:rsid w:val="007A0F22"/>
    <w:rsid w:val="007B5C1A"/>
    <w:rsid w:val="007C03A0"/>
    <w:rsid w:val="007C2BEF"/>
    <w:rsid w:val="007D3D77"/>
    <w:rsid w:val="007E157B"/>
    <w:rsid w:val="007E2EF7"/>
    <w:rsid w:val="007E4818"/>
    <w:rsid w:val="007E6A7E"/>
    <w:rsid w:val="007F33F3"/>
    <w:rsid w:val="007F6124"/>
    <w:rsid w:val="00801BDF"/>
    <w:rsid w:val="00802B86"/>
    <w:rsid w:val="0082514B"/>
    <w:rsid w:val="00830599"/>
    <w:rsid w:val="008334B0"/>
    <w:rsid w:val="0083496F"/>
    <w:rsid w:val="0083530F"/>
    <w:rsid w:val="00836468"/>
    <w:rsid w:val="00843492"/>
    <w:rsid w:val="00845F16"/>
    <w:rsid w:val="00852AF3"/>
    <w:rsid w:val="00856D2D"/>
    <w:rsid w:val="00856F2E"/>
    <w:rsid w:val="00867FFD"/>
    <w:rsid w:val="00871560"/>
    <w:rsid w:val="00872D54"/>
    <w:rsid w:val="00872F2D"/>
    <w:rsid w:val="0087585D"/>
    <w:rsid w:val="00880E22"/>
    <w:rsid w:val="00882B6F"/>
    <w:rsid w:val="008834AE"/>
    <w:rsid w:val="00885F4D"/>
    <w:rsid w:val="008962E2"/>
    <w:rsid w:val="008A74EF"/>
    <w:rsid w:val="008B0539"/>
    <w:rsid w:val="008B1C98"/>
    <w:rsid w:val="008B5ADF"/>
    <w:rsid w:val="008D0B3B"/>
    <w:rsid w:val="008D1450"/>
    <w:rsid w:val="008D2E66"/>
    <w:rsid w:val="008D56A5"/>
    <w:rsid w:val="008E1546"/>
    <w:rsid w:val="008E189F"/>
    <w:rsid w:val="008E24ED"/>
    <w:rsid w:val="008E40FE"/>
    <w:rsid w:val="008E57AC"/>
    <w:rsid w:val="008E6D3B"/>
    <w:rsid w:val="00906396"/>
    <w:rsid w:val="0090770A"/>
    <w:rsid w:val="00916E4D"/>
    <w:rsid w:val="00917A63"/>
    <w:rsid w:val="00923C36"/>
    <w:rsid w:val="00924B8E"/>
    <w:rsid w:val="00930024"/>
    <w:rsid w:val="009344DE"/>
    <w:rsid w:val="009357E5"/>
    <w:rsid w:val="00936087"/>
    <w:rsid w:val="00945D17"/>
    <w:rsid w:val="00965FBF"/>
    <w:rsid w:val="00973941"/>
    <w:rsid w:val="0097751F"/>
    <w:rsid w:val="00980255"/>
    <w:rsid w:val="009804FA"/>
    <w:rsid w:val="00985B78"/>
    <w:rsid w:val="0098649F"/>
    <w:rsid w:val="00993AFA"/>
    <w:rsid w:val="0099686E"/>
    <w:rsid w:val="00996DF2"/>
    <w:rsid w:val="009A41B0"/>
    <w:rsid w:val="009A4756"/>
    <w:rsid w:val="009A4C46"/>
    <w:rsid w:val="009A4DBF"/>
    <w:rsid w:val="009B3513"/>
    <w:rsid w:val="009B39EA"/>
    <w:rsid w:val="009D3FC3"/>
    <w:rsid w:val="009D433D"/>
    <w:rsid w:val="009D4484"/>
    <w:rsid w:val="009D5889"/>
    <w:rsid w:val="009D7755"/>
    <w:rsid w:val="009F1D20"/>
    <w:rsid w:val="00A00548"/>
    <w:rsid w:val="00A00713"/>
    <w:rsid w:val="00A00731"/>
    <w:rsid w:val="00A11A5C"/>
    <w:rsid w:val="00A22235"/>
    <w:rsid w:val="00A22F7B"/>
    <w:rsid w:val="00A23801"/>
    <w:rsid w:val="00A2554C"/>
    <w:rsid w:val="00A33652"/>
    <w:rsid w:val="00A3798C"/>
    <w:rsid w:val="00A42866"/>
    <w:rsid w:val="00A461C1"/>
    <w:rsid w:val="00A46B5C"/>
    <w:rsid w:val="00A50D6E"/>
    <w:rsid w:val="00A51DD8"/>
    <w:rsid w:val="00A647EA"/>
    <w:rsid w:val="00A736C6"/>
    <w:rsid w:val="00A82472"/>
    <w:rsid w:val="00A83F1F"/>
    <w:rsid w:val="00A8416F"/>
    <w:rsid w:val="00AA0223"/>
    <w:rsid w:val="00AB28B8"/>
    <w:rsid w:val="00AB3B77"/>
    <w:rsid w:val="00AC57B7"/>
    <w:rsid w:val="00AC73C5"/>
    <w:rsid w:val="00AC755C"/>
    <w:rsid w:val="00AD0E13"/>
    <w:rsid w:val="00AD5ABF"/>
    <w:rsid w:val="00AF45C5"/>
    <w:rsid w:val="00AF5667"/>
    <w:rsid w:val="00B05DD5"/>
    <w:rsid w:val="00B12477"/>
    <w:rsid w:val="00B13343"/>
    <w:rsid w:val="00B1354B"/>
    <w:rsid w:val="00B220B2"/>
    <w:rsid w:val="00B23942"/>
    <w:rsid w:val="00B32474"/>
    <w:rsid w:val="00B4327E"/>
    <w:rsid w:val="00B467A4"/>
    <w:rsid w:val="00B5286D"/>
    <w:rsid w:val="00B545BC"/>
    <w:rsid w:val="00B61032"/>
    <w:rsid w:val="00B61D2E"/>
    <w:rsid w:val="00B71854"/>
    <w:rsid w:val="00B71DA4"/>
    <w:rsid w:val="00B7235B"/>
    <w:rsid w:val="00B76348"/>
    <w:rsid w:val="00B81261"/>
    <w:rsid w:val="00B82556"/>
    <w:rsid w:val="00B87655"/>
    <w:rsid w:val="00B87801"/>
    <w:rsid w:val="00B92871"/>
    <w:rsid w:val="00B928DA"/>
    <w:rsid w:val="00BA5AC3"/>
    <w:rsid w:val="00BA630D"/>
    <w:rsid w:val="00BB06B4"/>
    <w:rsid w:val="00BB2551"/>
    <w:rsid w:val="00BB4892"/>
    <w:rsid w:val="00BB5E9B"/>
    <w:rsid w:val="00BC1A44"/>
    <w:rsid w:val="00BC5C37"/>
    <w:rsid w:val="00BC757B"/>
    <w:rsid w:val="00BC7ED2"/>
    <w:rsid w:val="00BD0190"/>
    <w:rsid w:val="00BE212E"/>
    <w:rsid w:val="00BE4AAB"/>
    <w:rsid w:val="00BE5086"/>
    <w:rsid w:val="00BF4971"/>
    <w:rsid w:val="00C07F40"/>
    <w:rsid w:val="00C12E85"/>
    <w:rsid w:val="00C16A79"/>
    <w:rsid w:val="00C20278"/>
    <w:rsid w:val="00C22791"/>
    <w:rsid w:val="00C236DC"/>
    <w:rsid w:val="00C31B7F"/>
    <w:rsid w:val="00C32F79"/>
    <w:rsid w:val="00C33FD2"/>
    <w:rsid w:val="00C35271"/>
    <w:rsid w:val="00C4036A"/>
    <w:rsid w:val="00C50E28"/>
    <w:rsid w:val="00C62934"/>
    <w:rsid w:val="00C64428"/>
    <w:rsid w:val="00C74D6F"/>
    <w:rsid w:val="00C842DE"/>
    <w:rsid w:val="00C902FB"/>
    <w:rsid w:val="00C965AE"/>
    <w:rsid w:val="00CA0AED"/>
    <w:rsid w:val="00CA66E6"/>
    <w:rsid w:val="00CC29DE"/>
    <w:rsid w:val="00CC3B64"/>
    <w:rsid w:val="00CD37C6"/>
    <w:rsid w:val="00CD3BA4"/>
    <w:rsid w:val="00CD41AA"/>
    <w:rsid w:val="00CD6943"/>
    <w:rsid w:val="00CE6C2F"/>
    <w:rsid w:val="00CE73CC"/>
    <w:rsid w:val="00CE7E9C"/>
    <w:rsid w:val="00CF2EF3"/>
    <w:rsid w:val="00CF3298"/>
    <w:rsid w:val="00D02F3B"/>
    <w:rsid w:val="00D0657B"/>
    <w:rsid w:val="00D129CB"/>
    <w:rsid w:val="00D16A04"/>
    <w:rsid w:val="00D27C17"/>
    <w:rsid w:val="00D41B89"/>
    <w:rsid w:val="00D47F27"/>
    <w:rsid w:val="00D5541F"/>
    <w:rsid w:val="00D57923"/>
    <w:rsid w:val="00D66387"/>
    <w:rsid w:val="00D741B6"/>
    <w:rsid w:val="00D74BD0"/>
    <w:rsid w:val="00D74FED"/>
    <w:rsid w:val="00D75A81"/>
    <w:rsid w:val="00D7761F"/>
    <w:rsid w:val="00D86806"/>
    <w:rsid w:val="00D86C35"/>
    <w:rsid w:val="00DB04FB"/>
    <w:rsid w:val="00DB6DFF"/>
    <w:rsid w:val="00DC003F"/>
    <w:rsid w:val="00DE72B3"/>
    <w:rsid w:val="00DF4668"/>
    <w:rsid w:val="00E00172"/>
    <w:rsid w:val="00E0533A"/>
    <w:rsid w:val="00E0701A"/>
    <w:rsid w:val="00E131D1"/>
    <w:rsid w:val="00E17AA0"/>
    <w:rsid w:val="00E2655B"/>
    <w:rsid w:val="00E311AB"/>
    <w:rsid w:val="00E358BF"/>
    <w:rsid w:val="00E36EC8"/>
    <w:rsid w:val="00E51146"/>
    <w:rsid w:val="00E512A9"/>
    <w:rsid w:val="00E54AF9"/>
    <w:rsid w:val="00E5624E"/>
    <w:rsid w:val="00E601D4"/>
    <w:rsid w:val="00E64C88"/>
    <w:rsid w:val="00E7179D"/>
    <w:rsid w:val="00E74832"/>
    <w:rsid w:val="00E81B04"/>
    <w:rsid w:val="00E820C5"/>
    <w:rsid w:val="00E87550"/>
    <w:rsid w:val="00E9413F"/>
    <w:rsid w:val="00E973D2"/>
    <w:rsid w:val="00EC7C64"/>
    <w:rsid w:val="00ED00D6"/>
    <w:rsid w:val="00EE26DC"/>
    <w:rsid w:val="00EE3FF1"/>
    <w:rsid w:val="00EE5816"/>
    <w:rsid w:val="00EF3D7E"/>
    <w:rsid w:val="00F03292"/>
    <w:rsid w:val="00F0565C"/>
    <w:rsid w:val="00F121AE"/>
    <w:rsid w:val="00F15852"/>
    <w:rsid w:val="00F23F4B"/>
    <w:rsid w:val="00F46C50"/>
    <w:rsid w:val="00F56CD7"/>
    <w:rsid w:val="00F60B61"/>
    <w:rsid w:val="00F66E89"/>
    <w:rsid w:val="00F67822"/>
    <w:rsid w:val="00F70621"/>
    <w:rsid w:val="00F74182"/>
    <w:rsid w:val="00F7607A"/>
    <w:rsid w:val="00F8517B"/>
    <w:rsid w:val="00F90250"/>
    <w:rsid w:val="00F91395"/>
    <w:rsid w:val="00F961D7"/>
    <w:rsid w:val="00F97A2B"/>
    <w:rsid w:val="00FA0CA3"/>
    <w:rsid w:val="00FA3BC5"/>
    <w:rsid w:val="00FA40FE"/>
    <w:rsid w:val="00FB08DC"/>
    <w:rsid w:val="00FB0D30"/>
    <w:rsid w:val="00FB1AE0"/>
    <w:rsid w:val="00FB34C2"/>
    <w:rsid w:val="00FB42F5"/>
    <w:rsid w:val="00FD76E1"/>
    <w:rsid w:val="00FE0970"/>
    <w:rsid w:val="00FF3F3A"/>
    <w:rsid w:val="00FF400F"/>
    <w:rsid w:val="01064C9A"/>
    <w:rsid w:val="013E61E2"/>
    <w:rsid w:val="014F4893"/>
    <w:rsid w:val="01541EA9"/>
    <w:rsid w:val="01580C56"/>
    <w:rsid w:val="01781929"/>
    <w:rsid w:val="01877B89"/>
    <w:rsid w:val="019E3125"/>
    <w:rsid w:val="01D0068D"/>
    <w:rsid w:val="01D775B9"/>
    <w:rsid w:val="02026E30"/>
    <w:rsid w:val="020B6A0C"/>
    <w:rsid w:val="02132174"/>
    <w:rsid w:val="02186A33"/>
    <w:rsid w:val="0224187C"/>
    <w:rsid w:val="023130F5"/>
    <w:rsid w:val="024737BC"/>
    <w:rsid w:val="024C2B81"/>
    <w:rsid w:val="028604AE"/>
    <w:rsid w:val="029D33DC"/>
    <w:rsid w:val="02AD3196"/>
    <w:rsid w:val="02AE1145"/>
    <w:rsid w:val="02C44E0D"/>
    <w:rsid w:val="02DA63DE"/>
    <w:rsid w:val="02ED7EC0"/>
    <w:rsid w:val="03200295"/>
    <w:rsid w:val="035E2B6B"/>
    <w:rsid w:val="0361440A"/>
    <w:rsid w:val="036D7252"/>
    <w:rsid w:val="03773C2D"/>
    <w:rsid w:val="03922815"/>
    <w:rsid w:val="03C350C4"/>
    <w:rsid w:val="03E2554B"/>
    <w:rsid w:val="03EA08A3"/>
    <w:rsid w:val="03F51722"/>
    <w:rsid w:val="03F62DA4"/>
    <w:rsid w:val="04066E90"/>
    <w:rsid w:val="045126D0"/>
    <w:rsid w:val="045D72C7"/>
    <w:rsid w:val="047A5783"/>
    <w:rsid w:val="04820ADC"/>
    <w:rsid w:val="0487418D"/>
    <w:rsid w:val="04893C18"/>
    <w:rsid w:val="04B14F1D"/>
    <w:rsid w:val="04C17856"/>
    <w:rsid w:val="04F01EE9"/>
    <w:rsid w:val="04F574FF"/>
    <w:rsid w:val="04F72882"/>
    <w:rsid w:val="04FF212C"/>
    <w:rsid w:val="05235E1B"/>
    <w:rsid w:val="052D0A47"/>
    <w:rsid w:val="052E656D"/>
    <w:rsid w:val="053E0EA6"/>
    <w:rsid w:val="053E47A5"/>
    <w:rsid w:val="053F247C"/>
    <w:rsid w:val="05595CE0"/>
    <w:rsid w:val="057C377D"/>
    <w:rsid w:val="05812B41"/>
    <w:rsid w:val="05AA653C"/>
    <w:rsid w:val="05C72C4A"/>
    <w:rsid w:val="05CB2336"/>
    <w:rsid w:val="05D15877"/>
    <w:rsid w:val="05D215EF"/>
    <w:rsid w:val="05D2339D"/>
    <w:rsid w:val="05D37841"/>
    <w:rsid w:val="05DB04A3"/>
    <w:rsid w:val="05E530D0"/>
    <w:rsid w:val="06127C3D"/>
    <w:rsid w:val="061A4B24"/>
    <w:rsid w:val="06231E4A"/>
    <w:rsid w:val="06253E14"/>
    <w:rsid w:val="0633208D"/>
    <w:rsid w:val="06587D46"/>
    <w:rsid w:val="067032E2"/>
    <w:rsid w:val="067E3A29"/>
    <w:rsid w:val="06856661"/>
    <w:rsid w:val="069114AA"/>
    <w:rsid w:val="06AE7966"/>
    <w:rsid w:val="06B07B82"/>
    <w:rsid w:val="06DD649D"/>
    <w:rsid w:val="06EC66E0"/>
    <w:rsid w:val="06F04422"/>
    <w:rsid w:val="07020C1A"/>
    <w:rsid w:val="0709089A"/>
    <w:rsid w:val="071C5217"/>
    <w:rsid w:val="071D4AEC"/>
    <w:rsid w:val="07210A39"/>
    <w:rsid w:val="072242D3"/>
    <w:rsid w:val="072440CC"/>
    <w:rsid w:val="072C25C9"/>
    <w:rsid w:val="0737795B"/>
    <w:rsid w:val="073F4A62"/>
    <w:rsid w:val="07442078"/>
    <w:rsid w:val="076C53FA"/>
    <w:rsid w:val="076D22AC"/>
    <w:rsid w:val="0784404A"/>
    <w:rsid w:val="078608E3"/>
    <w:rsid w:val="07941252"/>
    <w:rsid w:val="07A25DD3"/>
    <w:rsid w:val="07A64AE1"/>
    <w:rsid w:val="07B55348"/>
    <w:rsid w:val="07EA70C4"/>
    <w:rsid w:val="07F0083A"/>
    <w:rsid w:val="08687FE8"/>
    <w:rsid w:val="08935065"/>
    <w:rsid w:val="08997D8A"/>
    <w:rsid w:val="08A76D63"/>
    <w:rsid w:val="08AD2074"/>
    <w:rsid w:val="08BB45BC"/>
    <w:rsid w:val="08C6368D"/>
    <w:rsid w:val="08D306C7"/>
    <w:rsid w:val="08D538D0"/>
    <w:rsid w:val="08D77648"/>
    <w:rsid w:val="08E04023"/>
    <w:rsid w:val="08EE4992"/>
    <w:rsid w:val="09077801"/>
    <w:rsid w:val="091C32AD"/>
    <w:rsid w:val="09212671"/>
    <w:rsid w:val="0926010A"/>
    <w:rsid w:val="09664528"/>
    <w:rsid w:val="09970B85"/>
    <w:rsid w:val="09975029"/>
    <w:rsid w:val="09AC1C5B"/>
    <w:rsid w:val="09AD03A9"/>
    <w:rsid w:val="09CE174C"/>
    <w:rsid w:val="09E613EC"/>
    <w:rsid w:val="09EA6F07"/>
    <w:rsid w:val="09F23B8C"/>
    <w:rsid w:val="09FE29B2"/>
    <w:rsid w:val="0A1C108A"/>
    <w:rsid w:val="0A2148F3"/>
    <w:rsid w:val="0A391C3C"/>
    <w:rsid w:val="0A3D172D"/>
    <w:rsid w:val="0A3E680D"/>
    <w:rsid w:val="0A831432"/>
    <w:rsid w:val="0A9B6453"/>
    <w:rsid w:val="0AAB338B"/>
    <w:rsid w:val="0AAF1EFF"/>
    <w:rsid w:val="0ABF0394"/>
    <w:rsid w:val="0AD84599"/>
    <w:rsid w:val="0B05734A"/>
    <w:rsid w:val="0B0E131B"/>
    <w:rsid w:val="0B115FB9"/>
    <w:rsid w:val="0B1A381C"/>
    <w:rsid w:val="0B352404"/>
    <w:rsid w:val="0B386398"/>
    <w:rsid w:val="0B536D2E"/>
    <w:rsid w:val="0B5C2086"/>
    <w:rsid w:val="0B6727D9"/>
    <w:rsid w:val="0B674587"/>
    <w:rsid w:val="0B6B4077"/>
    <w:rsid w:val="0B6E5916"/>
    <w:rsid w:val="0B745622"/>
    <w:rsid w:val="0B76679F"/>
    <w:rsid w:val="0B7F5D75"/>
    <w:rsid w:val="0BB24C22"/>
    <w:rsid w:val="0BE45BD8"/>
    <w:rsid w:val="0BF202F5"/>
    <w:rsid w:val="0BFE313E"/>
    <w:rsid w:val="0C02649C"/>
    <w:rsid w:val="0C0A3890"/>
    <w:rsid w:val="0C1E6205"/>
    <w:rsid w:val="0C28640C"/>
    <w:rsid w:val="0C3C5A14"/>
    <w:rsid w:val="0C41302A"/>
    <w:rsid w:val="0C5A4DAC"/>
    <w:rsid w:val="0C874EE1"/>
    <w:rsid w:val="0C8A677F"/>
    <w:rsid w:val="0CAA0BCF"/>
    <w:rsid w:val="0CC04897"/>
    <w:rsid w:val="0CD520F0"/>
    <w:rsid w:val="0CD67C16"/>
    <w:rsid w:val="0CD81BE1"/>
    <w:rsid w:val="0D0C53E6"/>
    <w:rsid w:val="0D1C7D1F"/>
    <w:rsid w:val="0D2210AE"/>
    <w:rsid w:val="0D2766C4"/>
    <w:rsid w:val="0D6B6E82"/>
    <w:rsid w:val="0D9D0734"/>
    <w:rsid w:val="0DA90E87"/>
    <w:rsid w:val="0DAF0B93"/>
    <w:rsid w:val="0DB241E0"/>
    <w:rsid w:val="0DB74AC1"/>
    <w:rsid w:val="0DC14423"/>
    <w:rsid w:val="0DC83A03"/>
    <w:rsid w:val="0DCD1019"/>
    <w:rsid w:val="0DE10B00"/>
    <w:rsid w:val="0DEF71E2"/>
    <w:rsid w:val="0E0D58BA"/>
    <w:rsid w:val="0E0F1632"/>
    <w:rsid w:val="0E342E47"/>
    <w:rsid w:val="0E460DCC"/>
    <w:rsid w:val="0E464928"/>
    <w:rsid w:val="0E651252"/>
    <w:rsid w:val="0E653000"/>
    <w:rsid w:val="0E6D45AA"/>
    <w:rsid w:val="0E72396F"/>
    <w:rsid w:val="0E796AAB"/>
    <w:rsid w:val="0E7C0027"/>
    <w:rsid w:val="0E7F6315"/>
    <w:rsid w:val="0E92317E"/>
    <w:rsid w:val="0E9543D1"/>
    <w:rsid w:val="0EA33B28"/>
    <w:rsid w:val="0EB36461"/>
    <w:rsid w:val="0EB45D35"/>
    <w:rsid w:val="0EBD75FE"/>
    <w:rsid w:val="0EC817E1"/>
    <w:rsid w:val="0ECA5559"/>
    <w:rsid w:val="0ED53B2A"/>
    <w:rsid w:val="0EF600FC"/>
    <w:rsid w:val="0F096081"/>
    <w:rsid w:val="0F1B5913"/>
    <w:rsid w:val="0F2442A2"/>
    <w:rsid w:val="0F3D21CF"/>
    <w:rsid w:val="0F4C0664"/>
    <w:rsid w:val="0F5A5835"/>
    <w:rsid w:val="0F9D4A1B"/>
    <w:rsid w:val="0FA638D0"/>
    <w:rsid w:val="0FAB538A"/>
    <w:rsid w:val="0FD33C3D"/>
    <w:rsid w:val="0FE8213B"/>
    <w:rsid w:val="0FF52AA9"/>
    <w:rsid w:val="10047D52"/>
    <w:rsid w:val="10150A56"/>
    <w:rsid w:val="10240C99"/>
    <w:rsid w:val="102723E9"/>
    <w:rsid w:val="102B64CB"/>
    <w:rsid w:val="107439CE"/>
    <w:rsid w:val="1090632E"/>
    <w:rsid w:val="109220A6"/>
    <w:rsid w:val="109B71AD"/>
    <w:rsid w:val="10A92DD3"/>
    <w:rsid w:val="10AF4A06"/>
    <w:rsid w:val="10BD54A5"/>
    <w:rsid w:val="10C55FD8"/>
    <w:rsid w:val="10C85AC8"/>
    <w:rsid w:val="11036B00"/>
    <w:rsid w:val="11082369"/>
    <w:rsid w:val="11357D2A"/>
    <w:rsid w:val="113849FC"/>
    <w:rsid w:val="113A4C18"/>
    <w:rsid w:val="113D2012"/>
    <w:rsid w:val="11457119"/>
    <w:rsid w:val="1147614B"/>
    <w:rsid w:val="116E48C1"/>
    <w:rsid w:val="11785740"/>
    <w:rsid w:val="11845E93"/>
    <w:rsid w:val="11867E5D"/>
    <w:rsid w:val="11A2456B"/>
    <w:rsid w:val="11AE5258"/>
    <w:rsid w:val="11B12A00"/>
    <w:rsid w:val="11B30526"/>
    <w:rsid w:val="11DA1F57"/>
    <w:rsid w:val="11DF30C9"/>
    <w:rsid w:val="11FA6155"/>
    <w:rsid w:val="12130FC5"/>
    <w:rsid w:val="12371157"/>
    <w:rsid w:val="12483364"/>
    <w:rsid w:val="127001C5"/>
    <w:rsid w:val="12771554"/>
    <w:rsid w:val="127759F8"/>
    <w:rsid w:val="127A0C92"/>
    <w:rsid w:val="127F48AC"/>
    <w:rsid w:val="129E4D32"/>
    <w:rsid w:val="12AD766B"/>
    <w:rsid w:val="12B91B6C"/>
    <w:rsid w:val="12BA7692"/>
    <w:rsid w:val="12BC165D"/>
    <w:rsid w:val="12CC5D44"/>
    <w:rsid w:val="12DE7825"/>
    <w:rsid w:val="12E3308D"/>
    <w:rsid w:val="12EF558E"/>
    <w:rsid w:val="13021765"/>
    <w:rsid w:val="13037AFF"/>
    <w:rsid w:val="13453400"/>
    <w:rsid w:val="13456351"/>
    <w:rsid w:val="134C0C32"/>
    <w:rsid w:val="137B79E1"/>
    <w:rsid w:val="137D0DEC"/>
    <w:rsid w:val="13833F28"/>
    <w:rsid w:val="13A03104"/>
    <w:rsid w:val="13E470BD"/>
    <w:rsid w:val="13E62E35"/>
    <w:rsid w:val="14065285"/>
    <w:rsid w:val="14223741"/>
    <w:rsid w:val="143F42F3"/>
    <w:rsid w:val="144731A8"/>
    <w:rsid w:val="1457788F"/>
    <w:rsid w:val="14717C9A"/>
    <w:rsid w:val="147F2942"/>
    <w:rsid w:val="14AF7789"/>
    <w:rsid w:val="14BF5434"/>
    <w:rsid w:val="14BF71E2"/>
    <w:rsid w:val="14D50D33"/>
    <w:rsid w:val="14EF1875"/>
    <w:rsid w:val="14F50E56"/>
    <w:rsid w:val="151E65FF"/>
    <w:rsid w:val="152030DE"/>
    <w:rsid w:val="1537321C"/>
    <w:rsid w:val="154020D1"/>
    <w:rsid w:val="15681628"/>
    <w:rsid w:val="159D7523"/>
    <w:rsid w:val="15A840F3"/>
    <w:rsid w:val="15C9656A"/>
    <w:rsid w:val="15FB249C"/>
    <w:rsid w:val="15FF3D3A"/>
    <w:rsid w:val="1602382A"/>
    <w:rsid w:val="16565924"/>
    <w:rsid w:val="16640041"/>
    <w:rsid w:val="16646293"/>
    <w:rsid w:val="16685D83"/>
    <w:rsid w:val="167C182F"/>
    <w:rsid w:val="167D1103"/>
    <w:rsid w:val="167D2FDD"/>
    <w:rsid w:val="168B406D"/>
    <w:rsid w:val="169052DA"/>
    <w:rsid w:val="16AE5760"/>
    <w:rsid w:val="16AE750E"/>
    <w:rsid w:val="16B40FC8"/>
    <w:rsid w:val="16BE3BF5"/>
    <w:rsid w:val="16C46D32"/>
    <w:rsid w:val="16D84122"/>
    <w:rsid w:val="16E1737A"/>
    <w:rsid w:val="16E3540A"/>
    <w:rsid w:val="16E442B3"/>
    <w:rsid w:val="1711641B"/>
    <w:rsid w:val="1719707D"/>
    <w:rsid w:val="17215F32"/>
    <w:rsid w:val="172872C1"/>
    <w:rsid w:val="17457E73"/>
    <w:rsid w:val="174C1201"/>
    <w:rsid w:val="174F6F43"/>
    <w:rsid w:val="176821F4"/>
    <w:rsid w:val="17710C68"/>
    <w:rsid w:val="177C760C"/>
    <w:rsid w:val="177E1C86"/>
    <w:rsid w:val="179B7A92"/>
    <w:rsid w:val="17AD77C6"/>
    <w:rsid w:val="17CB7119"/>
    <w:rsid w:val="17D2722C"/>
    <w:rsid w:val="17FB49D5"/>
    <w:rsid w:val="18041ADC"/>
    <w:rsid w:val="18253800"/>
    <w:rsid w:val="182E6B59"/>
    <w:rsid w:val="187C5B16"/>
    <w:rsid w:val="189246B5"/>
    <w:rsid w:val="18A706B9"/>
    <w:rsid w:val="18C272A1"/>
    <w:rsid w:val="18CB43A7"/>
    <w:rsid w:val="18DA283C"/>
    <w:rsid w:val="18F733EE"/>
    <w:rsid w:val="18F90F15"/>
    <w:rsid w:val="19197809"/>
    <w:rsid w:val="192D6E10"/>
    <w:rsid w:val="1934019F"/>
    <w:rsid w:val="19373862"/>
    <w:rsid w:val="19520625"/>
    <w:rsid w:val="19526877"/>
    <w:rsid w:val="195E2798"/>
    <w:rsid w:val="19D2300F"/>
    <w:rsid w:val="1A0214BE"/>
    <w:rsid w:val="1A0E5C74"/>
    <w:rsid w:val="1A197394"/>
    <w:rsid w:val="1A352420"/>
    <w:rsid w:val="1A512FD2"/>
    <w:rsid w:val="1A5D54D3"/>
    <w:rsid w:val="1A5F124B"/>
    <w:rsid w:val="1A6124EF"/>
    <w:rsid w:val="1A710493"/>
    <w:rsid w:val="1AB33908"/>
    <w:rsid w:val="1ADA2FC8"/>
    <w:rsid w:val="1AE259D8"/>
    <w:rsid w:val="1AE35507"/>
    <w:rsid w:val="1AEB2ADF"/>
    <w:rsid w:val="1B3E3557"/>
    <w:rsid w:val="1B636B19"/>
    <w:rsid w:val="1B6805D3"/>
    <w:rsid w:val="1B7E1468"/>
    <w:rsid w:val="1B825739"/>
    <w:rsid w:val="1B83540D"/>
    <w:rsid w:val="1BA85854"/>
    <w:rsid w:val="1BC17CE4"/>
    <w:rsid w:val="1BCC0B62"/>
    <w:rsid w:val="1BDD4B1E"/>
    <w:rsid w:val="1BE718C7"/>
    <w:rsid w:val="1C146065"/>
    <w:rsid w:val="1C4032FE"/>
    <w:rsid w:val="1C406E5A"/>
    <w:rsid w:val="1C495921"/>
    <w:rsid w:val="1C744D56"/>
    <w:rsid w:val="1C7A6810"/>
    <w:rsid w:val="1C7B7E93"/>
    <w:rsid w:val="1C9C6787"/>
    <w:rsid w:val="1CA05B4B"/>
    <w:rsid w:val="1CA90EA4"/>
    <w:rsid w:val="1CAA6093"/>
    <w:rsid w:val="1CBF0268"/>
    <w:rsid w:val="1CD770EC"/>
    <w:rsid w:val="1CE43C8A"/>
    <w:rsid w:val="1D183933"/>
    <w:rsid w:val="1D1B3B0E"/>
    <w:rsid w:val="1D210A3A"/>
    <w:rsid w:val="1D214EDE"/>
    <w:rsid w:val="1D4A4435"/>
    <w:rsid w:val="1D524C10"/>
    <w:rsid w:val="1D61177E"/>
    <w:rsid w:val="1D7E7C3A"/>
    <w:rsid w:val="1D86436A"/>
    <w:rsid w:val="1D8D4321"/>
    <w:rsid w:val="1D9C27B6"/>
    <w:rsid w:val="1DAA4ED3"/>
    <w:rsid w:val="1DC53ABB"/>
    <w:rsid w:val="1DC835AB"/>
    <w:rsid w:val="1DE2466D"/>
    <w:rsid w:val="1E206F43"/>
    <w:rsid w:val="1E2F7187"/>
    <w:rsid w:val="1E340C41"/>
    <w:rsid w:val="1E401394"/>
    <w:rsid w:val="1E4E3AB1"/>
    <w:rsid w:val="1E51534F"/>
    <w:rsid w:val="1E5310C7"/>
    <w:rsid w:val="1E6908EA"/>
    <w:rsid w:val="1E766B63"/>
    <w:rsid w:val="1E9B2A6E"/>
    <w:rsid w:val="1EAC07D7"/>
    <w:rsid w:val="1EBA1146"/>
    <w:rsid w:val="1EC45B21"/>
    <w:rsid w:val="1EC73863"/>
    <w:rsid w:val="1ED63AA6"/>
    <w:rsid w:val="1EDF295B"/>
    <w:rsid w:val="1F046865"/>
    <w:rsid w:val="1F0A70F1"/>
    <w:rsid w:val="1F130856"/>
    <w:rsid w:val="1F1D16D5"/>
    <w:rsid w:val="1F4536E0"/>
    <w:rsid w:val="1F525822"/>
    <w:rsid w:val="1F58270D"/>
    <w:rsid w:val="1F5D7D23"/>
    <w:rsid w:val="1F5F1CED"/>
    <w:rsid w:val="1F7237CF"/>
    <w:rsid w:val="1F770DE5"/>
    <w:rsid w:val="1F8D0609"/>
    <w:rsid w:val="1FA96FA3"/>
    <w:rsid w:val="1FB82BC8"/>
    <w:rsid w:val="1FE31481"/>
    <w:rsid w:val="1FF468DA"/>
    <w:rsid w:val="200B6E05"/>
    <w:rsid w:val="200F101E"/>
    <w:rsid w:val="200F54C2"/>
    <w:rsid w:val="201B5C14"/>
    <w:rsid w:val="202D1DEC"/>
    <w:rsid w:val="2039253E"/>
    <w:rsid w:val="204607B7"/>
    <w:rsid w:val="204A02A8"/>
    <w:rsid w:val="204D7D98"/>
    <w:rsid w:val="20690166"/>
    <w:rsid w:val="207B2DC6"/>
    <w:rsid w:val="20803CC9"/>
    <w:rsid w:val="209239FD"/>
    <w:rsid w:val="20B47E17"/>
    <w:rsid w:val="20DA3F99"/>
    <w:rsid w:val="20E71F9A"/>
    <w:rsid w:val="20E97AC1"/>
    <w:rsid w:val="20EA2A65"/>
    <w:rsid w:val="20EF2BFD"/>
    <w:rsid w:val="210112AE"/>
    <w:rsid w:val="212F12B7"/>
    <w:rsid w:val="214E2A84"/>
    <w:rsid w:val="21817CF9"/>
    <w:rsid w:val="21884BA0"/>
    <w:rsid w:val="219519F6"/>
    <w:rsid w:val="2197576F"/>
    <w:rsid w:val="219E6AFD"/>
    <w:rsid w:val="21A659B2"/>
    <w:rsid w:val="21B55BF5"/>
    <w:rsid w:val="21DE15EF"/>
    <w:rsid w:val="22105521"/>
    <w:rsid w:val="2217240B"/>
    <w:rsid w:val="222039B6"/>
    <w:rsid w:val="2228094B"/>
    <w:rsid w:val="222B5EB7"/>
    <w:rsid w:val="224A27E1"/>
    <w:rsid w:val="227635D6"/>
    <w:rsid w:val="22794E74"/>
    <w:rsid w:val="22AF6B26"/>
    <w:rsid w:val="22BB723B"/>
    <w:rsid w:val="22C87E24"/>
    <w:rsid w:val="22C95DFC"/>
    <w:rsid w:val="22EE06E2"/>
    <w:rsid w:val="22F84FC6"/>
    <w:rsid w:val="22FD3CF7"/>
    <w:rsid w:val="23250B58"/>
    <w:rsid w:val="23411E36"/>
    <w:rsid w:val="234D0B5D"/>
    <w:rsid w:val="235C6C70"/>
    <w:rsid w:val="23614286"/>
    <w:rsid w:val="23CC5B62"/>
    <w:rsid w:val="23CD510E"/>
    <w:rsid w:val="24170DE9"/>
    <w:rsid w:val="243472A5"/>
    <w:rsid w:val="2440076D"/>
    <w:rsid w:val="24A563F4"/>
    <w:rsid w:val="24B228BF"/>
    <w:rsid w:val="24C15199"/>
    <w:rsid w:val="24CE288D"/>
    <w:rsid w:val="24EF7670"/>
    <w:rsid w:val="24F46A34"/>
    <w:rsid w:val="25034EC9"/>
    <w:rsid w:val="251946ED"/>
    <w:rsid w:val="25777D91"/>
    <w:rsid w:val="25781413"/>
    <w:rsid w:val="257858B7"/>
    <w:rsid w:val="258506D6"/>
    <w:rsid w:val="258B383C"/>
    <w:rsid w:val="259455FA"/>
    <w:rsid w:val="259719F3"/>
    <w:rsid w:val="25AB17E9"/>
    <w:rsid w:val="25AD5EB4"/>
    <w:rsid w:val="25BF5294"/>
    <w:rsid w:val="25C2759F"/>
    <w:rsid w:val="25C63DCF"/>
    <w:rsid w:val="25C74149"/>
    <w:rsid w:val="25DC7BF4"/>
    <w:rsid w:val="25DE267C"/>
    <w:rsid w:val="25E46AA9"/>
    <w:rsid w:val="25E66CC5"/>
    <w:rsid w:val="25FA62CC"/>
    <w:rsid w:val="26143832"/>
    <w:rsid w:val="262275D1"/>
    <w:rsid w:val="263712CE"/>
    <w:rsid w:val="264B4D7A"/>
    <w:rsid w:val="264D6D44"/>
    <w:rsid w:val="26644EA7"/>
    <w:rsid w:val="266A3452"/>
    <w:rsid w:val="26977FBF"/>
    <w:rsid w:val="26AF355A"/>
    <w:rsid w:val="26B50445"/>
    <w:rsid w:val="26CD1C32"/>
    <w:rsid w:val="26DA55FB"/>
    <w:rsid w:val="26DC11F6"/>
    <w:rsid w:val="26EC191F"/>
    <w:rsid w:val="26F251F5"/>
    <w:rsid w:val="270C62B7"/>
    <w:rsid w:val="271E5FEA"/>
    <w:rsid w:val="272F7095"/>
    <w:rsid w:val="276B56D3"/>
    <w:rsid w:val="276E687B"/>
    <w:rsid w:val="277125BE"/>
    <w:rsid w:val="27802801"/>
    <w:rsid w:val="278A123C"/>
    <w:rsid w:val="279F537D"/>
    <w:rsid w:val="27CB7F20"/>
    <w:rsid w:val="27D52B4D"/>
    <w:rsid w:val="27D843EB"/>
    <w:rsid w:val="27EE00B2"/>
    <w:rsid w:val="27FC457D"/>
    <w:rsid w:val="2802590C"/>
    <w:rsid w:val="280451E0"/>
    <w:rsid w:val="280E7BD2"/>
    <w:rsid w:val="28153891"/>
    <w:rsid w:val="28177609"/>
    <w:rsid w:val="281C077C"/>
    <w:rsid w:val="28245427"/>
    <w:rsid w:val="28247630"/>
    <w:rsid w:val="282615FA"/>
    <w:rsid w:val="283E4B96"/>
    <w:rsid w:val="28414686"/>
    <w:rsid w:val="2849353B"/>
    <w:rsid w:val="284D6B87"/>
    <w:rsid w:val="28550131"/>
    <w:rsid w:val="28612632"/>
    <w:rsid w:val="28757E8C"/>
    <w:rsid w:val="287E4F92"/>
    <w:rsid w:val="28887BBF"/>
    <w:rsid w:val="28AB1AFF"/>
    <w:rsid w:val="28CB21A2"/>
    <w:rsid w:val="28E62B38"/>
    <w:rsid w:val="28F96D0F"/>
    <w:rsid w:val="290B7A2E"/>
    <w:rsid w:val="292A6EC8"/>
    <w:rsid w:val="293B10D5"/>
    <w:rsid w:val="2944442E"/>
    <w:rsid w:val="294550C5"/>
    <w:rsid w:val="29493E9D"/>
    <w:rsid w:val="294D2BB7"/>
    <w:rsid w:val="294F2293"/>
    <w:rsid w:val="29606D8E"/>
    <w:rsid w:val="2964062C"/>
    <w:rsid w:val="29787C34"/>
    <w:rsid w:val="29927747"/>
    <w:rsid w:val="29A749BD"/>
    <w:rsid w:val="29C9048F"/>
    <w:rsid w:val="29CB06AB"/>
    <w:rsid w:val="2A0108B7"/>
    <w:rsid w:val="2A04596B"/>
    <w:rsid w:val="2A0E67EA"/>
    <w:rsid w:val="2A133E00"/>
    <w:rsid w:val="2A1536D4"/>
    <w:rsid w:val="2A1A0CEB"/>
    <w:rsid w:val="2A202079"/>
    <w:rsid w:val="2A30050E"/>
    <w:rsid w:val="2A3B6D1B"/>
    <w:rsid w:val="2A411154"/>
    <w:rsid w:val="2A506E02"/>
    <w:rsid w:val="2A526D38"/>
    <w:rsid w:val="2A88659C"/>
    <w:rsid w:val="2A954815"/>
    <w:rsid w:val="2AD0584D"/>
    <w:rsid w:val="2AEE4B12"/>
    <w:rsid w:val="2AFE685E"/>
    <w:rsid w:val="2B027774"/>
    <w:rsid w:val="2B0D0850"/>
    <w:rsid w:val="2B116592"/>
    <w:rsid w:val="2B122D8D"/>
    <w:rsid w:val="2B193698"/>
    <w:rsid w:val="2B1C4F36"/>
    <w:rsid w:val="2B2160A9"/>
    <w:rsid w:val="2B3202B6"/>
    <w:rsid w:val="2B361B54"/>
    <w:rsid w:val="2B367DA6"/>
    <w:rsid w:val="2B400C25"/>
    <w:rsid w:val="2B4714A0"/>
    <w:rsid w:val="2B606BD1"/>
    <w:rsid w:val="2B6C5576"/>
    <w:rsid w:val="2B717030"/>
    <w:rsid w:val="2B74267D"/>
    <w:rsid w:val="2B93739B"/>
    <w:rsid w:val="2B994370"/>
    <w:rsid w:val="2BA50A88"/>
    <w:rsid w:val="2BB60EE7"/>
    <w:rsid w:val="2BC034DB"/>
    <w:rsid w:val="2BD819BD"/>
    <w:rsid w:val="2BEF4305"/>
    <w:rsid w:val="2C077995"/>
    <w:rsid w:val="2C235EB7"/>
    <w:rsid w:val="2C2B5431"/>
    <w:rsid w:val="2C3C763E"/>
    <w:rsid w:val="2C610E53"/>
    <w:rsid w:val="2C646B95"/>
    <w:rsid w:val="2C6646BB"/>
    <w:rsid w:val="2C83526D"/>
    <w:rsid w:val="2C9A0B92"/>
    <w:rsid w:val="2C9F3729"/>
    <w:rsid w:val="2CB73169"/>
    <w:rsid w:val="2CE47D2A"/>
    <w:rsid w:val="2CED0939"/>
    <w:rsid w:val="2CED6B8B"/>
    <w:rsid w:val="2CF27CFD"/>
    <w:rsid w:val="2CFA3055"/>
    <w:rsid w:val="2D012636"/>
    <w:rsid w:val="2D016C6B"/>
    <w:rsid w:val="2D0B5263"/>
    <w:rsid w:val="2D0D2D89"/>
    <w:rsid w:val="2D2B1461"/>
    <w:rsid w:val="2D2D1B91"/>
    <w:rsid w:val="2D404F0C"/>
    <w:rsid w:val="2D5B3AF4"/>
    <w:rsid w:val="2D8D7A26"/>
    <w:rsid w:val="2DA2135E"/>
    <w:rsid w:val="2DB9081B"/>
    <w:rsid w:val="2DCB70CE"/>
    <w:rsid w:val="2DCE2518"/>
    <w:rsid w:val="2DD218DC"/>
    <w:rsid w:val="2DDB69E3"/>
    <w:rsid w:val="2DEF7457"/>
    <w:rsid w:val="2E045F3A"/>
    <w:rsid w:val="2E093AD9"/>
    <w:rsid w:val="2E1B451A"/>
    <w:rsid w:val="2E2A34C6"/>
    <w:rsid w:val="2E426A62"/>
    <w:rsid w:val="2E6C48D9"/>
    <w:rsid w:val="2E786928"/>
    <w:rsid w:val="2E8F4F19"/>
    <w:rsid w:val="2EA63495"/>
    <w:rsid w:val="2EB57234"/>
    <w:rsid w:val="2ED7364E"/>
    <w:rsid w:val="2EF35FAE"/>
    <w:rsid w:val="2EFA6A37"/>
    <w:rsid w:val="2F167CA6"/>
    <w:rsid w:val="2F1A353B"/>
    <w:rsid w:val="2F452CAE"/>
    <w:rsid w:val="2F542EF1"/>
    <w:rsid w:val="2F5D70AC"/>
    <w:rsid w:val="2F8B61E7"/>
    <w:rsid w:val="2FA36C75"/>
    <w:rsid w:val="2FA84FEB"/>
    <w:rsid w:val="2FBE036A"/>
    <w:rsid w:val="302428C3"/>
    <w:rsid w:val="30297EDA"/>
    <w:rsid w:val="302C5C1C"/>
    <w:rsid w:val="303074BA"/>
    <w:rsid w:val="30405223"/>
    <w:rsid w:val="306929CC"/>
    <w:rsid w:val="306B405E"/>
    <w:rsid w:val="306C7DC6"/>
    <w:rsid w:val="307F1BC0"/>
    <w:rsid w:val="30832D34"/>
    <w:rsid w:val="30872E52"/>
    <w:rsid w:val="308C4B30"/>
    <w:rsid w:val="30A75681"/>
    <w:rsid w:val="30C714A1"/>
    <w:rsid w:val="30F41419"/>
    <w:rsid w:val="30FC114A"/>
    <w:rsid w:val="310D77FB"/>
    <w:rsid w:val="310E0E7D"/>
    <w:rsid w:val="314A68DF"/>
    <w:rsid w:val="31523460"/>
    <w:rsid w:val="315620B8"/>
    <w:rsid w:val="316311C9"/>
    <w:rsid w:val="317F1D7B"/>
    <w:rsid w:val="31841AC8"/>
    <w:rsid w:val="31A737AC"/>
    <w:rsid w:val="31A87524"/>
    <w:rsid w:val="31B00187"/>
    <w:rsid w:val="31CB6D6E"/>
    <w:rsid w:val="31D200FD"/>
    <w:rsid w:val="31E64732"/>
    <w:rsid w:val="31EA5447"/>
    <w:rsid w:val="32140715"/>
    <w:rsid w:val="32230959"/>
    <w:rsid w:val="324059AE"/>
    <w:rsid w:val="326351F9"/>
    <w:rsid w:val="327D078A"/>
    <w:rsid w:val="3284589B"/>
    <w:rsid w:val="32933D30"/>
    <w:rsid w:val="32B31CDC"/>
    <w:rsid w:val="32C75788"/>
    <w:rsid w:val="32CC7242"/>
    <w:rsid w:val="32E165BD"/>
    <w:rsid w:val="32FA3DAF"/>
    <w:rsid w:val="334F40FB"/>
    <w:rsid w:val="33641229"/>
    <w:rsid w:val="337B243F"/>
    <w:rsid w:val="338673F1"/>
    <w:rsid w:val="339D48A3"/>
    <w:rsid w:val="33BF2903"/>
    <w:rsid w:val="33CF6FEA"/>
    <w:rsid w:val="33EA3E24"/>
    <w:rsid w:val="33F64577"/>
    <w:rsid w:val="33FB1B8D"/>
    <w:rsid w:val="34056568"/>
    <w:rsid w:val="34525525"/>
    <w:rsid w:val="346040E6"/>
    <w:rsid w:val="34945B3E"/>
    <w:rsid w:val="34A0589E"/>
    <w:rsid w:val="34A67F96"/>
    <w:rsid w:val="34B0508B"/>
    <w:rsid w:val="34B1049E"/>
    <w:rsid w:val="34DF440A"/>
    <w:rsid w:val="34E502E4"/>
    <w:rsid w:val="34F605A6"/>
    <w:rsid w:val="350031D3"/>
    <w:rsid w:val="350A581B"/>
    <w:rsid w:val="352275ED"/>
    <w:rsid w:val="352E7D40"/>
    <w:rsid w:val="35426A60"/>
    <w:rsid w:val="35571045"/>
    <w:rsid w:val="35586B6B"/>
    <w:rsid w:val="355A1520"/>
    <w:rsid w:val="355E7319"/>
    <w:rsid w:val="35690D78"/>
    <w:rsid w:val="35CE6E2D"/>
    <w:rsid w:val="35DB7EC8"/>
    <w:rsid w:val="35EE2046"/>
    <w:rsid w:val="35F41640"/>
    <w:rsid w:val="362A0508"/>
    <w:rsid w:val="36394BEF"/>
    <w:rsid w:val="364652E8"/>
    <w:rsid w:val="36603F29"/>
    <w:rsid w:val="36653C36"/>
    <w:rsid w:val="366A4DA8"/>
    <w:rsid w:val="36897924"/>
    <w:rsid w:val="369116D0"/>
    <w:rsid w:val="36941E25"/>
    <w:rsid w:val="3699568D"/>
    <w:rsid w:val="369F7E9A"/>
    <w:rsid w:val="36B67FED"/>
    <w:rsid w:val="36C46BAE"/>
    <w:rsid w:val="36CC15BF"/>
    <w:rsid w:val="36D3294D"/>
    <w:rsid w:val="370E607B"/>
    <w:rsid w:val="37112969"/>
    <w:rsid w:val="37180CA8"/>
    <w:rsid w:val="372907BF"/>
    <w:rsid w:val="37294C63"/>
    <w:rsid w:val="373830F8"/>
    <w:rsid w:val="374D6BA3"/>
    <w:rsid w:val="375647D6"/>
    <w:rsid w:val="377A726D"/>
    <w:rsid w:val="377E4FAF"/>
    <w:rsid w:val="37893954"/>
    <w:rsid w:val="37971BCD"/>
    <w:rsid w:val="37A75B88"/>
    <w:rsid w:val="37D921E5"/>
    <w:rsid w:val="37F92887"/>
    <w:rsid w:val="37FC2378"/>
    <w:rsid w:val="380C2A2C"/>
    <w:rsid w:val="384B3FA8"/>
    <w:rsid w:val="3854528C"/>
    <w:rsid w:val="38565141"/>
    <w:rsid w:val="38602906"/>
    <w:rsid w:val="389F176C"/>
    <w:rsid w:val="38A00F55"/>
    <w:rsid w:val="38B95B73"/>
    <w:rsid w:val="38C509BB"/>
    <w:rsid w:val="38CF183A"/>
    <w:rsid w:val="38E30E42"/>
    <w:rsid w:val="38EF5A38"/>
    <w:rsid w:val="38F33028"/>
    <w:rsid w:val="39036257"/>
    <w:rsid w:val="390F1199"/>
    <w:rsid w:val="39367F12"/>
    <w:rsid w:val="394538AA"/>
    <w:rsid w:val="39495149"/>
    <w:rsid w:val="394D5E49"/>
    <w:rsid w:val="39553AED"/>
    <w:rsid w:val="3986014B"/>
    <w:rsid w:val="39993E51"/>
    <w:rsid w:val="39AD02F7"/>
    <w:rsid w:val="39B5458C"/>
    <w:rsid w:val="39B60304"/>
    <w:rsid w:val="39DA2245"/>
    <w:rsid w:val="39DA3FF3"/>
    <w:rsid w:val="39DF3CFF"/>
    <w:rsid w:val="39E81075"/>
    <w:rsid w:val="39F71049"/>
    <w:rsid w:val="3A013C75"/>
    <w:rsid w:val="3A12378C"/>
    <w:rsid w:val="3A2B6F44"/>
    <w:rsid w:val="3A322081"/>
    <w:rsid w:val="3A331955"/>
    <w:rsid w:val="3A361B71"/>
    <w:rsid w:val="3A456E52"/>
    <w:rsid w:val="3A463AB7"/>
    <w:rsid w:val="3A4B6C9E"/>
    <w:rsid w:val="3A631110"/>
    <w:rsid w:val="3A7C32FC"/>
    <w:rsid w:val="3A854074"/>
    <w:rsid w:val="3AC70A1B"/>
    <w:rsid w:val="3AD66EB0"/>
    <w:rsid w:val="3AEA64B7"/>
    <w:rsid w:val="3AF92B9E"/>
    <w:rsid w:val="3AFA0DF0"/>
    <w:rsid w:val="3B236ECD"/>
    <w:rsid w:val="3B337E5E"/>
    <w:rsid w:val="3B343BD6"/>
    <w:rsid w:val="3B3C653D"/>
    <w:rsid w:val="3B497682"/>
    <w:rsid w:val="3B49769C"/>
    <w:rsid w:val="3B53405D"/>
    <w:rsid w:val="3B691AD2"/>
    <w:rsid w:val="3B6E533A"/>
    <w:rsid w:val="3B7F30A4"/>
    <w:rsid w:val="3B8561E0"/>
    <w:rsid w:val="3B8B1A48"/>
    <w:rsid w:val="3B9A415A"/>
    <w:rsid w:val="3BA2244B"/>
    <w:rsid w:val="3BB07701"/>
    <w:rsid w:val="3BB2349B"/>
    <w:rsid w:val="3BB865B6"/>
    <w:rsid w:val="3BBF7944"/>
    <w:rsid w:val="3BC82C9D"/>
    <w:rsid w:val="3BEE1F9C"/>
    <w:rsid w:val="3C0D4B53"/>
    <w:rsid w:val="3C2105FF"/>
    <w:rsid w:val="3C372D23"/>
    <w:rsid w:val="3C447E49"/>
    <w:rsid w:val="3C4B380F"/>
    <w:rsid w:val="3C4F6F1A"/>
    <w:rsid w:val="3C511E12"/>
    <w:rsid w:val="3C5F2ED5"/>
    <w:rsid w:val="3C97441D"/>
    <w:rsid w:val="3CA408E8"/>
    <w:rsid w:val="3CA64660"/>
    <w:rsid w:val="3CBD0327"/>
    <w:rsid w:val="3CC14C1F"/>
    <w:rsid w:val="3CD0758C"/>
    <w:rsid w:val="3CDE6FFD"/>
    <w:rsid w:val="3CE55188"/>
    <w:rsid w:val="3CF56BC9"/>
    <w:rsid w:val="3D0A4BEF"/>
    <w:rsid w:val="3D1F37E4"/>
    <w:rsid w:val="3D211F38"/>
    <w:rsid w:val="3D235CB1"/>
    <w:rsid w:val="3D31113A"/>
    <w:rsid w:val="3D37175C"/>
    <w:rsid w:val="3D695DB9"/>
    <w:rsid w:val="3D762284"/>
    <w:rsid w:val="3D7D3613"/>
    <w:rsid w:val="3D864BBD"/>
    <w:rsid w:val="3DDD67A7"/>
    <w:rsid w:val="3DE23DBE"/>
    <w:rsid w:val="3E09294E"/>
    <w:rsid w:val="3E1A70B4"/>
    <w:rsid w:val="3E330175"/>
    <w:rsid w:val="3E655E3A"/>
    <w:rsid w:val="3E667746"/>
    <w:rsid w:val="3E885B96"/>
    <w:rsid w:val="3E8E35FE"/>
    <w:rsid w:val="3EB43064"/>
    <w:rsid w:val="3EB92D70"/>
    <w:rsid w:val="3EBA7B5C"/>
    <w:rsid w:val="3ECD4126"/>
    <w:rsid w:val="3EF1250A"/>
    <w:rsid w:val="3F0C66A8"/>
    <w:rsid w:val="3F163D1F"/>
    <w:rsid w:val="3F281CA4"/>
    <w:rsid w:val="3F2B709E"/>
    <w:rsid w:val="3F4500E9"/>
    <w:rsid w:val="3F450160"/>
    <w:rsid w:val="3F4C14EF"/>
    <w:rsid w:val="3F692622"/>
    <w:rsid w:val="3F7153F9"/>
    <w:rsid w:val="3F720A50"/>
    <w:rsid w:val="3F917849"/>
    <w:rsid w:val="3F9B0612"/>
    <w:rsid w:val="3F9D1D4A"/>
    <w:rsid w:val="3FA241A2"/>
    <w:rsid w:val="3FAA4467"/>
    <w:rsid w:val="3FAC01DF"/>
    <w:rsid w:val="3FB4343D"/>
    <w:rsid w:val="3FD85478"/>
    <w:rsid w:val="40155D85"/>
    <w:rsid w:val="403A57EB"/>
    <w:rsid w:val="404B3E9C"/>
    <w:rsid w:val="4061546E"/>
    <w:rsid w:val="4079067E"/>
    <w:rsid w:val="4093139F"/>
    <w:rsid w:val="409343AF"/>
    <w:rsid w:val="409A0980"/>
    <w:rsid w:val="40AC655D"/>
    <w:rsid w:val="40BE01CA"/>
    <w:rsid w:val="40D75730"/>
    <w:rsid w:val="40E63BC5"/>
    <w:rsid w:val="40FA4F7A"/>
    <w:rsid w:val="41362456"/>
    <w:rsid w:val="413C37E5"/>
    <w:rsid w:val="41487F61"/>
    <w:rsid w:val="414A5F02"/>
    <w:rsid w:val="415648A7"/>
    <w:rsid w:val="415A71E1"/>
    <w:rsid w:val="41630D72"/>
    <w:rsid w:val="416D399E"/>
    <w:rsid w:val="419B675D"/>
    <w:rsid w:val="419F484B"/>
    <w:rsid w:val="41AA69A0"/>
    <w:rsid w:val="41B15F81"/>
    <w:rsid w:val="41C31810"/>
    <w:rsid w:val="41E225DE"/>
    <w:rsid w:val="41F8595E"/>
    <w:rsid w:val="420C600C"/>
    <w:rsid w:val="42100EF9"/>
    <w:rsid w:val="4214206C"/>
    <w:rsid w:val="421B164C"/>
    <w:rsid w:val="422246E7"/>
    <w:rsid w:val="422B5D33"/>
    <w:rsid w:val="42312D26"/>
    <w:rsid w:val="42454372"/>
    <w:rsid w:val="42573796"/>
    <w:rsid w:val="426E5C20"/>
    <w:rsid w:val="42786A9F"/>
    <w:rsid w:val="428561C6"/>
    <w:rsid w:val="428B67D2"/>
    <w:rsid w:val="428E0070"/>
    <w:rsid w:val="42943344"/>
    <w:rsid w:val="42975177"/>
    <w:rsid w:val="42C615B8"/>
    <w:rsid w:val="42D77C69"/>
    <w:rsid w:val="42FC322C"/>
    <w:rsid w:val="43046BE3"/>
    <w:rsid w:val="43171E14"/>
    <w:rsid w:val="4329542D"/>
    <w:rsid w:val="43484F88"/>
    <w:rsid w:val="435C1F1C"/>
    <w:rsid w:val="437216C9"/>
    <w:rsid w:val="4385588B"/>
    <w:rsid w:val="4387343D"/>
    <w:rsid w:val="43882D11"/>
    <w:rsid w:val="43884ABF"/>
    <w:rsid w:val="43911BC6"/>
    <w:rsid w:val="43972F54"/>
    <w:rsid w:val="439E42E3"/>
    <w:rsid w:val="43A124B3"/>
    <w:rsid w:val="43A538C3"/>
    <w:rsid w:val="43BB4E95"/>
    <w:rsid w:val="43C55D14"/>
    <w:rsid w:val="43D85A47"/>
    <w:rsid w:val="43DE0B83"/>
    <w:rsid w:val="43E97C54"/>
    <w:rsid w:val="43F839F3"/>
    <w:rsid w:val="44022AC4"/>
    <w:rsid w:val="44044A8E"/>
    <w:rsid w:val="44236B1E"/>
    <w:rsid w:val="44244662"/>
    <w:rsid w:val="444158E6"/>
    <w:rsid w:val="44564BBE"/>
    <w:rsid w:val="44641089"/>
    <w:rsid w:val="446948F1"/>
    <w:rsid w:val="44C11AA6"/>
    <w:rsid w:val="44D04970"/>
    <w:rsid w:val="44D426B2"/>
    <w:rsid w:val="44E346A3"/>
    <w:rsid w:val="44E67CEF"/>
    <w:rsid w:val="44EE4DF6"/>
    <w:rsid w:val="44F3240C"/>
    <w:rsid w:val="45110AAC"/>
    <w:rsid w:val="45123CB8"/>
    <w:rsid w:val="451A208F"/>
    <w:rsid w:val="45350C77"/>
    <w:rsid w:val="45415D40"/>
    <w:rsid w:val="45435142"/>
    <w:rsid w:val="45451DF1"/>
    <w:rsid w:val="45490111"/>
    <w:rsid w:val="455530C7"/>
    <w:rsid w:val="45570447"/>
    <w:rsid w:val="4565330A"/>
    <w:rsid w:val="45682DFA"/>
    <w:rsid w:val="45723C79"/>
    <w:rsid w:val="457378F7"/>
    <w:rsid w:val="45DB537A"/>
    <w:rsid w:val="45DE130F"/>
    <w:rsid w:val="45E00BE3"/>
    <w:rsid w:val="45EF3280"/>
    <w:rsid w:val="45F43872"/>
    <w:rsid w:val="460D5750"/>
    <w:rsid w:val="46113492"/>
    <w:rsid w:val="461B3AA5"/>
    <w:rsid w:val="462C5BD6"/>
    <w:rsid w:val="462E5DF2"/>
    <w:rsid w:val="46362EF9"/>
    <w:rsid w:val="464C0026"/>
    <w:rsid w:val="46590D6C"/>
    <w:rsid w:val="465E4A23"/>
    <w:rsid w:val="4672304E"/>
    <w:rsid w:val="46843C64"/>
    <w:rsid w:val="469F45FA"/>
    <w:rsid w:val="46A460B4"/>
    <w:rsid w:val="46AF05B5"/>
    <w:rsid w:val="46D30747"/>
    <w:rsid w:val="46E14C12"/>
    <w:rsid w:val="470D3C59"/>
    <w:rsid w:val="472B1462"/>
    <w:rsid w:val="473B0E1B"/>
    <w:rsid w:val="473F27FF"/>
    <w:rsid w:val="476017C6"/>
    <w:rsid w:val="476B0980"/>
    <w:rsid w:val="47745A86"/>
    <w:rsid w:val="477A0BC3"/>
    <w:rsid w:val="47811F51"/>
    <w:rsid w:val="47833F1C"/>
    <w:rsid w:val="478E2D76"/>
    <w:rsid w:val="47A65E5C"/>
    <w:rsid w:val="47AB6FCE"/>
    <w:rsid w:val="47B71E17"/>
    <w:rsid w:val="47E67FE2"/>
    <w:rsid w:val="47F0014A"/>
    <w:rsid w:val="481903DC"/>
    <w:rsid w:val="486C0E54"/>
    <w:rsid w:val="48740AF8"/>
    <w:rsid w:val="487B247F"/>
    <w:rsid w:val="48907EB9"/>
    <w:rsid w:val="48B56357"/>
    <w:rsid w:val="48B955C2"/>
    <w:rsid w:val="48B9571B"/>
    <w:rsid w:val="48BA396D"/>
    <w:rsid w:val="48F30C2D"/>
    <w:rsid w:val="48F86243"/>
    <w:rsid w:val="490177EE"/>
    <w:rsid w:val="49025314"/>
    <w:rsid w:val="490270C2"/>
    <w:rsid w:val="490D6193"/>
    <w:rsid w:val="490E1F0B"/>
    <w:rsid w:val="492B090F"/>
    <w:rsid w:val="4932003B"/>
    <w:rsid w:val="49382AE4"/>
    <w:rsid w:val="49417BEA"/>
    <w:rsid w:val="4968786D"/>
    <w:rsid w:val="496F0BFB"/>
    <w:rsid w:val="49734B65"/>
    <w:rsid w:val="49843F7B"/>
    <w:rsid w:val="498E0956"/>
    <w:rsid w:val="49911DC2"/>
    <w:rsid w:val="499A718B"/>
    <w:rsid w:val="49B52386"/>
    <w:rsid w:val="49DF11B1"/>
    <w:rsid w:val="49EC3FFA"/>
    <w:rsid w:val="49F72751"/>
    <w:rsid w:val="4A1B668D"/>
    <w:rsid w:val="4A1E3C56"/>
    <w:rsid w:val="4A1E617D"/>
    <w:rsid w:val="4A280647"/>
    <w:rsid w:val="4A3B69AF"/>
    <w:rsid w:val="4A421E6C"/>
    <w:rsid w:val="4A730023"/>
    <w:rsid w:val="4A8833F8"/>
    <w:rsid w:val="4A8A619F"/>
    <w:rsid w:val="4AA2290B"/>
    <w:rsid w:val="4AD46AF0"/>
    <w:rsid w:val="4ADF76BB"/>
    <w:rsid w:val="4AE1272C"/>
    <w:rsid w:val="4AF64A04"/>
    <w:rsid w:val="4B125FF6"/>
    <w:rsid w:val="4B2B2900"/>
    <w:rsid w:val="4B3F45FD"/>
    <w:rsid w:val="4B4614E8"/>
    <w:rsid w:val="4B6C4CC7"/>
    <w:rsid w:val="4B7D0C82"/>
    <w:rsid w:val="4B8057E5"/>
    <w:rsid w:val="4B893ACB"/>
    <w:rsid w:val="4B8B339F"/>
    <w:rsid w:val="4B92472D"/>
    <w:rsid w:val="4BA97CC9"/>
    <w:rsid w:val="4BD016F9"/>
    <w:rsid w:val="4BF47196"/>
    <w:rsid w:val="4C0575F5"/>
    <w:rsid w:val="4C0D46FC"/>
    <w:rsid w:val="4C231829"/>
    <w:rsid w:val="4C2B503E"/>
    <w:rsid w:val="4C312198"/>
    <w:rsid w:val="4C3253A4"/>
    <w:rsid w:val="4C481290"/>
    <w:rsid w:val="4C5C4D3B"/>
    <w:rsid w:val="4C63273B"/>
    <w:rsid w:val="4C787DC7"/>
    <w:rsid w:val="4C8449BE"/>
    <w:rsid w:val="4C987D10"/>
    <w:rsid w:val="4CA94424"/>
    <w:rsid w:val="4CAA3CF8"/>
    <w:rsid w:val="4CBE77A4"/>
    <w:rsid w:val="4CC56D84"/>
    <w:rsid w:val="4CD62D3F"/>
    <w:rsid w:val="4CE0771A"/>
    <w:rsid w:val="4CF051AC"/>
    <w:rsid w:val="4D057181"/>
    <w:rsid w:val="4D0C050F"/>
    <w:rsid w:val="4D275349"/>
    <w:rsid w:val="4D331F40"/>
    <w:rsid w:val="4D3B0DF4"/>
    <w:rsid w:val="4D7F6F33"/>
    <w:rsid w:val="4D8409ED"/>
    <w:rsid w:val="4D9549A9"/>
    <w:rsid w:val="4D9D16E6"/>
    <w:rsid w:val="4DB017E2"/>
    <w:rsid w:val="4DB82445"/>
    <w:rsid w:val="4DC25072"/>
    <w:rsid w:val="4DC96400"/>
    <w:rsid w:val="4DE106CB"/>
    <w:rsid w:val="4DEB281B"/>
    <w:rsid w:val="4E10402F"/>
    <w:rsid w:val="4E121B55"/>
    <w:rsid w:val="4E2B2C17"/>
    <w:rsid w:val="4E505C68"/>
    <w:rsid w:val="4E573A0C"/>
    <w:rsid w:val="4E5C1022"/>
    <w:rsid w:val="4E760336"/>
    <w:rsid w:val="4E7C16C5"/>
    <w:rsid w:val="4EAC6FD6"/>
    <w:rsid w:val="4EB250E6"/>
    <w:rsid w:val="4EBE1CDD"/>
    <w:rsid w:val="4EC05A55"/>
    <w:rsid w:val="4ECA0682"/>
    <w:rsid w:val="4ECD0674"/>
    <w:rsid w:val="4EE47996"/>
    <w:rsid w:val="4EE74D90"/>
    <w:rsid w:val="4EEF633A"/>
    <w:rsid w:val="4EFB083B"/>
    <w:rsid w:val="4F1D6A04"/>
    <w:rsid w:val="4F2935FA"/>
    <w:rsid w:val="4F495A4B"/>
    <w:rsid w:val="4F587A3C"/>
    <w:rsid w:val="4F6C6BDA"/>
    <w:rsid w:val="4F7E394E"/>
    <w:rsid w:val="4F7F2029"/>
    <w:rsid w:val="4F870321"/>
    <w:rsid w:val="4F9071D6"/>
    <w:rsid w:val="4F9547EC"/>
    <w:rsid w:val="4FE6773D"/>
    <w:rsid w:val="4FF43AC5"/>
    <w:rsid w:val="4FF77255"/>
    <w:rsid w:val="4FFE4A87"/>
    <w:rsid w:val="50000824"/>
    <w:rsid w:val="50106568"/>
    <w:rsid w:val="501222E0"/>
    <w:rsid w:val="501F0559"/>
    <w:rsid w:val="5023629C"/>
    <w:rsid w:val="503A5393"/>
    <w:rsid w:val="503F29AA"/>
    <w:rsid w:val="5043249A"/>
    <w:rsid w:val="505521CD"/>
    <w:rsid w:val="50827466"/>
    <w:rsid w:val="50A078EC"/>
    <w:rsid w:val="50B679A2"/>
    <w:rsid w:val="50D21A70"/>
    <w:rsid w:val="50D457E8"/>
    <w:rsid w:val="50D75B0C"/>
    <w:rsid w:val="50FB4B23"/>
    <w:rsid w:val="51163F32"/>
    <w:rsid w:val="51183927"/>
    <w:rsid w:val="51226553"/>
    <w:rsid w:val="514E7348"/>
    <w:rsid w:val="51516E38"/>
    <w:rsid w:val="5180327A"/>
    <w:rsid w:val="519A433C"/>
    <w:rsid w:val="51AE366B"/>
    <w:rsid w:val="51D823BF"/>
    <w:rsid w:val="51DF0427"/>
    <w:rsid w:val="51E67581"/>
    <w:rsid w:val="51F83758"/>
    <w:rsid w:val="520B3E30"/>
    <w:rsid w:val="521A547C"/>
    <w:rsid w:val="521F6F37"/>
    <w:rsid w:val="5246001F"/>
    <w:rsid w:val="52972F71"/>
    <w:rsid w:val="529F5E1B"/>
    <w:rsid w:val="52B0193D"/>
    <w:rsid w:val="52B633F7"/>
    <w:rsid w:val="52BC29D7"/>
    <w:rsid w:val="52C8312A"/>
    <w:rsid w:val="52DB5A27"/>
    <w:rsid w:val="52DD4E28"/>
    <w:rsid w:val="52DE4AD3"/>
    <w:rsid w:val="52E70521"/>
    <w:rsid w:val="52FB52AE"/>
    <w:rsid w:val="52FE08FA"/>
    <w:rsid w:val="531F04EC"/>
    <w:rsid w:val="532145E9"/>
    <w:rsid w:val="53220A8C"/>
    <w:rsid w:val="532E2213"/>
    <w:rsid w:val="533026AA"/>
    <w:rsid w:val="53487DC7"/>
    <w:rsid w:val="534C78B7"/>
    <w:rsid w:val="534D3630"/>
    <w:rsid w:val="53807561"/>
    <w:rsid w:val="5382152B"/>
    <w:rsid w:val="538708F0"/>
    <w:rsid w:val="538E7D0E"/>
    <w:rsid w:val="53A56FC8"/>
    <w:rsid w:val="53B4545D"/>
    <w:rsid w:val="53B8319F"/>
    <w:rsid w:val="53DF24DA"/>
    <w:rsid w:val="53F65A75"/>
    <w:rsid w:val="53FB308C"/>
    <w:rsid w:val="5416466D"/>
    <w:rsid w:val="541A1764"/>
    <w:rsid w:val="542F214A"/>
    <w:rsid w:val="54302D35"/>
    <w:rsid w:val="54316AAD"/>
    <w:rsid w:val="543640C4"/>
    <w:rsid w:val="543A3BB4"/>
    <w:rsid w:val="54640C31"/>
    <w:rsid w:val="54661645"/>
    <w:rsid w:val="547F3CBD"/>
    <w:rsid w:val="54AA0D3A"/>
    <w:rsid w:val="54AB6860"/>
    <w:rsid w:val="54BB2F47"/>
    <w:rsid w:val="54BE216E"/>
    <w:rsid w:val="54BF40B9"/>
    <w:rsid w:val="54D73AF9"/>
    <w:rsid w:val="54D933CD"/>
    <w:rsid w:val="54DF37FA"/>
    <w:rsid w:val="550D2661"/>
    <w:rsid w:val="550F3292"/>
    <w:rsid w:val="552A3C28"/>
    <w:rsid w:val="55563AD1"/>
    <w:rsid w:val="555D2250"/>
    <w:rsid w:val="558722C8"/>
    <w:rsid w:val="55AC6D33"/>
    <w:rsid w:val="55AD03B6"/>
    <w:rsid w:val="55BD221A"/>
    <w:rsid w:val="55C027DF"/>
    <w:rsid w:val="55CE2806"/>
    <w:rsid w:val="55D63DB0"/>
    <w:rsid w:val="55DB3175"/>
    <w:rsid w:val="55EE4C56"/>
    <w:rsid w:val="55F61D5C"/>
    <w:rsid w:val="56051FA0"/>
    <w:rsid w:val="56222B52"/>
    <w:rsid w:val="562A1B91"/>
    <w:rsid w:val="562B40FC"/>
    <w:rsid w:val="562B5B9A"/>
    <w:rsid w:val="56331D5B"/>
    <w:rsid w:val="5637484F"/>
    <w:rsid w:val="5640122A"/>
    <w:rsid w:val="56570A4D"/>
    <w:rsid w:val="565E627F"/>
    <w:rsid w:val="56867F50"/>
    <w:rsid w:val="568A7075"/>
    <w:rsid w:val="56AB7BA5"/>
    <w:rsid w:val="56AF3861"/>
    <w:rsid w:val="56B85264"/>
    <w:rsid w:val="56CA56C3"/>
    <w:rsid w:val="56CF0F2B"/>
    <w:rsid w:val="56DC53F6"/>
    <w:rsid w:val="571406EC"/>
    <w:rsid w:val="5714693E"/>
    <w:rsid w:val="573A37A0"/>
    <w:rsid w:val="573F67D1"/>
    <w:rsid w:val="575C2093"/>
    <w:rsid w:val="576D604E"/>
    <w:rsid w:val="57706229"/>
    <w:rsid w:val="578C2978"/>
    <w:rsid w:val="57BE4AFC"/>
    <w:rsid w:val="57C2639A"/>
    <w:rsid w:val="57CE11E3"/>
    <w:rsid w:val="57CF2865"/>
    <w:rsid w:val="57E07028"/>
    <w:rsid w:val="57E207EA"/>
    <w:rsid w:val="57EC78BB"/>
    <w:rsid w:val="57F549C2"/>
    <w:rsid w:val="580764A3"/>
    <w:rsid w:val="58260F8E"/>
    <w:rsid w:val="582C5F09"/>
    <w:rsid w:val="586C6306"/>
    <w:rsid w:val="58737694"/>
    <w:rsid w:val="587F072F"/>
    <w:rsid w:val="58BA1767"/>
    <w:rsid w:val="59215342"/>
    <w:rsid w:val="5928001D"/>
    <w:rsid w:val="592941F7"/>
    <w:rsid w:val="592A3C50"/>
    <w:rsid w:val="594026BD"/>
    <w:rsid w:val="59460076"/>
    <w:rsid w:val="59515D8A"/>
    <w:rsid w:val="595C637A"/>
    <w:rsid w:val="5960477C"/>
    <w:rsid w:val="596B66F6"/>
    <w:rsid w:val="596C2A61"/>
    <w:rsid w:val="596F6178"/>
    <w:rsid w:val="597E2795"/>
    <w:rsid w:val="59A5674B"/>
    <w:rsid w:val="59AD4E28"/>
    <w:rsid w:val="59BD150F"/>
    <w:rsid w:val="59BE0DE3"/>
    <w:rsid w:val="59C53F20"/>
    <w:rsid w:val="59D535F0"/>
    <w:rsid w:val="5A0228E9"/>
    <w:rsid w:val="5A146C55"/>
    <w:rsid w:val="5A151F73"/>
    <w:rsid w:val="5A582FE6"/>
    <w:rsid w:val="5AA77AC9"/>
    <w:rsid w:val="5AA91A93"/>
    <w:rsid w:val="5ABE4B07"/>
    <w:rsid w:val="5AC266B1"/>
    <w:rsid w:val="5AEE74A6"/>
    <w:rsid w:val="5AFA409D"/>
    <w:rsid w:val="5AFA5E4B"/>
    <w:rsid w:val="5B307ABF"/>
    <w:rsid w:val="5B321A89"/>
    <w:rsid w:val="5B32273E"/>
    <w:rsid w:val="5B353327"/>
    <w:rsid w:val="5B386973"/>
    <w:rsid w:val="5B4602DF"/>
    <w:rsid w:val="5B4A6DD2"/>
    <w:rsid w:val="5B57329D"/>
    <w:rsid w:val="5B6F6839"/>
    <w:rsid w:val="5B751975"/>
    <w:rsid w:val="5B765E19"/>
    <w:rsid w:val="5B8147BE"/>
    <w:rsid w:val="5B920779"/>
    <w:rsid w:val="5B977B3E"/>
    <w:rsid w:val="5BAB5397"/>
    <w:rsid w:val="5BB74B2C"/>
    <w:rsid w:val="5BBB382C"/>
    <w:rsid w:val="5BCC1E57"/>
    <w:rsid w:val="5BD41E6E"/>
    <w:rsid w:val="5BEA2363"/>
    <w:rsid w:val="5BEA5EBF"/>
    <w:rsid w:val="5BF64864"/>
    <w:rsid w:val="5C2C64D8"/>
    <w:rsid w:val="5C3A6E47"/>
    <w:rsid w:val="5C3B1922"/>
    <w:rsid w:val="5C537F09"/>
    <w:rsid w:val="5C5477DD"/>
    <w:rsid w:val="5C5E2B95"/>
    <w:rsid w:val="5C9A5B38"/>
    <w:rsid w:val="5C9C18B0"/>
    <w:rsid w:val="5CA17B70"/>
    <w:rsid w:val="5CA40764"/>
    <w:rsid w:val="5CAB5170"/>
    <w:rsid w:val="5CBD5382"/>
    <w:rsid w:val="5CD32DF8"/>
    <w:rsid w:val="5CE62B2B"/>
    <w:rsid w:val="5D0C07A2"/>
    <w:rsid w:val="5D290C69"/>
    <w:rsid w:val="5DA0717E"/>
    <w:rsid w:val="5DB42C29"/>
    <w:rsid w:val="5DBD1FCA"/>
    <w:rsid w:val="5DD15589"/>
    <w:rsid w:val="5DEF65CC"/>
    <w:rsid w:val="5E192A8C"/>
    <w:rsid w:val="5E1C432A"/>
    <w:rsid w:val="5E257683"/>
    <w:rsid w:val="5E282CCF"/>
    <w:rsid w:val="5E4D0988"/>
    <w:rsid w:val="5E510478"/>
    <w:rsid w:val="5E714676"/>
    <w:rsid w:val="5E8425FB"/>
    <w:rsid w:val="5E8C6F99"/>
    <w:rsid w:val="5E8E347A"/>
    <w:rsid w:val="5ECF75EF"/>
    <w:rsid w:val="5ED54C05"/>
    <w:rsid w:val="5EF2352E"/>
    <w:rsid w:val="5EF57055"/>
    <w:rsid w:val="5EF763C6"/>
    <w:rsid w:val="5F08322C"/>
    <w:rsid w:val="5F261904"/>
    <w:rsid w:val="5F4E6765"/>
    <w:rsid w:val="5F5D7160"/>
    <w:rsid w:val="5F7206A6"/>
    <w:rsid w:val="5F7408C2"/>
    <w:rsid w:val="5F887EC9"/>
    <w:rsid w:val="5F893C41"/>
    <w:rsid w:val="5F8B79B9"/>
    <w:rsid w:val="5FB23198"/>
    <w:rsid w:val="5FD70E51"/>
    <w:rsid w:val="5FEF7F48"/>
    <w:rsid w:val="5FF217E7"/>
    <w:rsid w:val="5FF27A39"/>
    <w:rsid w:val="5FF76DFD"/>
    <w:rsid w:val="5FFE1F39"/>
    <w:rsid w:val="60060FEE"/>
    <w:rsid w:val="602A0F80"/>
    <w:rsid w:val="60462E90"/>
    <w:rsid w:val="60536729"/>
    <w:rsid w:val="608368E3"/>
    <w:rsid w:val="608F7035"/>
    <w:rsid w:val="60A30D33"/>
    <w:rsid w:val="60A96349"/>
    <w:rsid w:val="60C2740B"/>
    <w:rsid w:val="60D64C64"/>
    <w:rsid w:val="60D94755"/>
    <w:rsid w:val="60F021CA"/>
    <w:rsid w:val="611834CF"/>
    <w:rsid w:val="61530A39"/>
    <w:rsid w:val="61637D56"/>
    <w:rsid w:val="6183303E"/>
    <w:rsid w:val="61923281"/>
    <w:rsid w:val="61AC3CD1"/>
    <w:rsid w:val="61B054B5"/>
    <w:rsid w:val="61FA4982"/>
    <w:rsid w:val="61FE695C"/>
    <w:rsid w:val="621912AD"/>
    <w:rsid w:val="621C6FEF"/>
    <w:rsid w:val="623076A4"/>
    <w:rsid w:val="62326812"/>
    <w:rsid w:val="62392C11"/>
    <w:rsid w:val="62571DD5"/>
    <w:rsid w:val="625B7377"/>
    <w:rsid w:val="6278019C"/>
    <w:rsid w:val="6285420B"/>
    <w:rsid w:val="628C1A7E"/>
    <w:rsid w:val="629B7F14"/>
    <w:rsid w:val="62A96AD4"/>
    <w:rsid w:val="62B2525D"/>
    <w:rsid w:val="62B66AFB"/>
    <w:rsid w:val="62C0797A"/>
    <w:rsid w:val="62FB09B2"/>
    <w:rsid w:val="62FB4E56"/>
    <w:rsid w:val="62FE04A2"/>
    <w:rsid w:val="631D29EB"/>
    <w:rsid w:val="633C6169"/>
    <w:rsid w:val="63500CFE"/>
    <w:rsid w:val="637A3FCD"/>
    <w:rsid w:val="63822EAD"/>
    <w:rsid w:val="63B70D7D"/>
    <w:rsid w:val="63D23E09"/>
    <w:rsid w:val="63E234B7"/>
    <w:rsid w:val="63F773CC"/>
    <w:rsid w:val="64047D3A"/>
    <w:rsid w:val="64300F47"/>
    <w:rsid w:val="64483336"/>
    <w:rsid w:val="644F0FB6"/>
    <w:rsid w:val="645E38EF"/>
    <w:rsid w:val="646C600B"/>
    <w:rsid w:val="64942E6C"/>
    <w:rsid w:val="64AC6408"/>
    <w:rsid w:val="64AE53F9"/>
    <w:rsid w:val="64D63485"/>
    <w:rsid w:val="6500647B"/>
    <w:rsid w:val="65085608"/>
    <w:rsid w:val="65091AAC"/>
    <w:rsid w:val="65110961"/>
    <w:rsid w:val="6518767F"/>
    <w:rsid w:val="65237AC1"/>
    <w:rsid w:val="653603C7"/>
    <w:rsid w:val="65362175"/>
    <w:rsid w:val="656767D3"/>
    <w:rsid w:val="65801643"/>
    <w:rsid w:val="6598698C"/>
    <w:rsid w:val="65A13CC9"/>
    <w:rsid w:val="65E120E1"/>
    <w:rsid w:val="660D737A"/>
    <w:rsid w:val="661A38C3"/>
    <w:rsid w:val="661E2CB4"/>
    <w:rsid w:val="6632293D"/>
    <w:rsid w:val="664E603D"/>
    <w:rsid w:val="665135D2"/>
    <w:rsid w:val="666F1DE3"/>
    <w:rsid w:val="66A870A3"/>
    <w:rsid w:val="66AC748B"/>
    <w:rsid w:val="66AD46B9"/>
    <w:rsid w:val="66C1550E"/>
    <w:rsid w:val="66C739CD"/>
    <w:rsid w:val="66CD4D5B"/>
    <w:rsid w:val="66DD6797"/>
    <w:rsid w:val="66F66060"/>
    <w:rsid w:val="66F67E0E"/>
    <w:rsid w:val="670818F0"/>
    <w:rsid w:val="671D183F"/>
    <w:rsid w:val="67293782"/>
    <w:rsid w:val="673646AF"/>
    <w:rsid w:val="675114E9"/>
    <w:rsid w:val="675863D3"/>
    <w:rsid w:val="679703E1"/>
    <w:rsid w:val="67A17496"/>
    <w:rsid w:val="67A965FC"/>
    <w:rsid w:val="67D839B8"/>
    <w:rsid w:val="68182006"/>
    <w:rsid w:val="681C1AF7"/>
    <w:rsid w:val="683926A8"/>
    <w:rsid w:val="685272C6"/>
    <w:rsid w:val="68537CAF"/>
    <w:rsid w:val="685F3791"/>
    <w:rsid w:val="68725BBA"/>
    <w:rsid w:val="68757459"/>
    <w:rsid w:val="687A4A6F"/>
    <w:rsid w:val="688C5099"/>
    <w:rsid w:val="68953657"/>
    <w:rsid w:val="68B735CD"/>
    <w:rsid w:val="68C1444C"/>
    <w:rsid w:val="68E51EE8"/>
    <w:rsid w:val="68EA5751"/>
    <w:rsid w:val="68F570FB"/>
    <w:rsid w:val="691C2678"/>
    <w:rsid w:val="69227DA0"/>
    <w:rsid w:val="69456E2B"/>
    <w:rsid w:val="69531548"/>
    <w:rsid w:val="696F3EA8"/>
    <w:rsid w:val="69731BEA"/>
    <w:rsid w:val="69765236"/>
    <w:rsid w:val="69790883"/>
    <w:rsid w:val="697A2F79"/>
    <w:rsid w:val="69935DE8"/>
    <w:rsid w:val="69A47FF6"/>
    <w:rsid w:val="69A87C65"/>
    <w:rsid w:val="69EE301F"/>
    <w:rsid w:val="69FA19C4"/>
    <w:rsid w:val="69FB1963"/>
    <w:rsid w:val="6A5D1F52"/>
    <w:rsid w:val="6A7C062B"/>
    <w:rsid w:val="6AA25BA0"/>
    <w:rsid w:val="6AA3205B"/>
    <w:rsid w:val="6AAB0F10"/>
    <w:rsid w:val="6AAD2EDA"/>
    <w:rsid w:val="6AB8548E"/>
    <w:rsid w:val="6ABC577D"/>
    <w:rsid w:val="6ACD70D8"/>
    <w:rsid w:val="6AE12B83"/>
    <w:rsid w:val="6AE42367"/>
    <w:rsid w:val="6AFE7291"/>
    <w:rsid w:val="6B054AC4"/>
    <w:rsid w:val="6B106FC5"/>
    <w:rsid w:val="6B225676"/>
    <w:rsid w:val="6B3A462E"/>
    <w:rsid w:val="6B422808"/>
    <w:rsid w:val="6B474C31"/>
    <w:rsid w:val="6B476E8A"/>
    <w:rsid w:val="6B4B5217"/>
    <w:rsid w:val="6B680BAF"/>
    <w:rsid w:val="6B8A1717"/>
    <w:rsid w:val="6B8C6F93"/>
    <w:rsid w:val="6BC56001"/>
    <w:rsid w:val="6BCC7390"/>
    <w:rsid w:val="6BD36970"/>
    <w:rsid w:val="6BD526E8"/>
    <w:rsid w:val="6C092392"/>
    <w:rsid w:val="6C17069E"/>
    <w:rsid w:val="6C2225DD"/>
    <w:rsid w:val="6C2830FF"/>
    <w:rsid w:val="6C5850C7"/>
    <w:rsid w:val="6C6B0957"/>
    <w:rsid w:val="6C832144"/>
    <w:rsid w:val="6C89702F"/>
    <w:rsid w:val="6C9C18EB"/>
    <w:rsid w:val="6CCD7863"/>
    <w:rsid w:val="6CD504C6"/>
    <w:rsid w:val="6CD52274"/>
    <w:rsid w:val="6CDD364E"/>
    <w:rsid w:val="6CF46B9E"/>
    <w:rsid w:val="6CF92406"/>
    <w:rsid w:val="6CFC3CA5"/>
    <w:rsid w:val="6D147240"/>
    <w:rsid w:val="6D196605"/>
    <w:rsid w:val="6D21370B"/>
    <w:rsid w:val="6D3B18E0"/>
    <w:rsid w:val="6D3B18E9"/>
    <w:rsid w:val="6D57537F"/>
    <w:rsid w:val="6D6C42DF"/>
    <w:rsid w:val="6D77332B"/>
    <w:rsid w:val="6D800432"/>
    <w:rsid w:val="6D940381"/>
    <w:rsid w:val="6D9C3AFC"/>
    <w:rsid w:val="6DAC1227"/>
    <w:rsid w:val="6DBB76BC"/>
    <w:rsid w:val="6DD469CF"/>
    <w:rsid w:val="6E22773B"/>
    <w:rsid w:val="6E25722B"/>
    <w:rsid w:val="6E2A4841"/>
    <w:rsid w:val="6E443B55"/>
    <w:rsid w:val="6E4E0530"/>
    <w:rsid w:val="6E5B2C4D"/>
    <w:rsid w:val="6E5F44EB"/>
    <w:rsid w:val="6E6164B5"/>
    <w:rsid w:val="6E6236E7"/>
    <w:rsid w:val="6E6935BC"/>
    <w:rsid w:val="6E91041D"/>
    <w:rsid w:val="6E9F4B86"/>
    <w:rsid w:val="6EB02F99"/>
    <w:rsid w:val="6EB8556A"/>
    <w:rsid w:val="6EBC36EB"/>
    <w:rsid w:val="6EDC5B3C"/>
    <w:rsid w:val="6EDE1649"/>
    <w:rsid w:val="6EEE586F"/>
    <w:rsid w:val="6F064E06"/>
    <w:rsid w:val="6F094457"/>
    <w:rsid w:val="6F155FCF"/>
    <w:rsid w:val="6F176B74"/>
    <w:rsid w:val="6F360C58"/>
    <w:rsid w:val="6F636421"/>
    <w:rsid w:val="6F6B5112"/>
    <w:rsid w:val="6F6E6EC3"/>
    <w:rsid w:val="6F7264A0"/>
    <w:rsid w:val="6F765F90"/>
    <w:rsid w:val="6F9401C4"/>
    <w:rsid w:val="6FB915A7"/>
    <w:rsid w:val="6FC14D32"/>
    <w:rsid w:val="6FCD1928"/>
    <w:rsid w:val="6FD902CD"/>
    <w:rsid w:val="6FDE58E3"/>
    <w:rsid w:val="6FE61F3E"/>
    <w:rsid w:val="6FF9428D"/>
    <w:rsid w:val="70161521"/>
    <w:rsid w:val="702F613F"/>
    <w:rsid w:val="703244E4"/>
    <w:rsid w:val="705636CC"/>
    <w:rsid w:val="70D31B19"/>
    <w:rsid w:val="70FD0CB3"/>
    <w:rsid w:val="711E0B5E"/>
    <w:rsid w:val="712A5284"/>
    <w:rsid w:val="7130216F"/>
    <w:rsid w:val="713C4FB8"/>
    <w:rsid w:val="71687AE4"/>
    <w:rsid w:val="718F158B"/>
    <w:rsid w:val="71A004FF"/>
    <w:rsid w:val="71C50B09"/>
    <w:rsid w:val="71C8684B"/>
    <w:rsid w:val="71DC40A5"/>
    <w:rsid w:val="71E03B95"/>
    <w:rsid w:val="71E116BB"/>
    <w:rsid w:val="71F615DC"/>
    <w:rsid w:val="71FE04BF"/>
    <w:rsid w:val="720F7FD6"/>
    <w:rsid w:val="72121874"/>
    <w:rsid w:val="7229553C"/>
    <w:rsid w:val="72323CC5"/>
    <w:rsid w:val="724B2077"/>
    <w:rsid w:val="72691DDC"/>
    <w:rsid w:val="726F4F19"/>
    <w:rsid w:val="726F7FB0"/>
    <w:rsid w:val="72A46970"/>
    <w:rsid w:val="72B50B7E"/>
    <w:rsid w:val="72BB015E"/>
    <w:rsid w:val="72C139C6"/>
    <w:rsid w:val="72C62D8B"/>
    <w:rsid w:val="72D57833"/>
    <w:rsid w:val="72DC25AE"/>
    <w:rsid w:val="72FC49FE"/>
    <w:rsid w:val="732E0930"/>
    <w:rsid w:val="73335F46"/>
    <w:rsid w:val="73373C88"/>
    <w:rsid w:val="733E4E7F"/>
    <w:rsid w:val="7358775B"/>
    <w:rsid w:val="735C7C30"/>
    <w:rsid w:val="73634FBB"/>
    <w:rsid w:val="73661E78"/>
    <w:rsid w:val="73697BBA"/>
    <w:rsid w:val="73775E2C"/>
    <w:rsid w:val="738A025C"/>
    <w:rsid w:val="73B61051"/>
    <w:rsid w:val="73BB6668"/>
    <w:rsid w:val="73C365CB"/>
    <w:rsid w:val="73E95EE8"/>
    <w:rsid w:val="73EA4857"/>
    <w:rsid w:val="73F6144E"/>
    <w:rsid w:val="73F97190"/>
    <w:rsid w:val="74085625"/>
    <w:rsid w:val="74185868"/>
    <w:rsid w:val="742023C5"/>
    <w:rsid w:val="744C3764"/>
    <w:rsid w:val="744E13C7"/>
    <w:rsid w:val="74534AF2"/>
    <w:rsid w:val="74766D79"/>
    <w:rsid w:val="747E57F8"/>
    <w:rsid w:val="748D1686"/>
    <w:rsid w:val="74F040EF"/>
    <w:rsid w:val="751122B7"/>
    <w:rsid w:val="75157FF9"/>
    <w:rsid w:val="75360DBC"/>
    <w:rsid w:val="75387844"/>
    <w:rsid w:val="756920F3"/>
    <w:rsid w:val="756B5E6B"/>
    <w:rsid w:val="756D0E75"/>
    <w:rsid w:val="756D573F"/>
    <w:rsid w:val="75866801"/>
    <w:rsid w:val="758807CB"/>
    <w:rsid w:val="759F78C3"/>
    <w:rsid w:val="75BA64AB"/>
    <w:rsid w:val="75E35A02"/>
    <w:rsid w:val="75EA3234"/>
    <w:rsid w:val="762027B2"/>
    <w:rsid w:val="7630676D"/>
    <w:rsid w:val="76312C11"/>
    <w:rsid w:val="763224E5"/>
    <w:rsid w:val="76361FD5"/>
    <w:rsid w:val="76505878"/>
    <w:rsid w:val="767945B8"/>
    <w:rsid w:val="76794AF8"/>
    <w:rsid w:val="76850C08"/>
    <w:rsid w:val="76AE1106"/>
    <w:rsid w:val="76BB24DB"/>
    <w:rsid w:val="76C84BF7"/>
    <w:rsid w:val="76D11CFE"/>
    <w:rsid w:val="76D67314"/>
    <w:rsid w:val="76FC6DDC"/>
    <w:rsid w:val="772E2227"/>
    <w:rsid w:val="77302EC9"/>
    <w:rsid w:val="7731279D"/>
    <w:rsid w:val="77533CC6"/>
    <w:rsid w:val="775748F9"/>
    <w:rsid w:val="7760252B"/>
    <w:rsid w:val="776058DA"/>
    <w:rsid w:val="77626DFA"/>
    <w:rsid w:val="777032C5"/>
    <w:rsid w:val="777803CC"/>
    <w:rsid w:val="777D1E86"/>
    <w:rsid w:val="779276DF"/>
    <w:rsid w:val="77B70517"/>
    <w:rsid w:val="77E043E3"/>
    <w:rsid w:val="77F40160"/>
    <w:rsid w:val="78342545"/>
    <w:rsid w:val="78412EB3"/>
    <w:rsid w:val="785030F6"/>
    <w:rsid w:val="78550E5C"/>
    <w:rsid w:val="78632E2A"/>
    <w:rsid w:val="78654DF4"/>
    <w:rsid w:val="787B0173"/>
    <w:rsid w:val="787D0429"/>
    <w:rsid w:val="78B24F5D"/>
    <w:rsid w:val="78EF46BD"/>
    <w:rsid w:val="790740FD"/>
    <w:rsid w:val="791660EE"/>
    <w:rsid w:val="791D122B"/>
    <w:rsid w:val="791F31F5"/>
    <w:rsid w:val="79265756"/>
    <w:rsid w:val="793F5645"/>
    <w:rsid w:val="794511BD"/>
    <w:rsid w:val="794A5D98"/>
    <w:rsid w:val="794C38BE"/>
    <w:rsid w:val="794E7636"/>
    <w:rsid w:val="79892D64"/>
    <w:rsid w:val="798E037A"/>
    <w:rsid w:val="79960FDD"/>
    <w:rsid w:val="79997202"/>
    <w:rsid w:val="799E680F"/>
    <w:rsid w:val="79FF5F21"/>
    <w:rsid w:val="7A1B3962"/>
    <w:rsid w:val="7A2111EE"/>
    <w:rsid w:val="7A2F56B9"/>
    <w:rsid w:val="7A6D48C0"/>
    <w:rsid w:val="7A7268AA"/>
    <w:rsid w:val="7A765096"/>
    <w:rsid w:val="7A974046"/>
    <w:rsid w:val="7AAD65DE"/>
    <w:rsid w:val="7AC53928"/>
    <w:rsid w:val="7AC878BC"/>
    <w:rsid w:val="7ACA7190"/>
    <w:rsid w:val="7AEF309B"/>
    <w:rsid w:val="7AFD2AA0"/>
    <w:rsid w:val="7AFD57B8"/>
    <w:rsid w:val="7AFF1FD8"/>
    <w:rsid w:val="7B007056"/>
    <w:rsid w:val="7B02692A"/>
    <w:rsid w:val="7B2368A0"/>
    <w:rsid w:val="7B705F89"/>
    <w:rsid w:val="7B735A7A"/>
    <w:rsid w:val="7B887EC5"/>
    <w:rsid w:val="7B914152"/>
    <w:rsid w:val="7BAE0860"/>
    <w:rsid w:val="7BB17EFC"/>
    <w:rsid w:val="7BC60184"/>
    <w:rsid w:val="7BD5403F"/>
    <w:rsid w:val="7BE349AD"/>
    <w:rsid w:val="7BE73A8B"/>
    <w:rsid w:val="7BEC3136"/>
    <w:rsid w:val="7BF471EA"/>
    <w:rsid w:val="7C011556"/>
    <w:rsid w:val="7C18217D"/>
    <w:rsid w:val="7C3C40BE"/>
    <w:rsid w:val="7C507B69"/>
    <w:rsid w:val="7C596A1E"/>
    <w:rsid w:val="7C5E2286"/>
    <w:rsid w:val="7C701FB9"/>
    <w:rsid w:val="7C817D22"/>
    <w:rsid w:val="7CD24A22"/>
    <w:rsid w:val="7CEA1D6C"/>
    <w:rsid w:val="7CF95D03"/>
    <w:rsid w:val="7D0C3A90"/>
    <w:rsid w:val="7D0E5A5A"/>
    <w:rsid w:val="7D360B0D"/>
    <w:rsid w:val="7D406A1E"/>
    <w:rsid w:val="7D494CE4"/>
    <w:rsid w:val="7D637428"/>
    <w:rsid w:val="7D717D97"/>
    <w:rsid w:val="7D7653AD"/>
    <w:rsid w:val="7D823D52"/>
    <w:rsid w:val="7D851A94"/>
    <w:rsid w:val="7D8E1E41"/>
    <w:rsid w:val="7D9121E7"/>
    <w:rsid w:val="7D965A4F"/>
    <w:rsid w:val="7DC73E5B"/>
    <w:rsid w:val="7DCB56F9"/>
    <w:rsid w:val="7DF34C50"/>
    <w:rsid w:val="7E0D00F2"/>
    <w:rsid w:val="7E105802"/>
    <w:rsid w:val="7E1A21DD"/>
    <w:rsid w:val="7E4234E1"/>
    <w:rsid w:val="7E486D4A"/>
    <w:rsid w:val="7E5F22E5"/>
    <w:rsid w:val="7E7C7B82"/>
    <w:rsid w:val="7E960CC1"/>
    <w:rsid w:val="7EA36676"/>
    <w:rsid w:val="7EAD12A3"/>
    <w:rsid w:val="7EB702F4"/>
    <w:rsid w:val="7ED625A7"/>
    <w:rsid w:val="7EDA196C"/>
    <w:rsid w:val="7EE56707"/>
    <w:rsid w:val="7EED715E"/>
    <w:rsid w:val="7EF42A2E"/>
    <w:rsid w:val="7EF46ED2"/>
    <w:rsid w:val="7EFD7F37"/>
    <w:rsid w:val="7F2271E4"/>
    <w:rsid w:val="7F2D7CEE"/>
    <w:rsid w:val="7F313C82"/>
    <w:rsid w:val="7F4A61E1"/>
    <w:rsid w:val="7F596D35"/>
    <w:rsid w:val="7F967F89"/>
    <w:rsid w:val="7F9935D5"/>
    <w:rsid w:val="7FA51F7A"/>
    <w:rsid w:val="7FB073FA"/>
    <w:rsid w:val="7FB328E9"/>
    <w:rsid w:val="7FD30895"/>
    <w:rsid w:val="7FDD1714"/>
    <w:rsid w:val="7FE231CE"/>
    <w:rsid w:val="7FFA22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nhideWhenUsed="0" w:uiPriority="1"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pPr>
    <w:rPr>
      <w:rFonts w:ascii="宋体" w:hAnsi="宋体" w:eastAsia="宋体" w:cstheme="minorBidi"/>
      <w:kern w:val="2"/>
      <w:sz w:val="24"/>
      <w:szCs w:val="22"/>
      <w:lang w:val="en-US" w:eastAsia="zh-CN" w:bidi="ar-SA"/>
    </w:rPr>
  </w:style>
  <w:style w:type="paragraph" w:styleId="2">
    <w:name w:val="heading 1"/>
    <w:basedOn w:val="1"/>
    <w:next w:val="1"/>
    <w:link w:val="37"/>
    <w:autoRedefine/>
    <w:qFormat/>
    <w:uiPriority w:val="9"/>
    <w:pPr>
      <w:keepNext/>
      <w:keepLines/>
      <w:spacing w:before="340" w:after="330" w:line="578" w:lineRule="auto"/>
      <w:jc w:val="center"/>
      <w:outlineLvl w:val="0"/>
    </w:pPr>
    <w:rPr>
      <w:rFonts w:eastAsia="黑体"/>
      <w:b/>
      <w:bCs/>
      <w:kern w:val="44"/>
      <w:sz w:val="44"/>
      <w:szCs w:val="44"/>
    </w:rPr>
  </w:style>
  <w:style w:type="paragraph" w:styleId="3">
    <w:name w:val="heading 2"/>
    <w:basedOn w:val="1"/>
    <w:next w:val="1"/>
    <w:link w:val="41"/>
    <w:unhideWhenUsed/>
    <w:qFormat/>
    <w:uiPriority w:val="9"/>
    <w:pPr>
      <w:keepNext/>
      <w:keepLines/>
      <w:spacing w:before="260" w:after="260" w:line="416" w:lineRule="auto"/>
      <w:outlineLvl w:val="1"/>
    </w:pPr>
    <w:rPr>
      <w:rFonts w:asciiTheme="majorHAnsi" w:hAnsiTheme="majorHAnsi" w:cstheme="majorBidi"/>
      <w:b/>
      <w:bCs/>
      <w:sz w:val="32"/>
      <w:szCs w:val="32"/>
    </w:rPr>
  </w:style>
  <w:style w:type="paragraph" w:styleId="4">
    <w:name w:val="heading 3"/>
    <w:basedOn w:val="1"/>
    <w:next w:val="1"/>
    <w:link w:val="44"/>
    <w:autoRedefine/>
    <w:unhideWhenUsed/>
    <w:qFormat/>
    <w:uiPriority w:val="9"/>
    <w:pPr>
      <w:keepNext/>
      <w:keepLines/>
      <w:spacing w:before="260" w:after="260" w:line="416" w:lineRule="auto"/>
      <w:outlineLvl w:val="2"/>
    </w:pPr>
    <w:rPr>
      <w:b/>
      <w:bCs/>
      <w:sz w:val="30"/>
      <w:szCs w:val="32"/>
    </w:rPr>
  </w:style>
  <w:style w:type="paragraph" w:styleId="5">
    <w:name w:val="heading 4"/>
    <w:basedOn w:val="1"/>
    <w:next w:val="1"/>
    <w:link w:val="45"/>
    <w:autoRedefine/>
    <w:unhideWhenUsed/>
    <w:qFormat/>
    <w:uiPriority w:val="9"/>
    <w:pPr>
      <w:keepNext/>
      <w:keepLines/>
      <w:spacing w:before="280" w:after="290" w:line="376" w:lineRule="auto"/>
      <w:outlineLvl w:val="3"/>
    </w:pPr>
    <w:rPr>
      <w:rFonts w:asciiTheme="majorHAnsi" w:hAnsiTheme="majorHAnsi" w:cstheme="majorBidi"/>
      <w:b/>
      <w:bCs/>
      <w:sz w:val="28"/>
      <w:szCs w:val="28"/>
    </w:rPr>
  </w:style>
  <w:style w:type="paragraph" w:styleId="6">
    <w:name w:val="heading 5"/>
    <w:basedOn w:val="7"/>
    <w:next w:val="8"/>
    <w:autoRedefine/>
    <w:qFormat/>
    <w:uiPriority w:val="1"/>
    <w:pPr>
      <w:tabs>
        <w:tab w:val="left" w:pos="780"/>
      </w:tabs>
      <w:ind w:left="638" w:firstLine="561"/>
      <w:outlineLvl w:val="4"/>
    </w:pPr>
    <w:rPr>
      <w:rFonts w:ascii="仿宋" w:hAnsi="仿宋" w:eastAsia="仿宋" w:cs="仿宋"/>
      <w:b/>
      <w:bCs/>
      <w:kern w:val="0"/>
      <w:sz w:val="28"/>
      <w:szCs w:val="28"/>
      <w:lang w:val="zh-CN" w:bidi="zh-CN"/>
    </w:rPr>
  </w:style>
  <w:style w:type="character" w:default="1" w:styleId="31">
    <w:name w:val="Default Paragraph Font"/>
    <w:autoRedefine/>
    <w:semiHidden/>
    <w:unhideWhenUsed/>
    <w:qFormat/>
    <w:uiPriority w:val="1"/>
  </w:style>
  <w:style w:type="table" w:default="1" w:styleId="29">
    <w:name w:val="Normal Table"/>
    <w:autoRedefine/>
    <w:semiHidden/>
    <w:unhideWhenUsed/>
    <w:qFormat/>
    <w:uiPriority w:val="99"/>
    <w:tblPr>
      <w:tblCellMar>
        <w:top w:w="0" w:type="dxa"/>
        <w:left w:w="108" w:type="dxa"/>
        <w:bottom w:w="0" w:type="dxa"/>
        <w:right w:w="108" w:type="dxa"/>
      </w:tblCellMar>
    </w:tblPr>
  </w:style>
  <w:style w:type="paragraph" w:styleId="7">
    <w:name w:val="List Number 2"/>
    <w:basedOn w:val="1"/>
    <w:autoRedefine/>
    <w:semiHidden/>
    <w:unhideWhenUsed/>
    <w:qFormat/>
    <w:uiPriority w:val="99"/>
    <w:pPr>
      <w:numPr>
        <w:ilvl w:val="0"/>
        <w:numId w:val="1"/>
      </w:numPr>
    </w:pPr>
  </w:style>
  <w:style w:type="paragraph" w:styleId="8">
    <w:name w:val="Normal (Web)"/>
    <w:basedOn w:val="1"/>
    <w:autoRedefine/>
    <w:qFormat/>
    <w:uiPriority w:val="99"/>
    <w:pPr>
      <w:widowControl/>
      <w:spacing w:before="100" w:beforeAutospacing="1" w:after="100" w:afterAutospacing="1"/>
    </w:pPr>
    <w:rPr>
      <w:rFonts w:cs="宋体"/>
      <w:color w:val="000000"/>
      <w:kern w:val="0"/>
      <w:szCs w:val="24"/>
    </w:rPr>
  </w:style>
  <w:style w:type="paragraph" w:styleId="9">
    <w:name w:val="toc 7"/>
    <w:basedOn w:val="1"/>
    <w:next w:val="1"/>
    <w:autoRedefine/>
    <w:unhideWhenUsed/>
    <w:qFormat/>
    <w:uiPriority w:val="39"/>
    <w:pPr>
      <w:ind w:left="1440"/>
    </w:pPr>
    <w:rPr>
      <w:rFonts w:asciiTheme="minorHAnsi" w:eastAsiaTheme="minorHAnsi"/>
      <w:sz w:val="18"/>
      <w:szCs w:val="18"/>
    </w:rPr>
  </w:style>
  <w:style w:type="paragraph" w:styleId="10">
    <w:name w:val="Normal Indent"/>
    <w:basedOn w:val="1"/>
    <w:next w:val="1"/>
    <w:autoRedefine/>
    <w:unhideWhenUsed/>
    <w:qFormat/>
    <w:uiPriority w:val="0"/>
    <w:pPr>
      <w:ind w:firstLine="420" w:firstLineChars="200"/>
    </w:pPr>
    <w:rPr>
      <w:rFonts w:ascii="Calibri" w:hAnsi="Calibri"/>
      <w:szCs w:val="22"/>
    </w:rPr>
  </w:style>
  <w:style w:type="paragraph" w:styleId="11">
    <w:name w:val="List Bullet"/>
    <w:basedOn w:val="1"/>
    <w:autoRedefine/>
    <w:unhideWhenUsed/>
    <w:qFormat/>
    <w:uiPriority w:val="99"/>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12">
    <w:name w:val="annotation text"/>
    <w:basedOn w:val="1"/>
    <w:link w:val="42"/>
    <w:autoRedefine/>
    <w:qFormat/>
    <w:uiPriority w:val="0"/>
    <w:pPr>
      <w:spacing w:line="240" w:lineRule="auto"/>
    </w:pPr>
    <w:rPr>
      <w:rFonts w:eastAsiaTheme="minorEastAsia"/>
      <w:sz w:val="21"/>
      <w:szCs w:val="24"/>
    </w:rPr>
  </w:style>
  <w:style w:type="paragraph" w:styleId="13">
    <w:name w:val="Body Text"/>
    <w:basedOn w:val="1"/>
    <w:link w:val="46"/>
    <w:autoRedefine/>
    <w:qFormat/>
    <w:uiPriority w:val="99"/>
    <w:pPr>
      <w:spacing w:after="120" w:line="240" w:lineRule="auto"/>
      <w:jc w:val="both"/>
    </w:pPr>
    <w:rPr>
      <w:rFonts w:eastAsiaTheme="minorEastAsia"/>
      <w:sz w:val="21"/>
      <w:szCs w:val="24"/>
    </w:rPr>
  </w:style>
  <w:style w:type="paragraph" w:styleId="14">
    <w:name w:val="Body Text Indent"/>
    <w:basedOn w:val="1"/>
    <w:autoRedefine/>
    <w:unhideWhenUsed/>
    <w:qFormat/>
    <w:uiPriority w:val="0"/>
    <w:pPr>
      <w:ind w:firstLine="630"/>
    </w:pPr>
    <w:rPr>
      <w:rFonts w:eastAsia="仿宋_GB2312"/>
      <w:kern w:val="0"/>
      <w:sz w:val="32"/>
      <w:szCs w:val="20"/>
    </w:rPr>
  </w:style>
  <w:style w:type="paragraph" w:styleId="15">
    <w:name w:val="toc 5"/>
    <w:basedOn w:val="1"/>
    <w:next w:val="1"/>
    <w:autoRedefine/>
    <w:unhideWhenUsed/>
    <w:qFormat/>
    <w:uiPriority w:val="39"/>
    <w:pPr>
      <w:ind w:left="960"/>
    </w:pPr>
    <w:rPr>
      <w:rFonts w:asciiTheme="minorHAnsi" w:eastAsiaTheme="minorHAnsi"/>
      <w:sz w:val="18"/>
      <w:szCs w:val="18"/>
    </w:rPr>
  </w:style>
  <w:style w:type="paragraph" w:styleId="16">
    <w:name w:val="toc 3"/>
    <w:basedOn w:val="1"/>
    <w:next w:val="1"/>
    <w:autoRedefine/>
    <w:unhideWhenUsed/>
    <w:qFormat/>
    <w:uiPriority w:val="39"/>
    <w:pPr>
      <w:ind w:left="480"/>
    </w:pPr>
    <w:rPr>
      <w:rFonts w:asciiTheme="minorHAnsi" w:eastAsiaTheme="minorHAnsi"/>
      <w:i/>
      <w:iCs/>
      <w:sz w:val="20"/>
      <w:szCs w:val="20"/>
    </w:rPr>
  </w:style>
  <w:style w:type="paragraph" w:styleId="17">
    <w:name w:val="Plain Text"/>
    <w:basedOn w:val="1"/>
    <w:autoRedefine/>
    <w:unhideWhenUsed/>
    <w:qFormat/>
    <w:uiPriority w:val="0"/>
    <w:rPr>
      <w:rFonts w:ascii="宋体" w:hAnsi="Courier New"/>
      <w:kern w:val="0"/>
      <w:sz w:val="20"/>
      <w:szCs w:val="20"/>
    </w:rPr>
  </w:style>
  <w:style w:type="paragraph" w:styleId="18">
    <w:name w:val="toc 8"/>
    <w:basedOn w:val="1"/>
    <w:next w:val="1"/>
    <w:autoRedefine/>
    <w:unhideWhenUsed/>
    <w:qFormat/>
    <w:uiPriority w:val="39"/>
    <w:pPr>
      <w:ind w:left="1680"/>
    </w:pPr>
    <w:rPr>
      <w:rFonts w:asciiTheme="minorHAnsi" w:eastAsiaTheme="minorHAnsi"/>
      <w:sz w:val="18"/>
      <w:szCs w:val="18"/>
    </w:rPr>
  </w:style>
  <w:style w:type="paragraph" w:styleId="19">
    <w:name w:val="footer"/>
    <w:basedOn w:val="1"/>
    <w:link w:val="40"/>
    <w:autoRedefine/>
    <w:unhideWhenUsed/>
    <w:qFormat/>
    <w:uiPriority w:val="99"/>
    <w:pPr>
      <w:tabs>
        <w:tab w:val="center" w:pos="4153"/>
        <w:tab w:val="right" w:pos="8306"/>
      </w:tabs>
      <w:snapToGrid w:val="0"/>
      <w:spacing w:line="240" w:lineRule="auto"/>
    </w:pPr>
    <w:rPr>
      <w:sz w:val="18"/>
      <w:szCs w:val="18"/>
    </w:rPr>
  </w:style>
  <w:style w:type="paragraph" w:styleId="20">
    <w:name w:val="header"/>
    <w:basedOn w:val="1"/>
    <w:link w:val="39"/>
    <w:autoRedefine/>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21">
    <w:name w:val="toc 1"/>
    <w:basedOn w:val="1"/>
    <w:next w:val="1"/>
    <w:autoRedefine/>
    <w:unhideWhenUsed/>
    <w:qFormat/>
    <w:uiPriority w:val="39"/>
    <w:pPr>
      <w:spacing w:before="120" w:after="120"/>
    </w:pPr>
    <w:rPr>
      <w:rFonts w:asciiTheme="minorHAnsi" w:eastAsiaTheme="minorHAnsi"/>
      <w:b/>
      <w:bCs/>
      <w:caps/>
      <w:sz w:val="20"/>
      <w:szCs w:val="20"/>
    </w:rPr>
  </w:style>
  <w:style w:type="paragraph" w:styleId="22">
    <w:name w:val="toc 4"/>
    <w:basedOn w:val="1"/>
    <w:next w:val="1"/>
    <w:autoRedefine/>
    <w:unhideWhenUsed/>
    <w:qFormat/>
    <w:uiPriority w:val="39"/>
    <w:pPr>
      <w:ind w:left="720"/>
    </w:pPr>
    <w:rPr>
      <w:rFonts w:asciiTheme="minorHAnsi" w:eastAsiaTheme="minorHAnsi"/>
      <w:sz w:val="18"/>
      <w:szCs w:val="18"/>
    </w:rPr>
  </w:style>
  <w:style w:type="paragraph" w:styleId="23">
    <w:name w:val="footnote text"/>
    <w:basedOn w:val="1"/>
    <w:qFormat/>
    <w:uiPriority w:val="0"/>
    <w:pPr>
      <w:widowControl/>
      <w:jc w:val="left"/>
    </w:pPr>
    <w:rPr>
      <w:kern w:val="0"/>
      <w:sz w:val="20"/>
      <w:szCs w:val="20"/>
      <w:lang w:val="de-DE"/>
    </w:rPr>
  </w:style>
  <w:style w:type="paragraph" w:styleId="24">
    <w:name w:val="toc 6"/>
    <w:basedOn w:val="1"/>
    <w:next w:val="1"/>
    <w:autoRedefine/>
    <w:unhideWhenUsed/>
    <w:qFormat/>
    <w:uiPriority w:val="39"/>
    <w:pPr>
      <w:ind w:left="1200"/>
    </w:pPr>
    <w:rPr>
      <w:rFonts w:asciiTheme="minorHAnsi" w:eastAsiaTheme="minorHAnsi"/>
      <w:sz w:val="18"/>
      <w:szCs w:val="18"/>
    </w:rPr>
  </w:style>
  <w:style w:type="paragraph" w:styleId="25">
    <w:name w:val="toc 2"/>
    <w:basedOn w:val="1"/>
    <w:next w:val="1"/>
    <w:autoRedefine/>
    <w:unhideWhenUsed/>
    <w:qFormat/>
    <w:uiPriority w:val="39"/>
    <w:pPr>
      <w:ind w:left="240"/>
    </w:pPr>
    <w:rPr>
      <w:rFonts w:asciiTheme="minorHAnsi" w:eastAsiaTheme="minorHAnsi"/>
      <w:smallCaps/>
      <w:sz w:val="20"/>
      <w:szCs w:val="20"/>
    </w:rPr>
  </w:style>
  <w:style w:type="paragraph" w:styleId="26">
    <w:name w:val="toc 9"/>
    <w:basedOn w:val="1"/>
    <w:next w:val="1"/>
    <w:autoRedefine/>
    <w:unhideWhenUsed/>
    <w:qFormat/>
    <w:uiPriority w:val="39"/>
    <w:pPr>
      <w:ind w:left="1920"/>
    </w:pPr>
    <w:rPr>
      <w:rFonts w:asciiTheme="minorHAnsi" w:eastAsiaTheme="minorHAnsi"/>
      <w:sz w:val="18"/>
      <w:szCs w:val="18"/>
    </w:rPr>
  </w:style>
  <w:style w:type="paragraph" w:styleId="27">
    <w:name w:val="annotation subject"/>
    <w:basedOn w:val="12"/>
    <w:next w:val="12"/>
    <w:link w:val="50"/>
    <w:autoRedefine/>
    <w:semiHidden/>
    <w:unhideWhenUsed/>
    <w:qFormat/>
    <w:uiPriority w:val="99"/>
    <w:pPr>
      <w:spacing w:line="360" w:lineRule="auto"/>
    </w:pPr>
    <w:rPr>
      <w:rFonts w:eastAsia="宋体"/>
      <w:b/>
      <w:bCs/>
      <w:sz w:val="24"/>
      <w:szCs w:val="22"/>
    </w:rPr>
  </w:style>
  <w:style w:type="paragraph" w:styleId="28">
    <w:name w:val="Body Text First Indent 2"/>
    <w:basedOn w:val="14"/>
    <w:next w:val="1"/>
    <w:autoRedefine/>
    <w:qFormat/>
    <w:uiPriority w:val="0"/>
    <w:pPr>
      <w:snapToGrid/>
      <w:spacing w:after="120" w:line="240" w:lineRule="auto"/>
      <w:ind w:left="420" w:leftChars="200" w:right="0" w:firstLine="420" w:firstLineChars="200"/>
    </w:pPr>
    <w:rPr>
      <w:rFonts w:ascii="Times New Roman" w:eastAsia="宋体"/>
      <w:spacing w:val="0"/>
      <w:sz w:val="21"/>
      <w:szCs w:val="24"/>
    </w:rPr>
  </w:style>
  <w:style w:type="table" w:styleId="30">
    <w:name w:val="Table Grid"/>
    <w:basedOn w:val="29"/>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autoRedefine/>
    <w:qFormat/>
    <w:uiPriority w:val="0"/>
    <w:rPr>
      <w:b/>
      <w:bCs/>
    </w:rPr>
  </w:style>
  <w:style w:type="character" w:styleId="33">
    <w:name w:val="Hyperlink"/>
    <w:basedOn w:val="31"/>
    <w:autoRedefine/>
    <w:unhideWhenUsed/>
    <w:qFormat/>
    <w:uiPriority w:val="99"/>
    <w:rPr>
      <w:color w:val="0563C1" w:themeColor="hyperlink"/>
      <w:u w:val="single"/>
      <w14:textFill>
        <w14:solidFill>
          <w14:schemeClr w14:val="hlink"/>
        </w14:solidFill>
      </w14:textFill>
    </w:rPr>
  </w:style>
  <w:style w:type="character" w:styleId="34">
    <w:name w:val="annotation reference"/>
    <w:basedOn w:val="31"/>
    <w:autoRedefine/>
    <w:qFormat/>
    <w:uiPriority w:val="0"/>
    <w:rPr>
      <w:sz w:val="21"/>
      <w:szCs w:val="21"/>
    </w:rPr>
  </w:style>
  <w:style w:type="paragraph" w:customStyle="1" w:styleId="35">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6">
    <w:name w:val="正文缩进2"/>
    <w:basedOn w:val="1"/>
    <w:autoRedefine/>
    <w:qFormat/>
    <w:uiPriority w:val="0"/>
    <w:pPr>
      <w:wordWrap w:val="0"/>
      <w:ind w:firstLine="480"/>
    </w:pPr>
    <w:rPr>
      <w:iCs/>
      <w:shd w:val="clear" w:color="auto" w:fill="FFFFFF" w:themeFill="background1"/>
      <w:lang w:val="zh-CN"/>
    </w:rPr>
  </w:style>
  <w:style w:type="character" w:customStyle="1" w:styleId="37">
    <w:name w:val="标题 1 字符"/>
    <w:basedOn w:val="31"/>
    <w:link w:val="2"/>
    <w:autoRedefine/>
    <w:qFormat/>
    <w:uiPriority w:val="9"/>
    <w:rPr>
      <w:rFonts w:eastAsia="黑体"/>
      <w:b/>
      <w:bCs/>
      <w:kern w:val="44"/>
      <w:sz w:val="44"/>
      <w:szCs w:val="44"/>
    </w:rPr>
  </w:style>
  <w:style w:type="paragraph" w:styleId="38">
    <w:name w:val="List Paragraph"/>
    <w:basedOn w:val="1"/>
    <w:autoRedefine/>
    <w:qFormat/>
    <w:uiPriority w:val="34"/>
    <w:pPr>
      <w:numPr>
        <w:ilvl w:val="0"/>
        <w:numId w:val="2"/>
      </w:numPr>
    </w:pPr>
  </w:style>
  <w:style w:type="character" w:customStyle="1" w:styleId="39">
    <w:name w:val="页眉 字符"/>
    <w:basedOn w:val="31"/>
    <w:link w:val="20"/>
    <w:autoRedefine/>
    <w:qFormat/>
    <w:uiPriority w:val="99"/>
    <w:rPr>
      <w:rFonts w:eastAsia="宋体"/>
      <w:sz w:val="18"/>
      <w:szCs w:val="18"/>
    </w:rPr>
  </w:style>
  <w:style w:type="character" w:customStyle="1" w:styleId="40">
    <w:name w:val="页脚 字符"/>
    <w:basedOn w:val="31"/>
    <w:link w:val="19"/>
    <w:autoRedefine/>
    <w:qFormat/>
    <w:uiPriority w:val="99"/>
    <w:rPr>
      <w:rFonts w:eastAsia="宋体"/>
      <w:sz w:val="18"/>
      <w:szCs w:val="18"/>
    </w:rPr>
  </w:style>
  <w:style w:type="character" w:customStyle="1" w:styleId="41">
    <w:name w:val="标题 2 字符"/>
    <w:basedOn w:val="31"/>
    <w:link w:val="3"/>
    <w:autoRedefine/>
    <w:qFormat/>
    <w:uiPriority w:val="0"/>
    <w:rPr>
      <w:rFonts w:eastAsia="宋体" w:asciiTheme="majorHAnsi" w:hAnsiTheme="majorHAnsi" w:cstheme="majorBidi"/>
      <w:b/>
      <w:bCs/>
      <w:sz w:val="32"/>
      <w:szCs w:val="32"/>
    </w:rPr>
  </w:style>
  <w:style w:type="character" w:customStyle="1" w:styleId="42">
    <w:name w:val="批注文字 字符"/>
    <w:basedOn w:val="31"/>
    <w:link w:val="12"/>
    <w:autoRedefine/>
    <w:qFormat/>
    <w:uiPriority w:val="0"/>
    <w:rPr>
      <w:szCs w:val="24"/>
    </w:rPr>
  </w:style>
  <w:style w:type="paragraph" w:customStyle="1" w:styleId="43">
    <w:name w:val="Char1 Char Char Char"/>
    <w:basedOn w:val="1"/>
    <w:autoRedefine/>
    <w:qFormat/>
    <w:uiPriority w:val="0"/>
    <w:pPr>
      <w:adjustRightInd w:val="0"/>
      <w:jc w:val="both"/>
    </w:pPr>
    <w:rPr>
      <w:rFonts w:ascii="Times New Roman" w:hAnsi="Times New Roman" w:cs="Times New Roman"/>
      <w:kern w:val="0"/>
      <w:szCs w:val="20"/>
    </w:rPr>
  </w:style>
  <w:style w:type="character" w:customStyle="1" w:styleId="44">
    <w:name w:val="标题 3 字符"/>
    <w:basedOn w:val="31"/>
    <w:link w:val="4"/>
    <w:autoRedefine/>
    <w:qFormat/>
    <w:uiPriority w:val="9"/>
    <w:rPr>
      <w:rFonts w:eastAsia="宋体"/>
      <w:b/>
      <w:bCs/>
      <w:sz w:val="30"/>
      <w:szCs w:val="32"/>
    </w:rPr>
  </w:style>
  <w:style w:type="character" w:customStyle="1" w:styleId="45">
    <w:name w:val="标题 4 字符"/>
    <w:basedOn w:val="31"/>
    <w:link w:val="5"/>
    <w:autoRedefine/>
    <w:qFormat/>
    <w:uiPriority w:val="9"/>
    <w:rPr>
      <w:rFonts w:eastAsia="宋体" w:asciiTheme="majorHAnsi" w:hAnsiTheme="majorHAnsi" w:cstheme="majorBidi"/>
      <w:b/>
      <w:bCs/>
      <w:sz w:val="28"/>
      <w:szCs w:val="28"/>
    </w:rPr>
  </w:style>
  <w:style w:type="character" w:customStyle="1" w:styleId="46">
    <w:name w:val="正文文本 字符"/>
    <w:basedOn w:val="31"/>
    <w:link w:val="13"/>
    <w:autoRedefine/>
    <w:qFormat/>
    <w:uiPriority w:val="99"/>
    <w:rPr>
      <w:szCs w:val="24"/>
    </w:rPr>
  </w:style>
  <w:style w:type="paragraph" w:customStyle="1" w:styleId="47">
    <w:name w:val="样式"/>
    <w:basedOn w:val="1"/>
    <w:autoRedefine/>
    <w:qFormat/>
    <w:uiPriority w:val="0"/>
    <w:pPr>
      <w:autoSpaceDE w:val="0"/>
      <w:autoSpaceDN w:val="0"/>
      <w:snapToGrid w:val="0"/>
      <w:spacing w:before="120" w:after="120"/>
      <w:jc w:val="both"/>
    </w:pPr>
    <w:rPr>
      <w:rFonts w:hAnsi="Times New Roman" w:cs="Times New Roman"/>
      <w:kern w:val="0"/>
      <w:szCs w:val="20"/>
    </w:rPr>
  </w:style>
  <w:style w:type="paragraph" w:styleId="48">
    <w:name w:val="No Spacing"/>
    <w:autoRedefine/>
    <w:qFormat/>
    <w:uiPriority w:val="1"/>
    <w:pPr>
      <w:widowControl w:val="0"/>
    </w:pPr>
    <w:rPr>
      <w:rFonts w:ascii="宋体" w:hAnsi="宋体" w:eastAsia="宋体" w:cstheme="minorBidi"/>
      <w:kern w:val="2"/>
      <w:sz w:val="24"/>
      <w:szCs w:val="22"/>
      <w:lang w:val="en-US" w:eastAsia="zh-CN" w:bidi="ar-SA"/>
    </w:rPr>
  </w:style>
  <w:style w:type="character" w:customStyle="1" w:styleId="49">
    <w:name w:val="未处理的提及1"/>
    <w:basedOn w:val="31"/>
    <w:autoRedefine/>
    <w:semiHidden/>
    <w:unhideWhenUsed/>
    <w:qFormat/>
    <w:uiPriority w:val="99"/>
    <w:rPr>
      <w:color w:val="605E5C"/>
      <w:shd w:val="clear" w:color="auto" w:fill="E1DFDD"/>
    </w:rPr>
  </w:style>
  <w:style w:type="character" w:customStyle="1" w:styleId="50">
    <w:name w:val="批注主题 字符"/>
    <w:basedOn w:val="42"/>
    <w:link w:val="27"/>
    <w:autoRedefine/>
    <w:semiHidden/>
    <w:qFormat/>
    <w:uiPriority w:val="99"/>
    <w:rPr>
      <w:rFonts w:ascii="宋体" w:hAnsi="宋体" w:cstheme="minorBidi"/>
      <w:b/>
      <w:bCs/>
      <w:kern w:val="2"/>
      <w:sz w:val="24"/>
      <w:szCs w:val="22"/>
    </w:rPr>
  </w:style>
  <w:style w:type="character" w:customStyle="1" w:styleId="51">
    <w:name w:val="未处理的提及2"/>
    <w:basedOn w:val="31"/>
    <w:autoRedefine/>
    <w:semiHidden/>
    <w:unhideWhenUsed/>
    <w:qFormat/>
    <w:uiPriority w:val="99"/>
    <w:rPr>
      <w:color w:val="605E5C"/>
      <w:shd w:val="clear" w:color="auto" w:fill="E1DFDD"/>
    </w:rPr>
  </w:style>
  <w:style w:type="paragraph" w:customStyle="1" w:styleId="52">
    <w:name w:val="正文_2"/>
    <w:autoRedefine/>
    <w:qFormat/>
    <w:uiPriority w:val="0"/>
    <w:pPr>
      <w:widowControl w:val="0"/>
      <w:jc w:val="both"/>
    </w:pPr>
    <w:rPr>
      <w:rFonts w:ascii="Calibri" w:hAnsi="Calibri" w:eastAsia="宋体" w:cs="Times New Roman"/>
      <w:lang w:val="en-US" w:eastAsia="zh-CN" w:bidi="ar-SA"/>
    </w:rPr>
  </w:style>
  <w:style w:type="paragraph" w:customStyle="1" w:styleId="53">
    <w:name w:val="Normal"/>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54">
    <w:name w:val="正文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5">
    <w:name w:val="正文_2_0_0"/>
    <w:autoRedefine/>
    <w:qFormat/>
    <w:uiPriority w:val="99"/>
    <w:pPr>
      <w:widowControl w:val="0"/>
      <w:jc w:val="both"/>
    </w:pPr>
    <w:rPr>
      <w:rFonts w:ascii="Calibri" w:hAnsi="Calibri" w:eastAsia="宋体" w:cs="Times New Roman"/>
      <w:lang w:val="en-US" w:eastAsia="zh-CN" w:bidi="ar-SA"/>
    </w:rPr>
  </w:style>
  <w:style w:type="paragraph" w:customStyle="1" w:styleId="56">
    <w:name w:val="正文_1_1"/>
    <w:autoRedefine/>
    <w:qFormat/>
    <w:uiPriority w:val="99"/>
    <w:pPr>
      <w:widowControl w:val="0"/>
      <w:jc w:val="both"/>
    </w:pPr>
    <w:rPr>
      <w:rFonts w:ascii="Calibri" w:hAnsi="Calibri" w:eastAsia="宋体" w:cs="Times New Roman"/>
      <w:kern w:val="2"/>
      <w:sz w:val="21"/>
      <w:szCs w:val="24"/>
      <w:lang w:val="en-US" w:eastAsia="zh-CN" w:bidi="ar-SA"/>
    </w:rPr>
  </w:style>
  <w:style w:type="paragraph" w:customStyle="1" w:styleId="57">
    <w:name w:val="Normal Indent1"/>
    <w:basedOn w:val="1"/>
    <w:autoRedefine/>
    <w:qFormat/>
    <w:uiPriority w:val="0"/>
    <w:pPr>
      <w:ind w:firstLine="420" w:firstLineChars="200"/>
    </w:pPr>
  </w:style>
  <w:style w:type="paragraph" w:customStyle="1" w:styleId="58">
    <w:name w:val="LO-Normal"/>
    <w:autoRedefine/>
    <w:qFormat/>
    <w:uiPriority w:val="0"/>
    <w:pPr>
      <w:suppressAutoHyphens/>
    </w:pPr>
    <w:rPr>
      <w:rFonts w:ascii="Times New Roman" w:hAnsi="Times New Roman" w:eastAsia="宋体" w:cs="Times New Roman"/>
      <w:sz w:val="24"/>
      <w:szCs w:val="24"/>
      <w:lang w:val="en-US" w:eastAsia="zh-CN" w:bidi="ar-SA"/>
    </w:rPr>
  </w:style>
  <w:style w:type="paragraph" w:customStyle="1" w:styleId="59">
    <w:name w:val="Normal_22"/>
    <w:autoRedefine/>
    <w:qFormat/>
    <w:uiPriority w:val="0"/>
    <w:rPr>
      <w:rFonts w:ascii="Times New Roman" w:hAnsi="Times New Roman" w:eastAsia="Times New Roman" w:cs="Times New Roman"/>
      <w:sz w:val="24"/>
      <w:szCs w:val="24"/>
      <w:lang w:bidi="ar-SA"/>
    </w:rPr>
  </w:style>
  <w:style w:type="paragraph" w:customStyle="1" w:styleId="60">
    <w:name w:val="正文_6_0"/>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61">
    <w:name w:val="正文_0_0_0 Char"/>
    <w:link w:val="62"/>
    <w:autoRedefine/>
    <w:qFormat/>
    <w:locked/>
    <w:uiPriority w:val="0"/>
    <w:rPr>
      <w:rFonts w:ascii="Calibri" w:hAnsi="Calibri" w:cs="Calibri"/>
      <w:kern w:val="2"/>
      <w:sz w:val="28"/>
      <w:szCs w:val="22"/>
      <w:lang w:val="en-US" w:eastAsia="zh-CN" w:bidi="ar-SA"/>
    </w:rPr>
  </w:style>
  <w:style w:type="paragraph" w:customStyle="1" w:styleId="62">
    <w:name w:val="正文_0_0_0_0_0"/>
    <w:link w:val="61"/>
    <w:autoRedefine/>
    <w:qFormat/>
    <w:uiPriority w:val="0"/>
    <w:pPr>
      <w:spacing w:before="120" w:after="120" w:line="360" w:lineRule="auto"/>
      <w:ind w:left="1072" w:hanging="1072"/>
      <w:jc w:val="both"/>
    </w:pPr>
    <w:rPr>
      <w:rFonts w:ascii="Calibri" w:hAnsi="Calibri" w:eastAsia="宋体" w:cs="Calibri"/>
      <w:kern w:val="2"/>
      <w:sz w:val="28"/>
      <w:szCs w:val="22"/>
      <w:lang w:val="en-US" w:eastAsia="zh-CN" w:bidi="ar-SA"/>
    </w:rPr>
  </w:style>
  <w:style w:type="paragraph" w:customStyle="1" w:styleId="63">
    <w:name w:val="正文文本_0_1"/>
    <w:basedOn w:val="64"/>
    <w:autoRedefine/>
    <w:qFormat/>
    <w:uiPriority w:val="99"/>
    <w:pPr>
      <w:spacing w:after="120"/>
    </w:pPr>
    <w:rPr>
      <w:rFonts w:ascii="Calibri" w:hAnsi="Calibri" w:eastAsia="宋体"/>
      <w:kern w:val="0"/>
      <w:sz w:val="24"/>
      <w:szCs w:val="20"/>
    </w:rPr>
  </w:style>
  <w:style w:type="paragraph" w:customStyle="1" w:styleId="64">
    <w:name w:val="正文_6_0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65">
    <w:name w:val="Table Paragraph_1"/>
    <w:basedOn w:val="64"/>
    <w:autoRedefine/>
    <w:qFormat/>
    <w:uiPriority w:val="0"/>
    <w:pPr>
      <w:jc w:val="left"/>
    </w:pPr>
    <w:rPr>
      <w:rFonts w:ascii="Calibri" w:hAnsi="Calibri" w:eastAsia="宋体"/>
      <w:kern w:val="0"/>
      <w:sz w:val="22"/>
      <w:lang w:eastAsia="en-US"/>
    </w:rPr>
  </w:style>
  <w:style w:type="paragraph" w:customStyle="1" w:styleId="66">
    <w:name w:val="正文_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67">
    <w:name w:val="正文1"/>
    <w:autoRedefine/>
    <w:qFormat/>
    <w:uiPriority w:val="0"/>
    <w:pPr>
      <w:widowControl w:val="0"/>
      <w:jc w:val="both"/>
    </w:pPr>
    <w:rPr>
      <w:rFonts w:ascii="Calibri" w:hAnsi="Calibri" w:eastAsia="宋体" w:cs="Times New Roman"/>
      <w:lang w:val="en-US" w:eastAsia="zh-CN" w:bidi="ar-SA"/>
    </w:rPr>
  </w:style>
  <w:style w:type="paragraph" w:customStyle="1" w:styleId="68">
    <w:name w:val="列出段落1"/>
    <w:basedOn w:val="1"/>
    <w:autoRedefine/>
    <w:qFormat/>
    <w:uiPriority w:val="0"/>
    <w:pPr>
      <w:ind w:firstLine="420" w:firstLineChars="200"/>
    </w:pPr>
    <w:rPr>
      <w:szCs w:val="21"/>
    </w:rPr>
  </w:style>
  <w:style w:type="paragraph" w:customStyle="1" w:styleId="69">
    <w:name w:val="xl31"/>
    <w:basedOn w:val="1"/>
    <w:autoRedefine/>
    <w:qFormat/>
    <w:uiPriority w:val="0"/>
    <w:pPr>
      <w:widowControl/>
      <w:spacing w:before="100" w:beforeAutospacing="1" w:after="100" w:afterAutospacing="1"/>
      <w:jc w:val="center"/>
    </w:pPr>
    <w:rPr>
      <w:b/>
      <w:bCs/>
      <w:kern w:val="0"/>
      <w:sz w:val="28"/>
      <w:szCs w:val="28"/>
    </w:rPr>
  </w:style>
  <w:style w:type="paragraph" w:customStyle="1" w:styleId="70">
    <w:name w:val="正文2"/>
    <w:basedOn w:val="1"/>
    <w:qFormat/>
    <w:uiPriority w:val="0"/>
    <w:pPr>
      <w:spacing w:before="156" w:line="360" w:lineRule="auto"/>
      <w:ind w:firstLine="510" w:firstLineChars="200"/>
    </w:pPr>
    <w:rPr>
      <w:sz w:val="24"/>
      <w:szCs w:val="20"/>
    </w:rPr>
  </w:style>
  <w:style w:type="paragraph" w:customStyle="1" w:styleId="71">
    <w:name w:val="Char Char Char Char Char Char Char1 Char"/>
    <w:basedOn w:val="1"/>
    <w:autoRedefine/>
    <w:qFormat/>
    <w:uiPriority w:val="0"/>
    <w:rPr>
      <w:rFonts w:ascii="Arial" w:hAnsi="Arial" w:eastAsia="宋体" w:cs="Arial"/>
      <w:sz w:val="24"/>
    </w:rPr>
  </w:style>
  <w:style w:type="paragraph" w:customStyle="1" w:styleId="72">
    <w:name w:val="正文缩进2格"/>
    <w:basedOn w:val="1"/>
    <w:qFormat/>
    <w:uiPriority w:val="0"/>
    <w:pPr>
      <w:spacing w:line="600" w:lineRule="exact"/>
      <w:ind w:firstLine="639" w:firstLineChars="206"/>
    </w:pPr>
    <w:rPr>
      <w:rFonts w:ascii="仿宋_GB2312" w:hAnsi="宋体" w:eastAsia="仿宋_GB2312"/>
      <w:kern w:val="0"/>
      <w:sz w:val="31"/>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109</Pages>
  <Words>6456</Words>
  <Characters>7055</Characters>
  <Lines>328</Lines>
  <Paragraphs>92</Paragraphs>
  <TotalTime>0</TotalTime>
  <ScaleCrop>false</ScaleCrop>
  <LinksUpToDate>false</LinksUpToDate>
  <CharactersWithSpaces>8271</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2024-01-02T05:57:00Z</dcterms:created>
  <dc:creator>admin</dc:creator>
  <cp:lastModifiedBy>佐笾的佐笾</cp:lastModifiedBy>
  <cp:lastPrinted>2024-12-28T09:34:00Z</cp:lastPrinted>
  <dcterms:modified xsi:type="dcterms:W3CDTF">2025-07-09T02:56:31Z</dcterms:modified>
  <cp:revision>425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C03D42092D6F49E3AAB5E666FD153E3D_13</vt:lpwstr>
  </property>
  <property fmtid="{D5CDD505-2E9C-101B-9397-08002B2CF9AE}" pid="4" name="KSOTemplateDocerSaveRecord">
    <vt:lpwstr>eyJoZGlkIjoiZDJkNTg1OTJkZTA1ZDVhNGYzMmVkNzJiZGI5ZmNhNzAiLCJ1c2VySWQiOiI3NzQ1MzE4MTMifQ==</vt:lpwstr>
  </property>
</Properties>
</file>